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52FA" w14:textId="50E60D92" w:rsidR="00B26F64" w:rsidRDefault="0023662B" w:rsidP="00F401A7">
      <w:pPr>
        <w:ind w:left="1440" w:firstLine="72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986905">
        <w:rPr>
          <w:b/>
          <w:color w:val="000000" w:themeColor="text1"/>
          <w:sz w:val="24"/>
          <w:szCs w:val="24"/>
        </w:rPr>
        <w:t>SLAB/20</w:t>
      </w:r>
      <w:r w:rsidR="00FC42D5">
        <w:rPr>
          <w:b/>
          <w:color w:val="000000" w:themeColor="text1"/>
          <w:sz w:val="24"/>
          <w:szCs w:val="24"/>
        </w:rPr>
        <w:t>21/</w:t>
      </w:r>
      <w:r w:rsidR="00DD5D2F">
        <w:rPr>
          <w:b/>
          <w:color w:val="000000" w:themeColor="text1"/>
          <w:sz w:val="24"/>
          <w:szCs w:val="24"/>
        </w:rPr>
        <w:t>07</w:t>
      </w:r>
      <w:r w:rsidR="00C01278" w:rsidRPr="00C01278">
        <w:rPr>
          <w:b/>
          <w:color w:val="000000" w:themeColor="text1"/>
          <w:sz w:val="24"/>
          <w:szCs w:val="24"/>
        </w:rPr>
        <w:t xml:space="preserve"> </w:t>
      </w:r>
    </w:p>
    <w:p w14:paraId="63F21DCE" w14:textId="1084573A" w:rsidR="00B26F64" w:rsidRPr="00A259A7" w:rsidRDefault="00B26F64" w:rsidP="00A259A7">
      <w:pPr>
        <w:jc w:val="right"/>
        <w:rPr>
          <w:b/>
          <w:sz w:val="24"/>
          <w:szCs w:val="24"/>
        </w:rPr>
      </w:pPr>
      <w:r>
        <w:rPr>
          <w:sz w:val="24"/>
          <w:szCs w:val="24"/>
        </w:rPr>
        <w:t>Agenda Item:</w:t>
      </w:r>
      <w:r w:rsidR="005D790E">
        <w:rPr>
          <w:sz w:val="24"/>
          <w:szCs w:val="24"/>
        </w:rPr>
        <w:t xml:space="preserve"> </w:t>
      </w:r>
      <w:r w:rsidR="00DD5D2F">
        <w:rPr>
          <w:b/>
          <w:sz w:val="24"/>
          <w:szCs w:val="24"/>
        </w:rPr>
        <w:t>11</w:t>
      </w:r>
    </w:p>
    <w:p w14:paraId="39C9F51C" w14:textId="626FEE0D" w:rsidR="00B26F64" w:rsidRDefault="00B26F64" w:rsidP="00B26F64">
      <w:pPr>
        <w:rPr>
          <w:sz w:val="24"/>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B26F64" w:rsidRPr="006077E6" w14:paraId="584D7A4E" w14:textId="77777777" w:rsidTr="00821027">
        <w:tc>
          <w:tcPr>
            <w:tcW w:w="2405" w:type="dxa"/>
            <w:shd w:val="clear" w:color="auto" w:fill="D9D9D9" w:themeFill="background1" w:themeFillShade="D9"/>
          </w:tcPr>
          <w:p w14:paraId="65A6AB88" w14:textId="4755EFE2" w:rsidR="000F7A82" w:rsidRPr="00B86375" w:rsidRDefault="00B26F64" w:rsidP="00821027">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0F6975" w14:textId="699F539F" w:rsidR="00B26F64" w:rsidRPr="006077E6" w:rsidRDefault="005D790E" w:rsidP="00821027">
                <w:pPr>
                  <w:rPr>
                    <w:sz w:val="24"/>
                    <w:szCs w:val="24"/>
                  </w:rPr>
                </w:pPr>
                <w:r>
                  <w:rPr>
                    <w:sz w:val="24"/>
                    <w:szCs w:val="24"/>
                  </w:rPr>
                  <w:t>The Board</w:t>
                </w:r>
              </w:p>
            </w:tc>
          </w:sdtContent>
        </w:sdt>
      </w:tr>
      <w:tr w:rsidR="00B26F64" w:rsidRPr="006077E6" w14:paraId="11171D0A" w14:textId="77777777" w:rsidTr="00821027">
        <w:tc>
          <w:tcPr>
            <w:tcW w:w="2405" w:type="dxa"/>
            <w:shd w:val="clear" w:color="auto" w:fill="D9D9D9" w:themeFill="background1" w:themeFillShade="D9"/>
          </w:tcPr>
          <w:p w14:paraId="2F59E325" w14:textId="12C4EC44" w:rsidR="000F7A82" w:rsidRPr="00B86375" w:rsidRDefault="00B26F64" w:rsidP="00821027">
            <w:pPr>
              <w:rPr>
                <w:b/>
                <w:sz w:val="24"/>
                <w:szCs w:val="24"/>
              </w:rPr>
            </w:pPr>
            <w:r w:rsidRPr="00B86375">
              <w:rPr>
                <w:b/>
                <w:sz w:val="24"/>
                <w:szCs w:val="24"/>
              </w:rPr>
              <w:t>Meeting Date:</w:t>
            </w:r>
          </w:p>
        </w:tc>
        <w:tc>
          <w:tcPr>
            <w:tcW w:w="7088" w:type="dxa"/>
          </w:tcPr>
          <w:p w14:paraId="266BCFFE" w14:textId="69C6E170" w:rsidR="00B26F64" w:rsidRPr="006077E6" w:rsidRDefault="00DB5AEB" w:rsidP="00821027">
            <w:pPr>
              <w:rPr>
                <w:sz w:val="24"/>
                <w:szCs w:val="24"/>
              </w:rPr>
            </w:pPr>
            <w:r>
              <w:rPr>
                <w:sz w:val="24"/>
                <w:szCs w:val="24"/>
              </w:rPr>
              <w:t>15</w:t>
            </w:r>
            <w:r w:rsidR="00A47B23">
              <w:rPr>
                <w:sz w:val="24"/>
                <w:szCs w:val="24"/>
              </w:rPr>
              <w:t xml:space="preserve"> M</w:t>
            </w:r>
            <w:r w:rsidR="00724A08">
              <w:rPr>
                <w:sz w:val="24"/>
                <w:szCs w:val="24"/>
              </w:rPr>
              <w:t>arch</w:t>
            </w:r>
            <w:r>
              <w:rPr>
                <w:sz w:val="24"/>
                <w:szCs w:val="24"/>
              </w:rPr>
              <w:t xml:space="preserve"> 202</w:t>
            </w:r>
            <w:r w:rsidR="00FC42D5">
              <w:rPr>
                <w:sz w:val="24"/>
                <w:szCs w:val="24"/>
              </w:rPr>
              <w:t>1</w:t>
            </w:r>
          </w:p>
        </w:tc>
      </w:tr>
      <w:tr w:rsidR="00B26F64" w:rsidRPr="006077E6" w14:paraId="11FA24F8" w14:textId="77777777" w:rsidTr="00821027">
        <w:tc>
          <w:tcPr>
            <w:tcW w:w="2405" w:type="dxa"/>
            <w:shd w:val="clear" w:color="auto" w:fill="D9D9D9" w:themeFill="background1" w:themeFillShade="D9"/>
          </w:tcPr>
          <w:p w14:paraId="3EC1D356" w14:textId="370DF031" w:rsidR="000F7A82" w:rsidRPr="00B86375" w:rsidRDefault="00B26F64" w:rsidP="00821027">
            <w:pPr>
              <w:rPr>
                <w:b/>
                <w:sz w:val="24"/>
                <w:szCs w:val="24"/>
              </w:rPr>
            </w:pPr>
            <w:r w:rsidRPr="00B86375">
              <w:rPr>
                <w:b/>
                <w:sz w:val="24"/>
                <w:szCs w:val="24"/>
              </w:rPr>
              <w:t>Report Title</w:t>
            </w:r>
          </w:p>
        </w:tc>
        <w:tc>
          <w:tcPr>
            <w:tcW w:w="7088" w:type="dxa"/>
          </w:tcPr>
          <w:p w14:paraId="2CD567C1" w14:textId="6B96A561" w:rsidR="00B26F64" w:rsidRPr="006077E6" w:rsidRDefault="00A259A7" w:rsidP="00821027">
            <w:pPr>
              <w:rPr>
                <w:sz w:val="24"/>
                <w:szCs w:val="24"/>
              </w:rPr>
            </w:pPr>
            <w:r>
              <w:rPr>
                <w:sz w:val="24"/>
                <w:szCs w:val="24"/>
              </w:rPr>
              <w:t xml:space="preserve">Development of the </w:t>
            </w:r>
            <w:r w:rsidR="00724A08">
              <w:rPr>
                <w:sz w:val="24"/>
                <w:szCs w:val="24"/>
              </w:rPr>
              <w:t>Business Plan 20</w:t>
            </w:r>
            <w:r w:rsidR="00EC15E4">
              <w:rPr>
                <w:sz w:val="24"/>
                <w:szCs w:val="24"/>
              </w:rPr>
              <w:t>21-2022 and report on 2020-21</w:t>
            </w:r>
          </w:p>
        </w:tc>
      </w:tr>
      <w:tr w:rsidR="00B26F64" w:rsidRPr="006077E6" w14:paraId="5FB8AFEC" w14:textId="77777777" w:rsidTr="00821027">
        <w:tc>
          <w:tcPr>
            <w:tcW w:w="2405" w:type="dxa"/>
            <w:shd w:val="clear" w:color="auto" w:fill="D9D9D9" w:themeFill="background1" w:themeFillShade="D9"/>
          </w:tcPr>
          <w:p w14:paraId="4468E701" w14:textId="29CA15D3" w:rsidR="00F666E1" w:rsidRPr="00B86375" w:rsidRDefault="00B86375" w:rsidP="00821027">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772F1F3" w14:textId="493BAAF9" w:rsidR="00B86375" w:rsidRPr="006077E6" w:rsidRDefault="00FC42D5" w:rsidP="00821027">
                <w:pPr>
                  <w:rPr>
                    <w:sz w:val="24"/>
                    <w:szCs w:val="24"/>
                  </w:rPr>
                </w:pPr>
                <w:r>
                  <w:rPr>
                    <w:sz w:val="24"/>
                    <w:szCs w:val="24"/>
                  </w:rPr>
                  <w:t>For Decision</w:t>
                </w:r>
              </w:p>
            </w:sdtContent>
          </w:sdt>
        </w:tc>
      </w:tr>
      <w:tr w:rsidR="00246439" w:rsidRPr="006077E6" w14:paraId="0A0CEA90" w14:textId="77777777" w:rsidTr="00821027">
        <w:tc>
          <w:tcPr>
            <w:tcW w:w="2405" w:type="dxa"/>
            <w:shd w:val="clear" w:color="auto" w:fill="D9D9D9" w:themeFill="background1" w:themeFillShade="D9"/>
          </w:tcPr>
          <w:p w14:paraId="6E4AF006" w14:textId="0D3F7BAF" w:rsidR="00246439" w:rsidRDefault="00246439" w:rsidP="00821027">
            <w:pPr>
              <w:rPr>
                <w:b/>
                <w:sz w:val="24"/>
                <w:szCs w:val="24"/>
              </w:rPr>
            </w:pPr>
            <w:r>
              <w:rPr>
                <w:b/>
                <w:sz w:val="24"/>
                <w:szCs w:val="24"/>
              </w:rPr>
              <w:t>Issue status:</w:t>
            </w:r>
          </w:p>
          <w:p w14:paraId="45472761" w14:textId="0AE780F5" w:rsidR="00246439" w:rsidRPr="00B86375" w:rsidRDefault="00246439" w:rsidP="00821027">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5BE8BFA" w14:textId="1DCD7DD9" w:rsidR="00EC63B9" w:rsidRPr="009D2260" w:rsidRDefault="00A259A7" w:rsidP="00821027">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14:paraId="6F235C52" w14:textId="77777777" w:rsidTr="00F666E1">
        <w:tc>
          <w:tcPr>
            <w:tcW w:w="2405" w:type="dxa"/>
            <w:shd w:val="clear" w:color="auto" w:fill="D9D9D9" w:themeFill="background1" w:themeFillShade="D9"/>
          </w:tcPr>
          <w:p w14:paraId="395682FF" w14:textId="2FDA5E04"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46EC37BE" w14:textId="1F044E29" w:rsidR="00B26F64" w:rsidRDefault="00FC42D5" w:rsidP="00FC42D5">
            <w:pPr>
              <w:rPr>
                <w:sz w:val="24"/>
                <w:szCs w:val="24"/>
              </w:rPr>
            </w:pPr>
            <w:r>
              <w:rPr>
                <w:sz w:val="24"/>
                <w:szCs w:val="24"/>
              </w:rPr>
              <w:t xml:space="preserve">Anne Dickson </w:t>
            </w:r>
            <w:r w:rsidR="005D790E">
              <w:rPr>
                <w:sz w:val="24"/>
                <w:szCs w:val="24"/>
              </w:rPr>
              <w:t xml:space="preserve">– </w:t>
            </w:r>
            <w:r>
              <w:rPr>
                <w:sz w:val="24"/>
                <w:szCs w:val="24"/>
              </w:rPr>
              <w:t xml:space="preserve">Director of Strategic Development </w:t>
            </w:r>
          </w:p>
        </w:tc>
      </w:tr>
      <w:tr w:rsidR="00B26F64" w14:paraId="1C64BFEC" w14:textId="77777777" w:rsidTr="00F666E1">
        <w:tc>
          <w:tcPr>
            <w:tcW w:w="2405" w:type="dxa"/>
            <w:shd w:val="clear" w:color="auto" w:fill="D9D9D9" w:themeFill="background1" w:themeFillShade="D9"/>
          </w:tcPr>
          <w:p w14:paraId="3A99AFFF" w14:textId="3EE47D7A"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3501AD5E" w14:textId="57626249" w:rsidR="00B26F64" w:rsidRDefault="005D790E" w:rsidP="00B86375">
                <w:pPr>
                  <w:rPr>
                    <w:sz w:val="24"/>
                    <w:szCs w:val="24"/>
                  </w:rPr>
                </w:pPr>
                <w:r>
                  <w:rPr>
                    <w:sz w:val="24"/>
                    <w:szCs w:val="24"/>
                  </w:rPr>
                  <w:t>Anne Dickson</w:t>
                </w:r>
              </w:p>
            </w:tc>
          </w:sdtContent>
        </w:sdt>
      </w:tr>
      <w:tr w:rsidR="00B26F64" w14:paraId="169FE802" w14:textId="77777777" w:rsidTr="00F666E1">
        <w:tc>
          <w:tcPr>
            <w:tcW w:w="2405" w:type="dxa"/>
            <w:shd w:val="clear" w:color="auto" w:fill="D9D9D9" w:themeFill="background1" w:themeFillShade="D9"/>
          </w:tcPr>
          <w:p w14:paraId="6023933B" w14:textId="6B582C69" w:rsidR="000F7A82" w:rsidRPr="00B86375" w:rsidRDefault="00B26F64" w:rsidP="00B86375">
            <w:pPr>
              <w:rPr>
                <w:b/>
                <w:sz w:val="24"/>
                <w:szCs w:val="24"/>
              </w:rPr>
            </w:pPr>
            <w:r w:rsidRPr="00B86375">
              <w:rPr>
                <w:b/>
                <w:sz w:val="24"/>
                <w:szCs w:val="24"/>
              </w:rPr>
              <w:t>Presented by:</w:t>
            </w:r>
          </w:p>
        </w:tc>
        <w:tc>
          <w:tcPr>
            <w:tcW w:w="7088" w:type="dxa"/>
          </w:tcPr>
          <w:p w14:paraId="4FD417BF" w14:textId="5DA029B4" w:rsidR="00B26F64" w:rsidRDefault="00FC42D5" w:rsidP="00B86375">
            <w:pPr>
              <w:rPr>
                <w:sz w:val="24"/>
                <w:szCs w:val="24"/>
              </w:rPr>
            </w:pPr>
            <w:r>
              <w:rPr>
                <w:sz w:val="24"/>
                <w:szCs w:val="24"/>
              </w:rPr>
              <w:t xml:space="preserve">Anne Dickson </w:t>
            </w:r>
          </w:p>
        </w:tc>
      </w:tr>
      <w:tr w:rsidR="00BB64D3" w14:paraId="3B4B9BCC" w14:textId="77777777" w:rsidTr="00F666E1">
        <w:tc>
          <w:tcPr>
            <w:tcW w:w="2405" w:type="dxa"/>
            <w:shd w:val="clear" w:color="auto" w:fill="D9D9D9" w:themeFill="background1" w:themeFillShade="D9"/>
          </w:tcPr>
          <w:p w14:paraId="6B003177" w14:textId="7B374E48"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17687FD" w14:textId="7DBD2F7E" w:rsidR="00BB64D3" w:rsidRDefault="00CE72E7" w:rsidP="005D790E">
            <w:pPr>
              <w:rPr>
                <w:sz w:val="24"/>
                <w:szCs w:val="24"/>
              </w:rPr>
            </w:pPr>
            <w:hyperlink r:id="rId12" w:history="1">
              <w:r w:rsidR="00FC42D5" w:rsidRPr="007C4AEF">
                <w:rPr>
                  <w:rStyle w:val="Hyperlink"/>
                  <w:sz w:val="24"/>
                  <w:szCs w:val="24"/>
                </w:rPr>
                <w:t>dicksonsan@slab.org.uk</w:t>
              </w:r>
            </w:hyperlink>
            <w:r w:rsidR="00FC42D5">
              <w:rPr>
                <w:sz w:val="24"/>
                <w:szCs w:val="24"/>
              </w:rPr>
              <w:t xml:space="preserve"> </w:t>
            </w:r>
          </w:p>
        </w:tc>
      </w:tr>
    </w:tbl>
    <w:p w14:paraId="68E71C48"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220FB9B8" w14:textId="77777777" w:rsidTr="74596F86">
        <w:tc>
          <w:tcPr>
            <w:tcW w:w="9493" w:type="dxa"/>
            <w:gridSpan w:val="2"/>
            <w:shd w:val="clear" w:color="auto" w:fill="D9D9D9" w:themeFill="background1" w:themeFillShade="D9"/>
          </w:tcPr>
          <w:p w14:paraId="3C1F9123" w14:textId="41470B68"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548D24A4" w14:textId="321B04D5" w:rsidTr="74596F86">
        <w:tc>
          <w:tcPr>
            <w:tcW w:w="2405" w:type="dxa"/>
          </w:tcPr>
          <w:p w14:paraId="50547EB1" w14:textId="6A625049" w:rsidR="00874B41" w:rsidRDefault="00874B41" w:rsidP="00390110">
            <w:pPr>
              <w:rPr>
                <w:sz w:val="24"/>
                <w:szCs w:val="24"/>
              </w:rPr>
            </w:pPr>
            <w:r>
              <w:rPr>
                <w:sz w:val="24"/>
                <w:szCs w:val="24"/>
              </w:rPr>
              <w:t xml:space="preserve">Select the Strategic Objective(s) relevant to the issues </w:t>
            </w:r>
          </w:p>
        </w:tc>
        <w:tc>
          <w:tcPr>
            <w:tcW w:w="7088" w:type="dxa"/>
          </w:tcPr>
          <w:p w14:paraId="44A5F730" w14:textId="7A598F4C" w:rsidR="00390110" w:rsidRDefault="7708C92D" w:rsidP="74596F86">
            <w:pPr>
              <w:rPr>
                <w:sz w:val="24"/>
                <w:szCs w:val="24"/>
              </w:rPr>
            </w:pPr>
            <w:r w:rsidRPr="74596F86">
              <w:rPr>
                <w:sz w:val="24"/>
                <w:szCs w:val="24"/>
              </w:rPr>
              <w:t>1. We deliver a high quality user focussed service</w:t>
            </w:r>
          </w:p>
          <w:p w14:paraId="5B449A5D" w14:textId="0E5FD79D"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14:paraId="2BB5931E" w14:textId="51880C64" w:rsidR="00390110" w:rsidRDefault="7708C92D" w:rsidP="74596F86">
            <w:pPr>
              <w:rPr>
                <w:sz w:val="24"/>
                <w:szCs w:val="24"/>
              </w:rPr>
            </w:pPr>
            <w:r w:rsidRPr="74596F86">
              <w:rPr>
                <w:sz w:val="24"/>
                <w:szCs w:val="24"/>
              </w:rPr>
              <w:t>3. We engage with users and delivery partners across the legal aid and justice system to inform good design of our system and services</w:t>
            </w:r>
          </w:p>
          <w:p w14:paraId="35448BCA" w14:textId="3D0A5EE6" w:rsidR="00390110" w:rsidRDefault="00390110" w:rsidP="74596F86">
            <w:pPr>
              <w:rPr>
                <w:sz w:val="24"/>
                <w:szCs w:val="24"/>
              </w:rPr>
            </w:pPr>
          </w:p>
          <w:p w14:paraId="519522BD" w14:textId="77777777" w:rsidR="00874B41" w:rsidRDefault="00874B41" w:rsidP="009E2DC6">
            <w:pPr>
              <w:rPr>
                <w:sz w:val="24"/>
                <w:szCs w:val="24"/>
              </w:rPr>
            </w:pPr>
          </w:p>
        </w:tc>
      </w:tr>
    </w:tbl>
    <w:p w14:paraId="737DB8EB" w14:textId="30A0AE19"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6B94F99F" w14:textId="77777777" w:rsidTr="00B8423E">
        <w:tc>
          <w:tcPr>
            <w:tcW w:w="9493" w:type="dxa"/>
            <w:shd w:val="clear" w:color="auto" w:fill="D9D9D9" w:themeFill="background1" w:themeFillShade="D9"/>
          </w:tcPr>
          <w:p w14:paraId="79812C7F" w14:textId="07133761"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289F6DB" w14:textId="77777777" w:rsidTr="00B8423E">
        <w:tc>
          <w:tcPr>
            <w:tcW w:w="9493" w:type="dxa"/>
          </w:tcPr>
          <w:p w14:paraId="316F2292" w14:textId="2A959B21" w:rsidR="009019A2" w:rsidRDefault="00FF6401" w:rsidP="00777096">
            <w:pPr>
              <w:rPr>
                <w:sz w:val="24"/>
                <w:szCs w:val="24"/>
              </w:rPr>
            </w:pPr>
            <w:r>
              <w:rPr>
                <w:sz w:val="24"/>
                <w:szCs w:val="24"/>
              </w:rPr>
              <w:t xml:space="preserve">The Board </w:t>
            </w:r>
            <w:r w:rsidR="00CD3CA0">
              <w:rPr>
                <w:sz w:val="24"/>
                <w:szCs w:val="24"/>
              </w:rPr>
              <w:t>has reserved authority to approve</w:t>
            </w:r>
            <w:r>
              <w:rPr>
                <w:sz w:val="24"/>
                <w:szCs w:val="24"/>
              </w:rPr>
              <w:t xml:space="preserve"> SLAB’s annual business plan and is responsible for overseeing progress against its delivery.</w:t>
            </w:r>
          </w:p>
          <w:p w14:paraId="2B915C2D" w14:textId="5107C075" w:rsidR="00777096" w:rsidRDefault="00777096" w:rsidP="00777096">
            <w:pPr>
              <w:rPr>
                <w:sz w:val="24"/>
                <w:szCs w:val="24"/>
              </w:rPr>
            </w:pPr>
          </w:p>
        </w:tc>
      </w:tr>
    </w:tbl>
    <w:p w14:paraId="5BEA3AB6" w14:textId="3BD9041C"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052FF7FE" w14:textId="77777777" w:rsidTr="00246439">
        <w:tc>
          <w:tcPr>
            <w:tcW w:w="9493" w:type="dxa"/>
            <w:shd w:val="clear" w:color="auto" w:fill="D9D9D9" w:themeFill="background1" w:themeFillShade="D9"/>
          </w:tcPr>
          <w:p w14:paraId="01C888AD" w14:textId="4BA273E7" w:rsidR="00365B58" w:rsidRPr="00B86375" w:rsidRDefault="00365B58" w:rsidP="00246439">
            <w:pPr>
              <w:rPr>
                <w:b/>
                <w:sz w:val="24"/>
                <w:szCs w:val="24"/>
              </w:rPr>
            </w:pPr>
            <w:r>
              <w:rPr>
                <w:b/>
                <w:sz w:val="24"/>
                <w:szCs w:val="24"/>
              </w:rPr>
              <w:t>Publication of the Paper</w:t>
            </w:r>
          </w:p>
        </w:tc>
      </w:tr>
      <w:tr w:rsidR="00365B58" w14:paraId="6B7D0D57" w14:textId="77777777" w:rsidTr="00246439">
        <w:tc>
          <w:tcPr>
            <w:tcW w:w="9493" w:type="dxa"/>
          </w:tcPr>
          <w:p w14:paraId="6C1FAF6D" w14:textId="77777777" w:rsidR="00777096" w:rsidRDefault="003115F3" w:rsidP="00FC42D5">
            <w:pPr>
              <w:rPr>
                <w:sz w:val="24"/>
                <w:szCs w:val="24"/>
              </w:rPr>
            </w:pPr>
            <w:r>
              <w:rPr>
                <w:sz w:val="24"/>
                <w:szCs w:val="24"/>
              </w:rPr>
              <w:t>We consider this paper is suitable for publication.</w:t>
            </w:r>
          </w:p>
          <w:p w14:paraId="4BA747DF" w14:textId="2FB9207A" w:rsidR="003115F3" w:rsidRDefault="003115F3" w:rsidP="00FC42D5">
            <w:pPr>
              <w:rPr>
                <w:sz w:val="24"/>
                <w:szCs w:val="24"/>
              </w:rPr>
            </w:pPr>
          </w:p>
        </w:tc>
      </w:tr>
    </w:tbl>
    <w:p w14:paraId="271EBF55" w14:textId="0C58FD2A"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23D81AB6" w14:textId="77777777" w:rsidTr="74596F86">
        <w:tc>
          <w:tcPr>
            <w:tcW w:w="9493" w:type="dxa"/>
            <w:tcBorders>
              <w:left w:val="single" w:sz="4" w:space="0" w:color="000000" w:themeColor="text1"/>
            </w:tcBorders>
            <w:shd w:val="clear" w:color="auto" w:fill="D9D9D9" w:themeFill="background1" w:themeFillShade="D9"/>
          </w:tcPr>
          <w:p w14:paraId="2070D640" w14:textId="77777777" w:rsidR="00B668B4" w:rsidRPr="00D664C5" w:rsidRDefault="00B668B4" w:rsidP="00B86375">
            <w:pPr>
              <w:rPr>
                <w:b/>
                <w:sz w:val="24"/>
                <w:szCs w:val="24"/>
              </w:rPr>
            </w:pPr>
            <w:r w:rsidRPr="00D664C5">
              <w:rPr>
                <w:b/>
                <w:sz w:val="24"/>
                <w:szCs w:val="24"/>
              </w:rPr>
              <w:t>Executive Summary</w:t>
            </w:r>
          </w:p>
        </w:tc>
      </w:tr>
      <w:tr w:rsidR="00B668B4" w14:paraId="3B0F5ABF" w14:textId="77777777" w:rsidTr="74596F86">
        <w:tc>
          <w:tcPr>
            <w:tcW w:w="9493" w:type="dxa"/>
            <w:tcBorders>
              <w:left w:val="single" w:sz="4" w:space="0" w:color="000000" w:themeColor="text1"/>
            </w:tcBorders>
          </w:tcPr>
          <w:p w14:paraId="2C0462C5" w14:textId="6F00DF24" w:rsidR="00EC15E4" w:rsidRDefault="00EC15E4" w:rsidP="00B86375">
            <w:pPr>
              <w:rPr>
                <w:sz w:val="24"/>
                <w:szCs w:val="24"/>
              </w:rPr>
            </w:pPr>
            <w:r w:rsidRPr="74596F86">
              <w:rPr>
                <w:sz w:val="24"/>
                <w:szCs w:val="24"/>
              </w:rPr>
              <w:t xml:space="preserve">A report on activity to progress strategic objectives in 2020-21 is presented for discussion. </w:t>
            </w:r>
            <w:r w:rsidR="5DC54D05" w:rsidRPr="74596F86">
              <w:rPr>
                <w:b/>
                <w:bCs/>
                <w:sz w:val="24"/>
                <w:szCs w:val="24"/>
              </w:rPr>
              <w:t>Appendix 1</w:t>
            </w:r>
            <w:r w:rsidR="5DC54D05" w:rsidRPr="74596F86">
              <w:rPr>
                <w:sz w:val="24"/>
                <w:szCs w:val="24"/>
              </w:rPr>
              <w:t xml:space="preserve"> </w:t>
            </w:r>
          </w:p>
          <w:p w14:paraId="76F41817" w14:textId="77777777" w:rsidR="00EC15E4" w:rsidRDefault="00EC15E4" w:rsidP="00B86375">
            <w:pPr>
              <w:rPr>
                <w:sz w:val="24"/>
                <w:szCs w:val="24"/>
              </w:rPr>
            </w:pPr>
          </w:p>
          <w:p w14:paraId="4B5138BA" w14:textId="2354DBC4" w:rsidR="00B35665" w:rsidRDefault="1A833FAB" w:rsidP="00B86375">
            <w:pPr>
              <w:rPr>
                <w:sz w:val="24"/>
                <w:szCs w:val="24"/>
              </w:rPr>
            </w:pPr>
            <w:r w:rsidRPr="74596F86">
              <w:rPr>
                <w:sz w:val="24"/>
                <w:szCs w:val="24"/>
              </w:rPr>
              <w:t xml:space="preserve">The Board is invited to discuss and </w:t>
            </w:r>
            <w:r w:rsidR="00FC42D5" w:rsidRPr="74596F86">
              <w:rPr>
                <w:sz w:val="24"/>
                <w:szCs w:val="24"/>
              </w:rPr>
              <w:t xml:space="preserve">approve the Business Plan </w:t>
            </w:r>
            <w:r w:rsidRPr="74596F86">
              <w:rPr>
                <w:sz w:val="24"/>
                <w:szCs w:val="24"/>
              </w:rPr>
              <w:t>for 20</w:t>
            </w:r>
            <w:r w:rsidR="00FC42D5" w:rsidRPr="74596F86">
              <w:rPr>
                <w:sz w:val="24"/>
                <w:szCs w:val="24"/>
              </w:rPr>
              <w:t xml:space="preserve">21-22 </w:t>
            </w:r>
            <w:r w:rsidRPr="74596F86">
              <w:rPr>
                <w:sz w:val="24"/>
                <w:szCs w:val="24"/>
              </w:rPr>
              <w:t xml:space="preserve">set out in </w:t>
            </w:r>
            <w:r w:rsidRPr="74596F86">
              <w:rPr>
                <w:b/>
                <w:bCs/>
                <w:sz w:val="24"/>
                <w:szCs w:val="24"/>
              </w:rPr>
              <w:t xml:space="preserve">Appendix </w:t>
            </w:r>
            <w:r w:rsidR="1C11DC35" w:rsidRPr="74596F86">
              <w:rPr>
                <w:b/>
                <w:bCs/>
                <w:sz w:val="24"/>
                <w:szCs w:val="24"/>
              </w:rPr>
              <w:t>2</w:t>
            </w:r>
            <w:r w:rsidRPr="74596F86">
              <w:rPr>
                <w:sz w:val="24"/>
                <w:szCs w:val="24"/>
              </w:rPr>
              <w:t xml:space="preserve">. </w:t>
            </w:r>
          </w:p>
          <w:p w14:paraId="754E8E8A" w14:textId="77777777" w:rsidR="00B35665" w:rsidRDefault="00B35665" w:rsidP="00B86375">
            <w:pPr>
              <w:rPr>
                <w:sz w:val="24"/>
                <w:szCs w:val="24"/>
              </w:rPr>
            </w:pPr>
          </w:p>
          <w:p w14:paraId="6A402D1B" w14:textId="510B24F2" w:rsidR="00D363FA" w:rsidRPr="00434C6D" w:rsidRDefault="00D363FA" w:rsidP="00B35665">
            <w:pPr>
              <w:rPr>
                <w:sz w:val="24"/>
                <w:szCs w:val="24"/>
              </w:rPr>
            </w:pPr>
          </w:p>
        </w:tc>
      </w:tr>
    </w:tbl>
    <w:p w14:paraId="022BC036" w14:textId="5F3EA3EA" w:rsidR="00BB64D3" w:rsidRDefault="00BB64D3" w:rsidP="00B26F64">
      <w:pPr>
        <w:tabs>
          <w:tab w:val="left" w:pos="2340"/>
        </w:tabs>
        <w:rPr>
          <w:sz w:val="24"/>
          <w:szCs w:val="24"/>
        </w:rPr>
      </w:pPr>
    </w:p>
    <w:p w14:paraId="6CDCCF39" w14:textId="519499E6" w:rsidR="002C6823" w:rsidRDefault="002C682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7A8A6AC8" w14:textId="5020DB95" w:rsidTr="74596F86">
        <w:tc>
          <w:tcPr>
            <w:tcW w:w="9493" w:type="dxa"/>
            <w:gridSpan w:val="2"/>
            <w:tcBorders>
              <w:left w:val="single" w:sz="4" w:space="0" w:color="000000" w:themeColor="text1"/>
            </w:tcBorders>
            <w:shd w:val="clear" w:color="auto" w:fill="D9D9D9" w:themeFill="background1" w:themeFillShade="D9"/>
          </w:tcPr>
          <w:p w14:paraId="1794CF8E" w14:textId="56E686A5" w:rsidR="007B5804" w:rsidRDefault="00B668B4" w:rsidP="00D664C5">
            <w:pPr>
              <w:rPr>
                <w:b/>
                <w:sz w:val="24"/>
                <w:szCs w:val="24"/>
              </w:rPr>
            </w:pPr>
            <w:r>
              <w:rPr>
                <w:b/>
                <w:sz w:val="24"/>
                <w:szCs w:val="24"/>
              </w:rPr>
              <w:lastRenderedPageBreak/>
              <w:t>Previous Consideration</w:t>
            </w:r>
          </w:p>
        </w:tc>
      </w:tr>
      <w:tr w:rsidR="00B668B4" w14:paraId="3599E71A" w14:textId="77777777" w:rsidTr="74596F86">
        <w:tc>
          <w:tcPr>
            <w:tcW w:w="2410" w:type="dxa"/>
            <w:tcBorders>
              <w:left w:val="single" w:sz="4" w:space="0" w:color="000000" w:themeColor="text1"/>
            </w:tcBorders>
            <w:shd w:val="clear" w:color="auto" w:fill="D9D9D9" w:themeFill="background1" w:themeFillShade="D9"/>
          </w:tcPr>
          <w:p w14:paraId="0FA8D6F2" w14:textId="36E1BA0F"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5E81D374" w14:textId="1C94D2B4" w:rsidR="00B668B4" w:rsidRDefault="00B668B4" w:rsidP="00D664C5">
            <w:pPr>
              <w:rPr>
                <w:b/>
                <w:sz w:val="24"/>
                <w:szCs w:val="24"/>
              </w:rPr>
            </w:pPr>
            <w:r>
              <w:rPr>
                <w:b/>
                <w:sz w:val="24"/>
                <w:szCs w:val="24"/>
              </w:rPr>
              <w:t>Detail</w:t>
            </w:r>
          </w:p>
        </w:tc>
      </w:tr>
      <w:tr w:rsidR="00B668B4" w14:paraId="59DB7BC3" w14:textId="42EB27B1" w:rsidTr="74596F86">
        <w:tc>
          <w:tcPr>
            <w:tcW w:w="2410" w:type="dxa"/>
            <w:tcBorders>
              <w:left w:val="single" w:sz="4" w:space="0" w:color="000000" w:themeColor="text1"/>
            </w:tcBorders>
          </w:tcPr>
          <w:p w14:paraId="5254B94C" w14:textId="6E234DB5" w:rsidR="00B668B4" w:rsidRDefault="00FC42D5" w:rsidP="00D363FA">
            <w:pPr>
              <w:rPr>
                <w:sz w:val="24"/>
                <w:szCs w:val="24"/>
              </w:rPr>
            </w:pPr>
            <w:r>
              <w:rPr>
                <w:sz w:val="24"/>
                <w:szCs w:val="24"/>
              </w:rPr>
              <w:t>December 2020</w:t>
            </w:r>
          </w:p>
          <w:p w14:paraId="1564DF69" w14:textId="593E9E88" w:rsidR="00D363FA" w:rsidRPr="00777096" w:rsidRDefault="00D363FA" w:rsidP="00D363FA">
            <w:pPr>
              <w:rPr>
                <w:sz w:val="24"/>
                <w:szCs w:val="24"/>
              </w:rPr>
            </w:pPr>
          </w:p>
        </w:tc>
        <w:tc>
          <w:tcPr>
            <w:tcW w:w="7083" w:type="dxa"/>
            <w:tcBorders>
              <w:left w:val="single" w:sz="4" w:space="0" w:color="000000" w:themeColor="text1"/>
            </w:tcBorders>
          </w:tcPr>
          <w:p w14:paraId="14A4C822" w14:textId="76D51758" w:rsidR="00DE3369" w:rsidRDefault="777791D7" w:rsidP="74596F86">
            <w:pPr>
              <w:rPr>
                <w:sz w:val="24"/>
                <w:szCs w:val="24"/>
              </w:rPr>
            </w:pPr>
            <w:r w:rsidRPr="74596F86">
              <w:rPr>
                <w:sz w:val="24"/>
                <w:szCs w:val="24"/>
              </w:rPr>
              <w:t>The Board was presented with a paper that set out the activity that SLAB had been pursuing during 2020-21. The paper proposed for the Board’s approval a range of activity to form a formal business plan until the end of March 2022.</w:t>
            </w:r>
          </w:p>
          <w:p w14:paraId="4F697DC8" w14:textId="3DE6BFD6" w:rsidR="00DE3369" w:rsidRDefault="777791D7" w:rsidP="74596F86">
            <w:pPr>
              <w:rPr>
                <w:sz w:val="24"/>
                <w:szCs w:val="24"/>
              </w:rPr>
            </w:pPr>
            <w:r w:rsidRPr="74596F86">
              <w:rPr>
                <w:sz w:val="24"/>
                <w:szCs w:val="24"/>
              </w:rPr>
              <w:t xml:space="preserve">  </w:t>
            </w:r>
          </w:p>
          <w:p w14:paraId="4D7DD211" w14:textId="3CDE4953" w:rsidR="00DE3369" w:rsidRDefault="777791D7" w:rsidP="74596F86">
            <w:pPr>
              <w:rPr>
                <w:sz w:val="24"/>
                <w:szCs w:val="24"/>
              </w:rPr>
            </w:pPr>
            <w:r w:rsidRPr="74596F86">
              <w:rPr>
                <w:sz w:val="24"/>
                <w:szCs w:val="24"/>
              </w:rPr>
              <w:t>Mem</w:t>
            </w:r>
            <w:r w:rsidR="00F11C22">
              <w:rPr>
                <w:sz w:val="24"/>
                <w:szCs w:val="24"/>
              </w:rPr>
              <w:t xml:space="preserve">bers requested a formal report </w:t>
            </w:r>
            <w:r w:rsidRPr="74596F86">
              <w:rPr>
                <w:sz w:val="24"/>
                <w:szCs w:val="24"/>
              </w:rPr>
              <w:t xml:space="preserve">on progress made during 2020-21. It was noted that updates on key activity had been given in a range of Board and Committee meetings but it was confirmed that a single report would be made at the next meeting of the Board in March. </w:t>
            </w:r>
          </w:p>
          <w:p w14:paraId="43A917F9" w14:textId="4C8EC2AF" w:rsidR="00DE3369" w:rsidRDefault="777791D7" w:rsidP="74596F86">
            <w:pPr>
              <w:rPr>
                <w:sz w:val="24"/>
                <w:szCs w:val="24"/>
              </w:rPr>
            </w:pPr>
            <w:r w:rsidRPr="74596F86">
              <w:rPr>
                <w:sz w:val="24"/>
                <w:szCs w:val="24"/>
              </w:rPr>
              <w:t xml:space="preserve"> </w:t>
            </w:r>
          </w:p>
          <w:p w14:paraId="48BBD80B" w14:textId="502B2411" w:rsidR="00DE3369" w:rsidRDefault="777791D7" w:rsidP="74596F86">
            <w:pPr>
              <w:rPr>
                <w:sz w:val="24"/>
                <w:szCs w:val="24"/>
              </w:rPr>
            </w:pPr>
            <w:r w:rsidRPr="74596F86">
              <w:rPr>
                <w:sz w:val="24"/>
                <w:szCs w:val="24"/>
              </w:rPr>
              <w:t>The Board approved the range of activity in the forward plan and noted the proposed next steps on reporting.</w:t>
            </w:r>
          </w:p>
          <w:p w14:paraId="525E987A" w14:textId="0191655A" w:rsidR="00DE3369" w:rsidRDefault="00DE3369" w:rsidP="74596F86">
            <w:pPr>
              <w:rPr>
                <w:sz w:val="24"/>
                <w:szCs w:val="24"/>
              </w:rPr>
            </w:pPr>
          </w:p>
        </w:tc>
      </w:tr>
    </w:tbl>
    <w:p w14:paraId="3AAC317D" w14:textId="77777777" w:rsidR="00E93C63" w:rsidRDefault="00E93C63"/>
    <w:tbl>
      <w:tblPr>
        <w:tblStyle w:val="TableGrid"/>
        <w:tblW w:w="9493" w:type="dxa"/>
        <w:tblLook w:val="04A0" w:firstRow="1" w:lastRow="0" w:firstColumn="1" w:lastColumn="0" w:noHBand="0" w:noVBand="1"/>
      </w:tblPr>
      <w:tblGrid>
        <w:gridCol w:w="9493"/>
      </w:tblGrid>
      <w:tr w:rsidR="00B668B4" w14:paraId="095C1F3B" w14:textId="77777777" w:rsidTr="00B668B4">
        <w:tc>
          <w:tcPr>
            <w:tcW w:w="9493" w:type="dxa"/>
            <w:shd w:val="clear" w:color="auto" w:fill="D9D9D9" w:themeFill="background1" w:themeFillShade="D9"/>
          </w:tcPr>
          <w:p w14:paraId="2820B212" w14:textId="386FA526" w:rsidR="00B668B4" w:rsidRPr="00D664C5" w:rsidRDefault="00777096" w:rsidP="00B86375">
            <w:pPr>
              <w:rPr>
                <w:b/>
                <w:sz w:val="24"/>
                <w:szCs w:val="24"/>
              </w:rPr>
            </w:pPr>
            <w:r>
              <w:br w:type="page"/>
            </w:r>
            <w:r w:rsidR="00B668B4">
              <w:rPr>
                <w:b/>
                <w:sz w:val="24"/>
                <w:szCs w:val="24"/>
              </w:rPr>
              <w:t>Report</w:t>
            </w:r>
          </w:p>
        </w:tc>
      </w:tr>
    </w:tbl>
    <w:p w14:paraId="4A226487" w14:textId="3525109B" w:rsidR="00D363FA" w:rsidRPr="00D363FA" w:rsidRDefault="00EC15E4" w:rsidP="00D363FA">
      <w:pPr>
        <w:spacing w:before="240" w:after="240"/>
        <w:rPr>
          <w:b/>
          <w:sz w:val="24"/>
          <w:szCs w:val="24"/>
        </w:rPr>
      </w:pPr>
      <w:r>
        <w:rPr>
          <w:b/>
          <w:sz w:val="24"/>
          <w:szCs w:val="24"/>
        </w:rPr>
        <w:t xml:space="preserve">Corporate Plan activity </w:t>
      </w:r>
    </w:p>
    <w:p w14:paraId="130F1FE1" w14:textId="77777777" w:rsidR="00F35915" w:rsidRDefault="00F35915" w:rsidP="00F35915">
      <w:pPr>
        <w:pStyle w:val="ListParagraph"/>
        <w:numPr>
          <w:ilvl w:val="0"/>
          <w:numId w:val="41"/>
        </w:numPr>
        <w:spacing w:before="240" w:after="240"/>
        <w:contextualSpacing w:val="0"/>
        <w:rPr>
          <w:rFonts w:eastAsia="Trebuchet MS" w:cs="Trebuchet MS"/>
          <w:sz w:val="24"/>
          <w:szCs w:val="24"/>
        </w:rPr>
      </w:pPr>
      <w:r w:rsidRPr="6DC7D6B9">
        <w:rPr>
          <w:rFonts w:eastAsia="Trebuchet MS" w:cs="Trebuchet MS"/>
          <w:sz w:val="24"/>
          <w:szCs w:val="24"/>
        </w:rPr>
        <w:t>Th</w:t>
      </w:r>
      <w:r>
        <w:rPr>
          <w:rFonts w:eastAsia="Trebuchet MS" w:cs="Trebuchet MS"/>
          <w:sz w:val="24"/>
          <w:szCs w:val="24"/>
        </w:rPr>
        <w:t xml:space="preserve">is report to the Board brings together a report of activity in 2020-21 to take forward the themes of the Corporate Plan together with a business plan for 2021-22. </w:t>
      </w:r>
    </w:p>
    <w:p w14:paraId="6BD4153D" w14:textId="3ABC418B" w:rsidR="00EC15E4" w:rsidRDefault="00EC15E4" w:rsidP="00EC15E4">
      <w:pPr>
        <w:pStyle w:val="ListParagraph"/>
        <w:numPr>
          <w:ilvl w:val="0"/>
          <w:numId w:val="41"/>
        </w:numPr>
        <w:spacing w:before="240" w:after="240"/>
        <w:contextualSpacing w:val="0"/>
        <w:rPr>
          <w:rFonts w:eastAsia="Trebuchet MS" w:cs="Trebuchet MS"/>
          <w:sz w:val="24"/>
          <w:szCs w:val="24"/>
        </w:rPr>
      </w:pPr>
      <w:r w:rsidRPr="5E0A132E">
        <w:rPr>
          <w:rFonts w:eastAsia="Trebuchet MS" w:cs="Trebuchet MS"/>
          <w:sz w:val="24"/>
          <w:szCs w:val="24"/>
        </w:rPr>
        <w:t xml:space="preserve">We were in the final stages of developing our Corporate Plan for 2020-23 when the Covid-19 pandemic hit. </w:t>
      </w:r>
      <w:r w:rsidR="0020799E">
        <w:rPr>
          <w:rFonts w:eastAsia="Trebuchet MS" w:cs="Trebuchet MS"/>
          <w:sz w:val="24"/>
          <w:szCs w:val="24"/>
        </w:rPr>
        <w:t xml:space="preserve">Although the plan was not published until December 2020, key project activity continued throughout the year alongside work to respond to the challenge of the pandemic on the organisation and on the services we fund. </w:t>
      </w:r>
    </w:p>
    <w:p w14:paraId="7AC0EE2C" w14:textId="70A6C9D3" w:rsidR="0020799E" w:rsidRDefault="00EC15E4" w:rsidP="0020799E">
      <w:pPr>
        <w:spacing w:line="360" w:lineRule="auto"/>
        <w:rPr>
          <w:rFonts w:eastAsia="Calibri" w:cs="Arial"/>
          <w:b/>
          <w:bCs/>
          <w:sz w:val="24"/>
          <w:szCs w:val="24"/>
        </w:rPr>
      </w:pPr>
      <w:r w:rsidRPr="35696296">
        <w:rPr>
          <w:rFonts w:eastAsia="Calibri" w:cs="Arial"/>
          <w:b/>
          <w:bCs/>
          <w:sz w:val="24"/>
          <w:szCs w:val="24"/>
        </w:rPr>
        <w:t>A re</w:t>
      </w:r>
      <w:r w:rsidR="0020799E">
        <w:rPr>
          <w:rFonts w:eastAsia="Calibri" w:cs="Arial"/>
          <w:b/>
          <w:bCs/>
          <w:sz w:val="24"/>
          <w:szCs w:val="24"/>
        </w:rPr>
        <w:t xml:space="preserve">port on activity </w:t>
      </w:r>
      <w:r w:rsidR="002C6823">
        <w:rPr>
          <w:rFonts w:eastAsia="Calibri" w:cs="Arial"/>
          <w:b/>
          <w:bCs/>
          <w:sz w:val="24"/>
          <w:szCs w:val="24"/>
        </w:rPr>
        <w:t>for 20</w:t>
      </w:r>
      <w:r w:rsidR="0020799E">
        <w:rPr>
          <w:rFonts w:eastAsia="Calibri" w:cs="Arial"/>
          <w:b/>
          <w:bCs/>
          <w:sz w:val="24"/>
          <w:szCs w:val="24"/>
        </w:rPr>
        <w:t xml:space="preserve">20-21 </w:t>
      </w:r>
    </w:p>
    <w:p w14:paraId="3B5C20DA" w14:textId="4C75340E" w:rsidR="00EC15E4" w:rsidRPr="00F401A7" w:rsidRDefault="0020799E" w:rsidP="0020799E">
      <w:pPr>
        <w:pStyle w:val="ListParagraph"/>
        <w:numPr>
          <w:ilvl w:val="0"/>
          <w:numId w:val="41"/>
        </w:numPr>
        <w:spacing w:before="240" w:after="240"/>
        <w:contextualSpacing w:val="0"/>
        <w:rPr>
          <w:rFonts w:eastAsia="Trebuchet MS" w:cs="Trebuchet MS"/>
          <w:sz w:val="24"/>
          <w:szCs w:val="24"/>
        </w:rPr>
      </w:pPr>
      <w:r w:rsidRPr="00F401A7">
        <w:rPr>
          <w:rFonts w:eastAsia="Trebuchet MS" w:cs="Trebuchet MS"/>
          <w:sz w:val="24"/>
          <w:szCs w:val="24"/>
        </w:rPr>
        <w:t xml:space="preserve">In common with all organisations, we have had to adapt </w:t>
      </w:r>
      <w:r w:rsidR="00EC15E4" w:rsidRPr="00F401A7">
        <w:rPr>
          <w:rFonts w:eastAsia="Trebuchet MS" w:cs="Trebuchet MS"/>
          <w:sz w:val="24"/>
          <w:szCs w:val="24"/>
        </w:rPr>
        <w:t>quickly</w:t>
      </w:r>
      <w:r w:rsidRPr="00F401A7">
        <w:rPr>
          <w:rFonts w:eastAsia="Trebuchet MS" w:cs="Trebuchet MS"/>
          <w:sz w:val="24"/>
          <w:szCs w:val="24"/>
        </w:rPr>
        <w:t xml:space="preserve">: to continue to provide services and protect </w:t>
      </w:r>
      <w:r w:rsidR="00EC15E4" w:rsidRPr="00F401A7">
        <w:rPr>
          <w:rFonts w:eastAsia="Trebuchet MS" w:cs="Trebuchet MS"/>
          <w:sz w:val="24"/>
          <w:szCs w:val="24"/>
        </w:rPr>
        <w:t>our staff, to comply with Scottish Government and UK Government regulations and guidance and to follow general public health advice.</w:t>
      </w:r>
      <w:r w:rsidR="00A70E3A" w:rsidRPr="00F401A7">
        <w:rPr>
          <w:rFonts w:eastAsia="Trebuchet MS" w:cs="Trebuchet MS"/>
          <w:sz w:val="24"/>
          <w:szCs w:val="24"/>
        </w:rPr>
        <w:t xml:space="preserve"> In addition to that </w:t>
      </w:r>
      <w:r w:rsidR="0B97103E" w:rsidRPr="00F401A7">
        <w:rPr>
          <w:rFonts w:eastAsia="Trebuchet MS" w:cs="Trebuchet MS"/>
          <w:sz w:val="24"/>
          <w:szCs w:val="24"/>
        </w:rPr>
        <w:t>work,</w:t>
      </w:r>
      <w:r w:rsidR="00A70E3A" w:rsidRPr="00F401A7">
        <w:rPr>
          <w:rFonts w:eastAsia="Trebuchet MS" w:cs="Trebuchet MS"/>
          <w:sz w:val="24"/>
          <w:szCs w:val="24"/>
        </w:rPr>
        <w:t xml:space="preserve"> we have developed responses to adapt the legal aid system</w:t>
      </w:r>
      <w:r w:rsidR="70FF6F97" w:rsidRPr="00F401A7">
        <w:rPr>
          <w:rFonts w:eastAsia="Trebuchet MS" w:cs="Trebuchet MS"/>
          <w:sz w:val="24"/>
          <w:szCs w:val="24"/>
        </w:rPr>
        <w:t>. We have also</w:t>
      </w:r>
      <w:r w:rsidR="00A70E3A" w:rsidRPr="00F401A7">
        <w:rPr>
          <w:rFonts w:eastAsia="Trebuchet MS" w:cs="Trebuchet MS"/>
          <w:sz w:val="24"/>
          <w:szCs w:val="24"/>
        </w:rPr>
        <w:t xml:space="preserve"> supported Government with responses for specific sectoral business support from Law Society of Scotland on behalf of legal aid solicitors. </w:t>
      </w:r>
    </w:p>
    <w:p w14:paraId="52DAAB1C" w14:textId="77777777" w:rsidR="00F401A7" w:rsidRPr="00F401A7" w:rsidRDefault="007C6112" w:rsidP="008C4A2C">
      <w:pPr>
        <w:pStyle w:val="ListParagraph"/>
        <w:numPr>
          <w:ilvl w:val="0"/>
          <w:numId w:val="41"/>
        </w:numPr>
        <w:spacing w:before="240" w:after="240"/>
        <w:contextualSpacing w:val="0"/>
        <w:rPr>
          <w:rFonts w:eastAsia="Trebuchet MS" w:cs="Trebuchet MS"/>
          <w:sz w:val="24"/>
          <w:szCs w:val="24"/>
        </w:rPr>
      </w:pPr>
      <w:r w:rsidRPr="00F401A7">
        <w:rPr>
          <w:rFonts w:eastAsia="Trebuchet MS" w:cs="Trebuchet MS"/>
          <w:sz w:val="24"/>
          <w:szCs w:val="24"/>
        </w:rPr>
        <w:t xml:space="preserve">We were proactive in working with Scottish Government to develop and implement a </w:t>
      </w:r>
      <w:r w:rsidR="00EC15E4" w:rsidRPr="00F401A7">
        <w:rPr>
          <w:rFonts w:eastAsia="Trebuchet MS" w:cs="Trebuchet MS"/>
          <w:sz w:val="24"/>
          <w:szCs w:val="24"/>
        </w:rPr>
        <w:t>range of</w:t>
      </w:r>
      <w:r w:rsidRPr="00F401A7">
        <w:rPr>
          <w:rFonts w:eastAsia="Trebuchet MS" w:cs="Trebuchet MS"/>
          <w:sz w:val="24"/>
          <w:szCs w:val="24"/>
        </w:rPr>
        <w:t xml:space="preserve"> adaptations to support the continued delivery of legally aided services. This included </w:t>
      </w:r>
      <w:r w:rsidR="00EC15E4" w:rsidRPr="00F401A7">
        <w:rPr>
          <w:rFonts w:eastAsia="Trebuchet MS" w:cs="Trebuchet MS"/>
          <w:sz w:val="24"/>
          <w:szCs w:val="24"/>
        </w:rPr>
        <w:t>the extension of interim payments</w:t>
      </w:r>
      <w:r w:rsidRPr="00F401A7">
        <w:rPr>
          <w:rFonts w:eastAsia="Trebuchet MS" w:cs="Trebuchet MS"/>
          <w:sz w:val="24"/>
          <w:szCs w:val="24"/>
        </w:rPr>
        <w:t xml:space="preserve"> to maximise </w:t>
      </w:r>
      <w:proofErr w:type="spellStart"/>
      <w:r w:rsidRPr="00F401A7">
        <w:rPr>
          <w:rFonts w:eastAsia="Trebuchet MS" w:cs="Trebuchet MS"/>
          <w:sz w:val="24"/>
          <w:szCs w:val="24"/>
        </w:rPr>
        <w:t>cashflow</w:t>
      </w:r>
      <w:proofErr w:type="spellEnd"/>
      <w:r w:rsidRPr="00F401A7">
        <w:rPr>
          <w:rFonts w:eastAsia="Trebuchet MS" w:cs="Trebuchet MS"/>
          <w:sz w:val="24"/>
          <w:szCs w:val="24"/>
        </w:rPr>
        <w:t xml:space="preserve"> for legal aid businesses</w:t>
      </w:r>
      <w:r w:rsidR="00EC15E4" w:rsidRPr="00F401A7">
        <w:rPr>
          <w:rFonts w:eastAsia="Trebuchet MS" w:cs="Trebuchet MS"/>
          <w:sz w:val="24"/>
          <w:szCs w:val="24"/>
        </w:rPr>
        <w:t xml:space="preserve">. </w:t>
      </w:r>
    </w:p>
    <w:p w14:paraId="18A39B62" w14:textId="75E44FEA" w:rsidR="00A70E3A" w:rsidRPr="00F401A7" w:rsidRDefault="007C6112" w:rsidP="008C4A2C">
      <w:pPr>
        <w:pStyle w:val="ListParagraph"/>
        <w:numPr>
          <w:ilvl w:val="0"/>
          <w:numId w:val="41"/>
        </w:numPr>
        <w:spacing w:before="240" w:after="240"/>
        <w:contextualSpacing w:val="0"/>
        <w:rPr>
          <w:rFonts w:eastAsia="Trebuchet MS" w:cs="Trebuchet MS"/>
          <w:sz w:val="24"/>
          <w:szCs w:val="24"/>
        </w:rPr>
      </w:pPr>
      <w:r w:rsidRPr="00F401A7">
        <w:rPr>
          <w:rFonts w:eastAsia="Trebuchet MS" w:cs="Trebuchet MS"/>
          <w:sz w:val="24"/>
          <w:szCs w:val="24"/>
        </w:rPr>
        <w:t>Scottish Government requested analytical support and grant funding advice in response to requests from the Law Society of Scotland to establish a grant funding scheme for the distribution of tiered support to legal aid firms. We therefore assisted Scottish Government in t</w:t>
      </w:r>
      <w:r w:rsidR="00EC15E4" w:rsidRPr="00F401A7">
        <w:rPr>
          <w:rFonts w:eastAsia="Trebuchet MS" w:cs="Trebuchet MS"/>
          <w:sz w:val="24"/>
          <w:szCs w:val="24"/>
        </w:rPr>
        <w:t xml:space="preserve">he development of their coronavirus resilience fund </w:t>
      </w:r>
      <w:r w:rsidRPr="00F401A7">
        <w:rPr>
          <w:rFonts w:eastAsia="Trebuchet MS" w:cs="Trebuchet MS"/>
          <w:sz w:val="24"/>
          <w:szCs w:val="24"/>
        </w:rPr>
        <w:t>for solicitors to target funding a</w:t>
      </w:r>
      <w:r w:rsidR="00F851AC" w:rsidRPr="00F401A7">
        <w:rPr>
          <w:rFonts w:eastAsia="Trebuchet MS" w:cs="Trebuchet MS"/>
          <w:sz w:val="24"/>
          <w:szCs w:val="24"/>
        </w:rPr>
        <w:t>t</w:t>
      </w:r>
      <w:r w:rsidRPr="00F401A7">
        <w:rPr>
          <w:rFonts w:eastAsia="Trebuchet MS" w:cs="Trebuchet MS"/>
          <w:sz w:val="24"/>
          <w:szCs w:val="24"/>
        </w:rPr>
        <w:t xml:space="preserve"> those who</w:t>
      </w:r>
      <w:r w:rsidR="00EC15E4" w:rsidRPr="00F401A7">
        <w:rPr>
          <w:rFonts w:eastAsia="Trebuchet MS" w:cs="Trebuchet MS"/>
          <w:sz w:val="24"/>
          <w:szCs w:val="24"/>
        </w:rPr>
        <w:t xml:space="preserve"> had experienced a </w:t>
      </w:r>
      <w:r w:rsidRPr="00F401A7">
        <w:rPr>
          <w:rFonts w:eastAsia="Trebuchet MS" w:cs="Trebuchet MS"/>
          <w:sz w:val="24"/>
          <w:szCs w:val="24"/>
        </w:rPr>
        <w:lastRenderedPageBreak/>
        <w:t xml:space="preserve">net </w:t>
      </w:r>
      <w:r w:rsidR="00EC15E4" w:rsidRPr="00F401A7">
        <w:rPr>
          <w:rFonts w:eastAsia="Trebuchet MS" w:cs="Trebuchet MS"/>
          <w:sz w:val="24"/>
          <w:szCs w:val="24"/>
        </w:rPr>
        <w:t xml:space="preserve">reduction in </w:t>
      </w:r>
      <w:r w:rsidRPr="00F401A7">
        <w:rPr>
          <w:rFonts w:eastAsia="Trebuchet MS" w:cs="Trebuchet MS"/>
          <w:sz w:val="24"/>
          <w:szCs w:val="24"/>
        </w:rPr>
        <w:t xml:space="preserve">new </w:t>
      </w:r>
      <w:r w:rsidR="00EC15E4" w:rsidRPr="00F401A7">
        <w:rPr>
          <w:rFonts w:eastAsia="Trebuchet MS" w:cs="Trebuchet MS"/>
          <w:sz w:val="24"/>
          <w:szCs w:val="24"/>
        </w:rPr>
        <w:t>legal aid business levels because of the health restrictions</w:t>
      </w:r>
      <w:r w:rsidRPr="00F401A7">
        <w:rPr>
          <w:rFonts w:eastAsia="Trebuchet MS" w:cs="Trebuchet MS"/>
          <w:sz w:val="24"/>
          <w:szCs w:val="24"/>
        </w:rPr>
        <w:t xml:space="preserve">. We have agreed to assist </w:t>
      </w:r>
      <w:r w:rsidR="00A70E3A" w:rsidRPr="00F401A7">
        <w:rPr>
          <w:rFonts w:eastAsia="Trebuchet MS" w:cs="Trebuchet MS"/>
          <w:sz w:val="24"/>
          <w:szCs w:val="24"/>
        </w:rPr>
        <w:t>Scottish Government</w:t>
      </w:r>
      <w:r w:rsidRPr="00F401A7">
        <w:rPr>
          <w:rFonts w:eastAsia="Trebuchet MS" w:cs="Trebuchet MS"/>
          <w:sz w:val="24"/>
          <w:szCs w:val="24"/>
        </w:rPr>
        <w:t xml:space="preserve"> with the application process for this fund, and ar</w:t>
      </w:r>
      <w:r w:rsidR="00A70E3A" w:rsidRPr="00F401A7">
        <w:rPr>
          <w:rFonts w:eastAsia="Trebuchet MS" w:cs="Trebuchet MS"/>
          <w:sz w:val="24"/>
          <w:szCs w:val="24"/>
        </w:rPr>
        <w:t>e</w:t>
      </w:r>
      <w:r w:rsidRPr="00F401A7">
        <w:rPr>
          <w:rFonts w:eastAsia="Trebuchet MS" w:cs="Trebuchet MS"/>
          <w:sz w:val="24"/>
          <w:szCs w:val="24"/>
        </w:rPr>
        <w:t xml:space="preserve"> also providing grant funding advice </w:t>
      </w:r>
      <w:r w:rsidR="00A70E3A" w:rsidRPr="00F401A7">
        <w:rPr>
          <w:rFonts w:eastAsia="Trebuchet MS" w:cs="Trebuchet MS"/>
          <w:sz w:val="24"/>
          <w:szCs w:val="24"/>
        </w:rPr>
        <w:t xml:space="preserve">for the Traineeship Fund which the Law Society of Scotland will be managing on behalf of government. </w:t>
      </w:r>
    </w:p>
    <w:p w14:paraId="14DA5AAC" w14:textId="00D104A5" w:rsidR="00AB2F14" w:rsidRDefault="00A70E3A" w:rsidP="002055E6">
      <w:pPr>
        <w:pStyle w:val="ListParagraph"/>
        <w:numPr>
          <w:ilvl w:val="0"/>
          <w:numId w:val="41"/>
        </w:numPr>
        <w:spacing w:before="240" w:after="240"/>
        <w:contextualSpacing w:val="0"/>
        <w:rPr>
          <w:rFonts w:eastAsia="Trebuchet MS" w:cs="Trebuchet MS"/>
          <w:sz w:val="24"/>
          <w:szCs w:val="24"/>
        </w:rPr>
      </w:pPr>
      <w:r w:rsidRPr="74596F86">
        <w:rPr>
          <w:rFonts w:eastAsia="Trebuchet MS" w:cs="Trebuchet MS"/>
          <w:sz w:val="24"/>
          <w:szCs w:val="24"/>
        </w:rPr>
        <w:t xml:space="preserve">We established </w:t>
      </w:r>
      <w:r w:rsidR="00AB2F14" w:rsidRPr="74596F86">
        <w:rPr>
          <w:rFonts w:eastAsia="Trebuchet MS" w:cs="Trebuchet MS"/>
          <w:sz w:val="24"/>
          <w:szCs w:val="24"/>
        </w:rPr>
        <w:t>three</w:t>
      </w:r>
      <w:r w:rsidRPr="74596F86">
        <w:rPr>
          <w:rFonts w:eastAsia="Trebuchet MS" w:cs="Trebuchet MS"/>
          <w:sz w:val="24"/>
          <w:szCs w:val="24"/>
        </w:rPr>
        <w:t xml:space="preserve"> new projects during the year</w:t>
      </w:r>
      <w:r w:rsidR="00AB2F14" w:rsidRPr="74596F86">
        <w:rPr>
          <w:rFonts w:eastAsia="Trebuchet MS" w:cs="Trebuchet MS"/>
          <w:sz w:val="24"/>
          <w:szCs w:val="24"/>
        </w:rPr>
        <w:t>. The first is Designing</w:t>
      </w:r>
      <w:r w:rsidRPr="74596F86">
        <w:rPr>
          <w:rFonts w:eastAsia="Trebuchet MS" w:cs="Trebuchet MS"/>
          <w:sz w:val="24"/>
          <w:szCs w:val="24"/>
        </w:rPr>
        <w:t xml:space="preserve"> a New Working Environment to manage the transition to working from home and then the transition from default working from home to blended working environment. </w:t>
      </w:r>
      <w:r w:rsidR="00AB2F14" w:rsidRPr="74596F86">
        <w:rPr>
          <w:rFonts w:eastAsia="Trebuchet MS" w:cs="Trebuchet MS"/>
          <w:sz w:val="24"/>
          <w:szCs w:val="24"/>
        </w:rPr>
        <w:t xml:space="preserve">The other is the Review of People Policies which is a </w:t>
      </w:r>
      <w:r w:rsidR="26F18D29" w:rsidRPr="74596F86">
        <w:rPr>
          <w:rFonts w:eastAsia="Trebuchet MS" w:cs="Trebuchet MS"/>
          <w:sz w:val="24"/>
          <w:szCs w:val="24"/>
        </w:rPr>
        <w:t>two-year</w:t>
      </w:r>
      <w:r w:rsidR="00AB2F14" w:rsidRPr="74596F86">
        <w:rPr>
          <w:rFonts w:eastAsia="Trebuchet MS" w:cs="Trebuchet MS"/>
          <w:sz w:val="24"/>
          <w:szCs w:val="24"/>
        </w:rPr>
        <w:t xml:space="preserve"> project of comprehensive review of people policies. </w:t>
      </w:r>
      <w:r w:rsidR="001B723B">
        <w:rPr>
          <w:rFonts w:eastAsia="Trebuchet MS" w:cs="Trebuchet MS"/>
          <w:sz w:val="24"/>
          <w:szCs w:val="24"/>
        </w:rPr>
        <w:t>Together</w:t>
      </w:r>
      <w:r w:rsidR="00AB2F14" w:rsidRPr="74596F86">
        <w:rPr>
          <w:rFonts w:eastAsia="Trebuchet MS" w:cs="Trebuchet MS"/>
          <w:sz w:val="24"/>
          <w:szCs w:val="24"/>
        </w:rPr>
        <w:t xml:space="preserve"> these projects are the main vehicles for delivering on the objectives of the People Strategy. </w:t>
      </w:r>
    </w:p>
    <w:p w14:paraId="56D0E1F8" w14:textId="30D3EEB2" w:rsidR="00EA71BD" w:rsidRPr="00AB2F14" w:rsidRDefault="00AB2F14" w:rsidP="002055E6">
      <w:pPr>
        <w:pStyle w:val="ListParagraph"/>
        <w:numPr>
          <w:ilvl w:val="0"/>
          <w:numId w:val="41"/>
        </w:numPr>
        <w:spacing w:before="240" w:after="240"/>
        <w:contextualSpacing w:val="0"/>
        <w:rPr>
          <w:rFonts w:eastAsia="Trebuchet MS" w:cs="Trebuchet MS"/>
          <w:sz w:val="24"/>
          <w:szCs w:val="24"/>
        </w:rPr>
      </w:pPr>
      <w:r w:rsidRPr="74596F86">
        <w:rPr>
          <w:rFonts w:eastAsia="Trebuchet MS" w:cs="Trebuchet MS"/>
          <w:sz w:val="24"/>
          <w:szCs w:val="24"/>
        </w:rPr>
        <w:t>We also established a new project in late 2020-21 to develop the new applicant module in the case management system which is an important building block for improving the collection of applicants’ equalities data. All three projects are carried forward into the Bu</w:t>
      </w:r>
      <w:r w:rsidR="00EA71BD" w:rsidRPr="74596F86">
        <w:rPr>
          <w:rFonts w:eastAsia="Trebuchet MS" w:cs="Trebuchet MS"/>
          <w:sz w:val="24"/>
          <w:szCs w:val="24"/>
        </w:rPr>
        <w:t xml:space="preserve">siness Plan </w:t>
      </w:r>
      <w:r w:rsidR="7D190AA4" w:rsidRPr="74596F86">
        <w:rPr>
          <w:rFonts w:eastAsia="Trebuchet MS" w:cs="Trebuchet MS"/>
          <w:sz w:val="24"/>
          <w:szCs w:val="24"/>
        </w:rPr>
        <w:t>20</w:t>
      </w:r>
      <w:r w:rsidR="00EA71BD" w:rsidRPr="74596F86">
        <w:rPr>
          <w:rFonts w:eastAsia="Trebuchet MS" w:cs="Trebuchet MS"/>
          <w:sz w:val="24"/>
          <w:szCs w:val="24"/>
        </w:rPr>
        <w:t xml:space="preserve">21-22 </w:t>
      </w:r>
    </w:p>
    <w:p w14:paraId="35DA0C95" w14:textId="3304D695" w:rsidR="00F22D08" w:rsidRDefault="00AB2F14" w:rsidP="507A840A">
      <w:pPr>
        <w:pStyle w:val="ListParagraph"/>
        <w:numPr>
          <w:ilvl w:val="0"/>
          <w:numId w:val="41"/>
        </w:numPr>
        <w:spacing w:before="240" w:after="240"/>
        <w:contextualSpacing w:val="0"/>
        <w:rPr>
          <w:rFonts w:eastAsia="Trebuchet MS" w:cs="Trebuchet MS"/>
          <w:sz w:val="24"/>
          <w:szCs w:val="24"/>
        </w:rPr>
      </w:pPr>
      <w:r w:rsidRPr="507A840A">
        <w:rPr>
          <w:rFonts w:eastAsia="Trebuchet MS" w:cs="Trebuchet MS"/>
          <w:sz w:val="24"/>
          <w:szCs w:val="24"/>
        </w:rPr>
        <w:t>Other projects have reported mixed results over the year. GALA has continued to develop at pace</w:t>
      </w:r>
      <w:r w:rsidR="00F22D08" w:rsidRPr="507A840A">
        <w:rPr>
          <w:rFonts w:eastAsia="Trebuchet MS" w:cs="Trebuchet MS"/>
          <w:sz w:val="24"/>
          <w:szCs w:val="24"/>
        </w:rPr>
        <w:t>. A notable milestone will be the changes to the Interests of Justice test in Summary criminal legal aid and ABWOR which will be implemented on 22</w:t>
      </w:r>
      <w:r w:rsidR="00F22D08" w:rsidRPr="507A840A">
        <w:rPr>
          <w:rFonts w:eastAsia="Trebuchet MS" w:cs="Trebuchet MS"/>
          <w:sz w:val="24"/>
          <w:szCs w:val="24"/>
          <w:vertAlign w:val="superscript"/>
        </w:rPr>
        <w:t>nd</w:t>
      </w:r>
      <w:r w:rsidR="00F22D08" w:rsidRPr="507A840A">
        <w:rPr>
          <w:rFonts w:eastAsia="Trebuchet MS" w:cs="Trebuchet MS"/>
          <w:sz w:val="24"/>
          <w:szCs w:val="24"/>
        </w:rPr>
        <w:t xml:space="preserve"> March 2021. Development work has started on two challenging strands of work: Financial Assessment and Accounts Assessment. </w:t>
      </w:r>
    </w:p>
    <w:p w14:paraId="148363A3" w14:textId="4CE858AC" w:rsidR="00F22D08" w:rsidRDefault="00F22D08" w:rsidP="507A840A">
      <w:pPr>
        <w:pStyle w:val="ListParagraph"/>
        <w:numPr>
          <w:ilvl w:val="0"/>
          <w:numId w:val="41"/>
        </w:numPr>
        <w:spacing w:before="240" w:after="240"/>
        <w:contextualSpacing w:val="0"/>
        <w:rPr>
          <w:sz w:val="24"/>
          <w:szCs w:val="24"/>
        </w:rPr>
      </w:pPr>
      <w:r w:rsidRPr="507A840A">
        <w:rPr>
          <w:rFonts w:eastAsia="Trebuchet MS" w:cs="Trebuchet MS"/>
          <w:sz w:val="24"/>
          <w:szCs w:val="24"/>
        </w:rPr>
        <w:t xml:space="preserve">Fee reform meanwhile has had a setback. Fee reforms proposals which were developed partly in response to input from Law Society of Scotland were proposed together with the first tranche of fee increase (5%). They were met with suspicion and considerable criticism </w:t>
      </w:r>
      <w:r w:rsidR="00F35915" w:rsidRPr="507A840A">
        <w:rPr>
          <w:rFonts w:eastAsia="Trebuchet MS" w:cs="Trebuchet MS"/>
          <w:sz w:val="24"/>
          <w:szCs w:val="24"/>
        </w:rPr>
        <w:t xml:space="preserve">from parts of the profession, </w:t>
      </w:r>
      <w:r w:rsidRPr="507A840A">
        <w:rPr>
          <w:rFonts w:eastAsia="Trebuchet MS" w:cs="Trebuchet MS"/>
          <w:sz w:val="24"/>
          <w:szCs w:val="24"/>
        </w:rPr>
        <w:t xml:space="preserve">although Government has informed the Justice Committee that they will continue to pursue fee reform. </w:t>
      </w:r>
    </w:p>
    <w:p w14:paraId="446136DC" w14:textId="6B873B4A" w:rsidR="00F35915" w:rsidRDefault="005815D2" w:rsidP="00AB2F14">
      <w:pPr>
        <w:pStyle w:val="ListParagraph"/>
        <w:numPr>
          <w:ilvl w:val="0"/>
          <w:numId w:val="41"/>
        </w:numPr>
        <w:spacing w:before="240" w:after="240"/>
        <w:contextualSpacing w:val="0"/>
        <w:rPr>
          <w:rFonts w:eastAsia="Trebuchet MS" w:cs="Trebuchet MS"/>
          <w:sz w:val="24"/>
          <w:szCs w:val="24"/>
        </w:rPr>
      </w:pPr>
      <w:r>
        <w:rPr>
          <w:rFonts w:eastAsia="Trebuchet MS" w:cs="Trebuchet MS"/>
          <w:sz w:val="24"/>
          <w:szCs w:val="24"/>
        </w:rPr>
        <w:t>T</w:t>
      </w:r>
      <w:r w:rsidR="00F22D08" w:rsidRPr="507A840A">
        <w:rPr>
          <w:rFonts w:eastAsia="Trebuchet MS" w:cs="Trebuchet MS"/>
          <w:sz w:val="24"/>
          <w:szCs w:val="24"/>
        </w:rPr>
        <w:t>he Payment Panel will meet for the first time this financial year on 19</w:t>
      </w:r>
      <w:r w:rsidR="00F22D08" w:rsidRPr="507A840A">
        <w:rPr>
          <w:rFonts w:eastAsia="Trebuchet MS" w:cs="Trebuchet MS"/>
          <w:sz w:val="24"/>
          <w:szCs w:val="24"/>
          <w:vertAlign w:val="superscript"/>
        </w:rPr>
        <w:t>th</w:t>
      </w:r>
      <w:r w:rsidR="00F22D08" w:rsidRPr="507A840A">
        <w:rPr>
          <w:rFonts w:eastAsia="Trebuchet MS" w:cs="Trebuchet MS"/>
          <w:sz w:val="24"/>
          <w:szCs w:val="24"/>
        </w:rPr>
        <w:t xml:space="preserve"> March 2021. The outputs and next steps from this </w:t>
      </w:r>
      <w:r w:rsidR="00F35915" w:rsidRPr="507A840A">
        <w:rPr>
          <w:rFonts w:eastAsia="Trebuchet MS" w:cs="Trebuchet MS"/>
          <w:sz w:val="24"/>
          <w:szCs w:val="24"/>
        </w:rPr>
        <w:t xml:space="preserve">group will have an impact on our immediate Business Plan activity and longer term strategic planning. We </w:t>
      </w:r>
      <w:r w:rsidR="7A7806DF" w:rsidRPr="507A840A">
        <w:rPr>
          <w:rFonts w:eastAsia="Trebuchet MS" w:cs="Trebuchet MS"/>
          <w:sz w:val="24"/>
          <w:szCs w:val="24"/>
        </w:rPr>
        <w:t>entered</w:t>
      </w:r>
      <w:r w:rsidR="00F35915" w:rsidRPr="507A840A">
        <w:rPr>
          <w:rFonts w:eastAsia="Trebuchet MS" w:cs="Trebuchet MS"/>
          <w:sz w:val="24"/>
          <w:szCs w:val="24"/>
        </w:rPr>
        <w:t xml:space="preserve"> the Payment Panel with a clear interest that agreed fee structures and payment levels, together with mechanisms for review, reduces a key point of tension with our main customers. In </w:t>
      </w:r>
      <w:r w:rsidR="78429B2C" w:rsidRPr="507A840A">
        <w:rPr>
          <w:rFonts w:eastAsia="Trebuchet MS" w:cs="Trebuchet MS"/>
          <w:sz w:val="24"/>
          <w:szCs w:val="24"/>
        </w:rPr>
        <w:t>addition,</w:t>
      </w:r>
      <w:r w:rsidR="00F35915" w:rsidRPr="507A840A">
        <w:rPr>
          <w:rFonts w:eastAsia="Trebuchet MS" w:cs="Trebuchet MS"/>
          <w:sz w:val="24"/>
          <w:szCs w:val="24"/>
        </w:rPr>
        <w:t xml:space="preserve"> block fees and fixed fees used appropriately would have an impact on our resource and skills </w:t>
      </w:r>
      <w:r w:rsidR="39D6F109" w:rsidRPr="507A840A">
        <w:rPr>
          <w:rFonts w:eastAsia="Trebuchet MS" w:cs="Trebuchet MS"/>
          <w:sz w:val="24"/>
          <w:szCs w:val="24"/>
        </w:rPr>
        <w:t>planning</w:t>
      </w:r>
      <w:r w:rsidR="00F35915" w:rsidRPr="507A840A">
        <w:rPr>
          <w:rFonts w:eastAsia="Trebuchet MS" w:cs="Trebuchet MS"/>
          <w:sz w:val="24"/>
          <w:szCs w:val="24"/>
        </w:rPr>
        <w:t xml:space="preserve">. </w:t>
      </w:r>
    </w:p>
    <w:p w14:paraId="36B12A7D" w14:textId="50326FC6" w:rsidR="00F22D08" w:rsidRPr="00EC15E4" w:rsidRDefault="00F35915" w:rsidP="00AB2F14">
      <w:pPr>
        <w:pStyle w:val="ListParagraph"/>
        <w:numPr>
          <w:ilvl w:val="0"/>
          <w:numId w:val="41"/>
        </w:numPr>
        <w:spacing w:before="240" w:after="240"/>
        <w:contextualSpacing w:val="0"/>
        <w:rPr>
          <w:rFonts w:eastAsia="Trebuchet MS" w:cs="Trebuchet MS"/>
          <w:sz w:val="24"/>
          <w:szCs w:val="24"/>
        </w:rPr>
      </w:pPr>
      <w:r w:rsidRPr="507A840A">
        <w:rPr>
          <w:rFonts w:eastAsia="Trebuchet MS" w:cs="Trebuchet MS"/>
          <w:sz w:val="24"/>
          <w:szCs w:val="24"/>
        </w:rPr>
        <w:t xml:space="preserve">A more detailed report on activity in 2020-21 is attached at </w:t>
      </w:r>
      <w:r w:rsidRPr="005815D2">
        <w:rPr>
          <w:rFonts w:eastAsia="Trebuchet MS" w:cs="Trebuchet MS"/>
          <w:b/>
          <w:sz w:val="24"/>
          <w:szCs w:val="24"/>
        </w:rPr>
        <w:t>Appendix 1</w:t>
      </w:r>
      <w:r w:rsidRPr="507A840A">
        <w:rPr>
          <w:rFonts w:eastAsia="Trebuchet MS" w:cs="Trebuchet MS"/>
          <w:sz w:val="24"/>
          <w:szCs w:val="24"/>
        </w:rPr>
        <w:t xml:space="preserve">. </w:t>
      </w:r>
      <w:r w:rsidR="00F22D08" w:rsidRPr="507A840A">
        <w:rPr>
          <w:rFonts w:eastAsia="Trebuchet MS" w:cs="Trebuchet MS"/>
          <w:sz w:val="24"/>
          <w:szCs w:val="24"/>
        </w:rPr>
        <w:t xml:space="preserve">  </w:t>
      </w:r>
    </w:p>
    <w:p w14:paraId="6BC18B0D" w14:textId="41FC35E4" w:rsidR="00F35915" w:rsidRDefault="00F35915" w:rsidP="00F35915">
      <w:pPr>
        <w:spacing w:line="360" w:lineRule="auto"/>
        <w:rPr>
          <w:rFonts w:eastAsia="Calibri" w:cs="Arial"/>
          <w:b/>
          <w:bCs/>
          <w:sz w:val="24"/>
          <w:szCs w:val="24"/>
        </w:rPr>
      </w:pPr>
      <w:r w:rsidRPr="00F35915">
        <w:rPr>
          <w:rFonts w:eastAsia="Calibri" w:cs="Arial"/>
          <w:b/>
          <w:bCs/>
          <w:sz w:val="24"/>
          <w:szCs w:val="24"/>
        </w:rPr>
        <w:t>Business Plan 2021-22</w:t>
      </w:r>
    </w:p>
    <w:p w14:paraId="03AC4FC9" w14:textId="73AFE30F" w:rsidR="00F35915" w:rsidRDefault="00D1335E" w:rsidP="507A840A">
      <w:pPr>
        <w:pStyle w:val="ListParagraph"/>
        <w:numPr>
          <w:ilvl w:val="0"/>
          <w:numId w:val="41"/>
        </w:numPr>
        <w:spacing w:before="240" w:after="240"/>
        <w:contextualSpacing w:val="0"/>
        <w:rPr>
          <w:rFonts w:eastAsia="Calibri" w:cs="Arial"/>
          <w:sz w:val="24"/>
          <w:szCs w:val="24"/>
        </w:rPr>
      </w:pPr>
      <w:r w:rsidRPr="507A840A">
        <w:rPr>
          <w:rFonts w:eastAsia="Calibri" w:cs="Arial"/>
          <w:sz w:val="24"/>
          <w:szCs w:val="24"/>
        </w:rPr>
        <w:t xml:space="preserve">The draft plan for 2021-22 is attached. It is a busy year and we have public commitments to deliver on GALA and the People Policy review. </w:t>
      </w:r>
    </w:p>
    <w:p w14:paraId="3DA69935" w14:textId="1A675E9F" w:rsidR="00D1335E" w:rsidRDefault="00D1335E" w:rsidP="322D1448">
      <w:pPr>
        <w:pStyle w:val="ListParagraph"/>
        <w:numPr>
          <w:ilvl w:val="0"/>
          <w:numId w:val="41"/>
        </w:numPr>
        <w:spacing w:before="240" w:after="240"/>
        <w:contextualSpacing w:val="0"/>
        <w:rPr>
          <w:rFonts w:eastAsia="Calibri" w:cs="Arial"/>
          <w:sz w:val="24"/>
          <w:szCs w:val="24"/>
        </w:rPr>
      </w:pPr>
      <w:r w:rsidRPr="507A840A">
        <w:rPr>
          <w:rFonts w:eastAsia="Calibri" w:cs="Arial"/>
          <w:sz w:val="24"/>
          <w:szCs w:val="24"/>
        </w:rPr>
        <w:t>The response to Covid</w:t>
      </w:r>
      <w:r w:rsidR="005815D2">
        <w:rPr>
          <w:rFonts w:eastAsia="Calibri" w:cs="Arial"/>
          <w:sz w:val="24"/>
          <w:szCs w:val="24"/>
        </w:rPr>
        <w:t>-19</w:t>
      </w:r>
      <w:r w:rsidRPr="507A840A">
        <w:rPr>
          <w:rFonts w:eastAsia="Calibri" w:cs="Arial"/>
          <w:sz w:val="24"/>
          <w:szCs w:val="24"/>
        </w:rPr>
        <w:t xml:space="preserve"> has undoubtedly interrupted the Government’s next steps on the Legal Aid Review. It remains to be seen how and what will be progressed post-election. Decisions made then may require us to amend this plan. In the meantime, we consider this is the plan we need to deliver to progress the Corporate Plan ambition. </w:t>
      </w:r>
    </w:p>
    <w:p w14:paraId="3EDE18B0" w14:textId="58ABF852" w:rsidR="007C3158" w:rsidRDefault="42312230" w:rsidP="322D1448">
      <w:pPr>
        <w:pStyle w:val="ListParagraph"/>
        <w:numPr>
          <w:ilvl w:val="0"/>
          <w:numId w:val="41"/>
        </w:numPr>
        <w:spacing w:before="240" w:after="240"/>
        <w:contextualSpacing w:val="0"/>
        <w:rPr>
          <w:rFonts w:eastAsia="Calibri" w:cs="Arial"/>
          <w:sz w:val="24"/>
          <w:szCs w:val="24"/>
        </w:rPr>
      </w:pPr>
      <w:r w:rsidRPr="507A840A">
        <w:rPr>
          <w:rFonts w:eastAsia="Calibri" w:cs="Arial"/>
          <w:sz w:val="24"/>
          <w:szCs w:val="24"/>
        </w:rPr>
        <w:lastRenderedPageBreak/>
        <w:t>Several</w:t>
      </w:r>
      <w:r w:rsidR="007C3158" w:rsidRPr="507A840A">
        <w:rPr>
          <w:rFonts w:eastAsia="Calibri" w:cs="Arial"/>
          <w:sz w:val="24"/>
          <w:szCs w:val="24"/>
        </w:rPr>
        <w:t xml:space="preserve"> planned activities (as reported in December) have been removed from the plan. These include business planning projects for CLAO and PDSO. The focus in both services will be in completing the successful procurement </w:t>
      </w:r>
      <w:r w:rsidR="00353789" w:rsidRPr="507A840A">
        <w:rPr>
          <w:rFonts w:eastAsia="Calibri" w:cs="Arial"/>
          <w:sz w:val="24"/>
          <w:szCs w:val="24"/>
        </w:rPr>
        <w:t xml:space="preserve">and implementation </w:t>
      </w:r>
      <w:r w:rsidR="007C3158" w:rsidRPr="507A840A">
        <w:rPr>
          <w:rFonts w:eastAsia="Calibri" w:cs="Arial"/>
          <w:sz w:val="24"/>
          <w:szCs w:val="24"/>
        </w:rPr>
        <w:t xml:space="preserve">of the case management systems. Following presentations from two potential suppliers, it is clear that implementation will require substantial operational involvement to establish workflows and reporting protocols. Surveys of both CLAO and PDSO service users will be taken forward this year and those can help inform business planning in 2022-23. </w:t>
      </w:r>
    </w:p>
    <w:p w14:paraId="4C788981" w14:textId="68686578" w:rsidR="00F35915" w:rsidRPr="00FE4B4D" w:rsidRDefault="001E5D5F" w:rsidP="507A840A">
      <w:pPr>
        <w:pStyle w:val="ListParagraph"/>
        <w:numPr>
          <w:ilvl w:val="0"/>
          <w:numId w:val="41"/>
        </w:numPr>
        <w:spacing w:before="240" w:after="240"/>
        <w:contextualSpacing w:val="0"/>
        <w:rPr>
          <w:rFonts w:eastAsia="Calibri" w:cs="Arial"/>
          <w:sz w:val="24"/>
          <w:szCs w:val="24"/>
        </w:rPr>
      </w:pPr>
      <w:r>
        <w:rPr>
          <w:rFonts w:eastAsia="Calibri" w:cs="Arial"/>
          <w:sz w:val="24"/>
          <w:szCs w:val="24"/>
        </w:rPr>
        <w:t>We have removed f</w:t>
      </w:r>
      <w:r w:rsidR="007C3158" w:rsidRPr="507A840A">
        <w:rPr>
          <w:rFonts w:eastAsia="Calibri" w:cs="Arial"/>
          <w:sz w:val="24"/>
          <w:szCs w:val="24"/>
        </w:rPr>
        <w:t xml:space="preserve">ee reform for reasons set out above. We have also removed the EHRC action plan as a standalone item: delivery of the business plan </w:t>
      </w:r>
      <w:r w:rsidR="003745A6" w:rsidRPr="507A840A">
        <w:rPr>
          <w:rFonts w:eastAsia="Calibri" w:cs="Arial"/>
          <w:sz w:val="24"/>
          <w:szCs w:val="24"/>
        </w:rPr>
        <w:t xml:space="preserve">and in particular GALA and People Policy Review will deliver the bulk of that plan. Other key projects included here will assist us in the collection and use of equalities data. </w:t>
      </w:r>
    </w:p>
    <w:p w14:paraId="4DDDD97B" w14:textId="467E0639" w:rsidR="00094ED8" w:rsidRPr="00F35915" w:rsidRDefault="00094ED8" w:rsidP="00F35915">
      <w:pPr>
        <w:spacing w:line="360" w:lineRule="auto"/>
        <w:rPr>
          <w:rFonts w:eastAsia="Calibri" w:cs="Arial"/>
          <w:b/>
          <w:bCs/>
          <w:sz w:val="24"/>
          <w:szCs w:val="24"/>
        </w:rPr>
      </w:pPr>
      <w:r w:rsidRPr="00F35915">
        <w:rPr>
          <w:rFonts w:eastAsia="Calibri" w:cs="Arial"/>
          <w:b/>
          <w:bCs/>
          <w:sz w:val="24"/>
          <w:szCs w:val="24"/>
        </w:rPr>
        <w:t>Resource and project planning</w:t>
      </w:r>
    </w:p>
    <w:p w14:paraId="5BCD64B6" w14:textId="32FE7DAB" w:rsidR="00D1335E" w:rsidRDefault="00FC42D5" w:rsidP="00FC42D5">
      <w:pPr>
        <w:pStyle w:val="ListParagraph"/>
        <w:numPr>
          <w:ilvl w:val="0"/>
          <w:numId w:val="41"/>
        </w:numPr>
        <w:spacing w:before="240" w:after="240"/>
        <w:rPr>
          <w:rFonts w:eastAsia="Trebuchet MS" w:cs="Trebuchet MS"/>
          <w:sz w:val="24"/>
          <w:szCs w:val="24"/>
        </w:rPr>
      </w:pPr>
      <w:r w:rsidRPr="507A840A">
        <w:rPr>
          <w:rFonts w:eastAsia="Trebuchet MS" w:cs="Trebuchet MS"/>
          <w:sz w:val="24"/>
          <w:szCs w:val="24"/>
        </w:rPr>
        <w:t xml:space="preserve">In considering resource planning, the main constraints remain in project management, both at project manager and SRO (Senior Responsible Owner) level. </w:t>
      </w:r>
      <w:r w:rsidR="00D1335E" w:rsidRPr="507A840A">
        <w:rPr>
          <w:rFonts w:eastAsia="Trebuchet MS" w:cs="Trebuchet MS"/>
          <w:sz w:val="24"/>
          <w:szCs w:val="24"/>
        </w:rPr>
        <w:t xml:space="preserve">We also have vacancies in policy development and equalities which will be filled to assist delivery. </w:t>
      </w:r>
    </w:p>
    <w:p w14:paraId="79F12948" w14:textId="77777777" w:rsidR="00D1335E" w:rsidRDefault="00D1335E" w:rsidP="00D1335E">
      <w:pPr>
        <w:pStyle w:val="ListParagraph"/>
        <w:spacing w:before="240" w:after="240"/>
        <w:ind w:left="360"/>
        <w:rPr>
          <w:rFonts w:eastAsia="Trebuchet MS" w:cs="Trebuchet MS"/>
          <w:sz w:val="24"/>
          <w:szCs w:val="24"/>
        </w:rPr>
      </w:pPr>
    </w:p>
    <w:p w14:paraId="0B6B70A5" w14:textId="42CDD5D8" w:rsidR="004E07C9" w:rsidRPr="001E5D5F" w:rsidRDefault="00FC42D5" w:rsidP="001E5D5F">
      <w:pPr>
        <w:pStyle w:val="ListParagraph"/>
        <w:numPr>
          <w:ilvl w:val="0"/>
          <w:numId w:val="41"/>
        </w:numPr>
        <w:spacing w:before="240" w:after="240"/>
        <w:rPr>
          <w:rFonts w:eastAsia="Trebuchet MS" w:cs="Trebuchet MS"/>
          <w:sz w:val="24"/>
          <w:szCs w:val="24"/>
        </w:rPr>
      </w:pPr>
      <w:r w:rsidRPr="507A840A">
        <w:rPr>
          <w:rFonts w:eastAsia="Trebuchet MS" w:cs="Trebuchet MS"/>
          <w:sz w:val="24"/>
          <w:szCs w:val="24"/>
        </w:rPr>
        <w:t xml:space="preserve">We have extended the contract of the project manager recruited to manage the GALA project. </w:t>
      </w:r>
      <w:r w:rsidR="000B4709" w:rsidRPr="507A840A">
        <w:rPr>
          <w:rFonts w:eastAsia="Trebuchet MS" w:cs="Trebuchet MS"/>
          <w:sz w:val="24"/>
          <w:szCs w:val="24"/>
        </w:rPr>
        <w:t>She is managing the GALA project and People Policy Review project with policy project management support from Strategic Development Directorate Staff. Policy project managers will also be responsible for the gran</w:t>
      </w:r>
      <w:r w:rsidR="001E5D5F">
        <w:rPr>
          <w:rFonts w:eastAsia="Trebuchet MS" w:cs="Trebuchet MS"/>
          <w:sz w:val="24"/>
          <w:szCs w:val="24"/>
        </w:rPr>
        <w:t xml:space="preserve">t funding policy development. </w:t>
      </w:r>
      <w:r w:rsidR="000B4709" w:rsidRPr="507A840A">
        <w:rPr>
          <w:rFonts w:eastAsia="Trebuchet MS" w:cs="Trebuchet MS"/>
          <w:sz w:val="24"/>
          <w:szCs w:val="24"/>
        </w:rPr>
        <w:t>Other sm</w:t>
      </w:r>
      <w:r w:rsidRPr="507A840A">
        <w:rPr>
          <w:rFonts w:eastAsia="Trebuchet MS" w:cs="Trebuchet MS"/>
          <w:sz w:val="24"/>
          <w:szCs w:val="24"/>
        </w:rPr>
        <w:t xml:space="preserve">all bespoke projects </w:t>
      </w:r>
      <w:r w:rsidR="000B4709" w:rsidRPr="507A840A">
        <w:rPr>
          <w:rFonts w:eastAsia="Trebuchet MS" w:cs="Trebuchet MS"/>
          <w:sz w:val="24"/>
          <w:szCs w:val="24"/>
        </w:rPr>
        <w:t xml:space="preserve">will be managed by the Corporate </w:t>
      </w:r>
      <w:r w:rsidR="00FE4B4D" w:rsidRPr="507A840A">
        <w:rPr>
          <w:rFonts w:eastAsia="Trebuchet MS" w:cs="Trebuchet MS"/>
          <w:sz w:val="24"/>
          <w:szCs w:val="24"/>
        </w:rPr>
        <w:t>S</w:t>
      </w:r>
      <w:r w:rsidR="001E5D5F">
        <w:rPr>
          <w:rFonts w:eastAsia="Trebuchet MS" w:cs="Trebuchet MS"/>
          <w:sz w:val="24"/>
          <w:szCs w:val="24"/>
        </w:rPr>
        <w:t>upport Manager in the Strategic Development Directorate</w:t>
      </w:r>
      <w:r w:rsidR="000B4709" w:rsidRPr="507A840A">
        <w:rPr>
          <w:rFonts w:eastAsia="Trebuchet MS" w:cs="Trebuchet MS"/>
          <w:sz w:val="24"/>
          <w:szCs w:val="24"/>
        </w:rPr>
        <w:t>. L</w:t>
      </w:r>
      <w:r w:rsidRPr="507A840A">
        <w:rPr>
          <w:rFonts w:eastAsia="Trebuchet MS" w:cs="Trebuchet MS"/>
          <w:sz w:val="24"/>
          <w:szCs w:val="24"/>
        </w:rPr>
        <w:t>arge corporate projects</w:t>
      </w:r>
      <w:r w:rsidR="000B4709" w:rsidRPr="507A840A">
        <w:rPr>
          <w:rFonts w:eastAsia="Trebuchet MS" w:cs="Trebuchet MS"/>
          <w:sz w:val="24"/>
          <w:szCs w:val="24"/>
        </w:rPr>
        <w:t xml:space="preserve">, especially those with IS development required are </w:t>
      </w:r>
      <w:r w:rsidRPr="507A840A">
        <w:rPr>
          <w:rFonts w:eastAsia="Trebuchet MS" w:cs="Trebuchet MS"/>
          <w:sz w:val="24"/>
          <w:szCs w:val="24"/>
        </w:rPr>
        <w:t xml:space="preserve">managed by </w:t>
      </w:r>
      <w:r w:rsidR="000B4709" w:rsidRPr="507A840A">
        <w:rPr>
          <w:rFonts w:eastAsia="Trebuchet MS" w:cs="Trebuchet MS"/>
          <w:sz w:val="24"/>
          <w:szCs w:val="24"/>
        </w:rPr>
        <w:t>the Projects Office Team i</w:t>
      </w:r>
      <w:r w:rsidRPr="507A840A">
        <w:rPr>
          <w:rFonts w:eastAsia="Trebuchet MS" w:cs="Trebuchet MS"/>
          <w:sz w:val="24"/>
          <w:szCs w:val="24"/>
        </w:rPr>
        <w:t xml:space="preserve">n Corporate </w:t>
      </w:r>
      <w:r w:rsidR="000B4709" w:rsidRPr="507A840A">
        <w:rPr>
          <w:rFonts w:eastAsia="Trebuchet MS" w:cs="Trebuchet MS"/>
          <w:sz w:val="24"/>
          <w:szCs w:val="24"/>
        </w:rPr>
        <w:t xml:space="preserve">Services. </w:t>
      </w:r>
    </w:p>
    <w:tbl>
      <w:tblPr>
        <w:tblStyle w:val="TableGrid"/>
        <w:tblW w:w="9493" w:type="dxa"/>
        <w:tblLook w:val="04A0" w:firstRow="1" w:lastRow="0" w:firstColumn="1" w:lastColumn="0" w:noHBand="0" w:noVBand="1"/>
      </w:tblPr>
      <w:tblGrid>
        <w:gridCol w:w="846"/>
        <w:gridCol w:w="8647"/>
      </w:tblGrid>
      <w:tr w:rsidR="00B26F64" w14:paraId="23FC141F" w14:textId="77777777" w:rsidTr="00B86375">
        <w:tc>
          <w:tcPr>
            <w:tcW w:w="846" w:type="dxa"/>
            <w:shd w:val="clear" w:color="auto" w:fill="D9D9D9" w:themeFill="background1" w:themeFillShade="D9"/>
          </w:tcPr>
          <w:p w14:paraId="63279FF7" w14:textId="31FD7B8F" w:rsidR="00B26F64" w:rsidRPr="002265D6" w:rsidRDefault="00B26F64" w:rsidP="00B86375">
            <w:pPr>
              <w:rPr>
                <w:b/>
                <w:sz w:val="24"/>
                <w:szCs w:val="24"/>
              </w:rPr>
            </w:pPr>
          </w:p>
        </w:tc>
        <w:tc>
          <w:tcPr>
            <w:tcW w:w="8647" w:type="dxa"/>
            <w:shd w:val="clear" w:color="auto" w:fill="D9D9D9" w:themeFill="background1" w:themeFillShade="D9"/>
          </w:tcPr>
          <w:p w14:paraId="0230C4D7" w14:textId="3627A536"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6F4F4F51" w14:textId="77777777" w:rsidTr="00B86375">
        <w:tc>
          <w:tcPr>
            <w:tcW w:w="846" w:type="dxa"/>
          </w:tcPr>
          <w:p w14:paraId="189C9C98" w14:textId="193BEA5D" w:rsidR="00B26F64" w:rsidRDefault="00B26F64" w:rsidP="00B668B4">
            <w:pPr>
              <w:rPr>
                <w:sz w:val="24"/>
                <w:szCs w:val="24"/>
              </w:rPr>
            </w:pPr>
            <w:r>
              <w:rPr>
                <w:sz w:val="24"/>
                <w:szCs w:val="24"/>
              </w:rPr>
              <w:t>1</w:t>
            </w:r>
          </w:p>
        </w:tc>
        <w:tc>
          <w:tcPr>
            <w:tcW w:w="8647" w:type="dxa"/>
          </w:tcPr>
          <w:p w14:paraId="4B302798" w14:textId="2BFC253C" w:rsidR="00B26F64" w:rsidRDefault="0098730C" w:rsidP="00B86375">
            <w:pPr>
              <w:rPr>
                <w:sz w:val="24"/>
                <w:szCs w:val="24"/>
              </w:rPr>
            </w:pPr>
            <w:r>
              <w:rPr>
                <w:sz w:val="24"/>
                <w:szCs w:val="24"/>
              </w:rPr>
              <w:t>Finance and Resources</w:t>
            </w:r>
          </w:p>
          <w:p w14:paraId="798B1F12" w14:textId="254B8963" w:rsidR="001B6D84" w:rsidRDefault="001B6D84" w:rsidP="00B86375">
            <w:pPr>
              <w:rPr>
                <w:sz w:val="24"/>
                <w:szCs w:val="24"/>
              </w:rPr>
            </w:pPr>
          </w:p>
          <w:p w14:paraId="6A8E280A" w14:textId="77777777" w:rsidR="00EA71BD" w:rsidRDefault="00EA71BD" w:rsidP="00EA71BD">
            <w:pPr>
              <w:rPr>
                <w:sz w:val="24"/>
                <w:szCs w:val="24"/>
              </w:rPr>
            </w:pPr>
            <w:r>
              <w:rPr>
                <w:sz w:val="24"/>
                <w:szCs w:val="24"/>
              </w:rPr>
              <w:t xml:space="preserve">Nothing additional to note other than in the body of the paper and Appendix </w:t>
            </w:r>
          </w:p>
          <w:p w14:paraId="116BCACA" w14:textId="4892E5F8" w:rsidR="002D42AE" w:rsidRDefault="002D42AE" w:rsidP="001E5D5F">
            <w:pPr>
              <w:rPr>
                <w:sz w:val="24"/>
                <w:szCs w:val="24"/>
              </w:rPr>
            </w:pPr>
          </w:p>
        </w:tc>
      </w:tr>
      <w:tr w:rsidR="0098730C" w14:paraId="267C1E3D" w14:textId="77777777" w:rsidTr="00B86375">
        <w:tc>
          <w:tcPr>
            <w:tcW w:w="846" w:type="dxa"/>
          </w:tcPr>
          <w:p w14:paraId="198BB730" w14:textId="614BDE20" w:rsidR="0098730C" w:rsidRDefault="0098730C" w:rsidP="00B86375">
            <w:pPr>
              <w:rPr>
                <w:sz w:val="24"/>
                <w:szCs w:val="24"/>
              </w:rPr>
            </w:pPr>
            <w:r>
              <w:rPr>
                <w:sz w:val="24"/>
                <w:szCs w:val="24"/>
              </w:rPr>
              <w:t>2</w:t>
            </w:r>
          </w:p>
        </w:tc>
        <w:tc>
          <w:tcPr>
            <w:tcW w:w="8647" w:type="dxa"/>
          </w:tcPr>
          <w:p w14:paraId="48FEEC91" w14:textId="3249230E" w:rsidR="0098730C" w:rsidRDefault="0098730C" w:rsidP="00B86375">
            <w:pPr>
              <w:rPr>
                <w:sz w:val="24"/>
                <w:szCs w:val="24"/>
              </w:rPr>
            </w:pPr>
            <w:r>
              <w:rPr>
                <w:sz w:val="24"/>
                <w:szCs w:val="24"/>
              </w:rPr>
              <w:t xml:space="preserve">Risk </w:t>
            </w:r>
          </w:p>
          <w:p w14:paraId="3AD2A462" w14:textId="68A04489" w:rsidR="00C565AB" w:rsidRDefault="00C565AB" w:rsidP="00B86375">
            <w:pPr>
              <w:rPr>
                <w:sz w:val="24"/>
                <w:szCs w:val="24"/>
              </w:rPr>
            </w:pPr>
          </w:p>
          <w:p w14:paraId="0D16247F" w14:textId="77777777" w:rsidR="00EA71BD" w:rsidRPr="00EA71BD" w:rsidRDefault="00EA71BD" w:rsidP="00EA71BD">
            <w:pPr>
              <w:rPr>
                <w:sz w:val="24"/>
                <w:szCs w:val="24"/>
              </w:rPr>
            </w:pPr>
            <w:r w:rsidRPr="00EA71BD">
              <w:rPr>
                <w:sz w:val="24"/>
                <w:szCs w:val="24"/>
              </w:rPr>
              <w:t>Each project on the business plan will consider risk to delivery of the project.</w:t>
            </w:r>
          </w:p>
          <w:p w14:paraId="2582DE86" w14:textId="65485BB6" w:rsidR="00EA71BD" w:rsidRPr="00EA71BD" w:rsidRDefault="00EA71BD" w:rsidP="00EA71BD">
            <w:pPr>
              <w:rPr>
                <w:sz w:val="24"/>
                <w:szCs w:val="24"/>
              </w:rPr>
            </w:pPr>
            <w:r>
              <w:rPr>
                <w:sz w:val="24"/>
                <w:szCs w:val="24"/>
              </w:rPr>
              <w:t xml:space="preserve">GALA – a significant corporate project is on our Corporate Risk Register </w:t>
            </w:r>
          </w:p>
          <w:p w14:paraId="1FFF76C5" w14:textId="43FB3D51" w:rsidR="0098730C" w:rsidRDefault="0098730C" w:rsidP="00EA71BD">
            <w:pPr>
              <w:rPr>
                <w:sz w:val="24"/>
                <w:szCs w:val="24"/>
              </w:rPr>
            </w:pPr>
          </w:p>
        </w:tc>
      </w:tr>
      <w:tr w:rsidR="00B26F64" w14:paraId="40906316" w14:textId="77777777" w:rsidTr="00B86375">
        <w:tc>
          <w:tcPr>
            <w:tcW w:w="846" w:type="dxa"/>
          </w:tcPr>
          <w:p w14:paraId="50A2CF82" w14:textId="42C1B597" w:rsidR="00B26F64" w:rsidRDefault="0098730C" w:rsidP="00B86375">
            <w:pPr>
              <w:rPr>
                <w:sz w:val="24"/>
                <w:szCs w:val="24"/>
              </w:rPr>
            </w:pPr>
            <w:r>
              <w:rPr>
                <w:sz w:val="24"/>
                <w:szCs w:val="24"/>
              </w:rPr>
              <w:t>3</w:t>
            </w:r>
          </w:p>
          <w:p w14:paraId="10FF9C73" w14:textId="77777777" w:rsidR="00B26F64" w:rsidRDefault="00B26F64" w:rsidP="00B86375">
            <w:pPr>
              <w:rPr>
                <w:sz w:val="24"/>
                <w:szCs w:val="24"/>
              </w:rPr>
            </w:pPr>
          </w:p>
        </w:tc>
        <w:tc>
          <w:tcPr>
            <w:tcW w:w="8647" w:type="dxa"/>
          </w:tcPr>
          <w:p w14:paraId="403EA0DF" w14:textId="09CA4819" w:rsidR="009962F8" w:rsidRDefault="00B26F64" w:rsidP="00B86375">
            <w:pPr>
              <w:rPr>
                <w:sz w:val="24"/>
                <w:szCs w:val="24"/>
              </w:rPr>
            </w:pPr>
            <w:r>
              <w:rPr>
                <w:sz w:val="24"/>
                <w:szCs w:val="24"/>
              </w:rPr>
              <w:t>Legal</w:t>
            </w:r>
            <w:r w:rsidR="0098730C">
              <w:rPr>
                <w:sz w:val="24"/>
                <w:szCs w:val="24"/>
              </w:rPr>
              <w:t xml:space="preserve"> and Compliance</w:t>
            </w:r>
          </w:p>
          <w:p w14:paraId="303CAF51" w14:textId="77777777" w:rsidR="001B6D84" w:rsidRDefault="001B6D84" w:rsidP="00B86375">
            <w:pPr>
              <w:rPr>
                <w:sz w:val="24"/>
                <w:szCs w:val="24"/>
              </w:rPr>
            </w:pPr>
          </w:p>
          <w:p w14:paraId="3EB4329C" w14:textId="77777777" w:rsidR="006434B7" w:rsidRDefault="00EA71BD" w:rsidP="00777096">
            <w:pPr>
              <w:rPr>
                <w:sz w:val="24"/>
                <w:szCs w:val="24"/>
              </w:rPr>
            </w:pPr>
            <w:r w:rsidRPr="00EA71BD">
              <w:rPr>
                <w:sz w:val="24"/>
                <w:szCs w:val="24"/>
              </w:rPr>
              <w:t>It is a condition of our Framework Agreement with the Scottish Government that we publish our business plan.</w:t>
            </w:r>
          </w:p>
          <w:p w14:paraId="5A6A717B" w14:textId="2A92041A" w:rsidR="001E5D5F" w:rsidRDefault="001E5D5F" w:rsidP="00777096">
            <w:pPr>
              <w:rPr>
                <w:sz w:val="24"/>
                <w:szCs w:val="24"/>
              </w:rPr>
            </w:pPr>
          </w:p>
        </w:tc>
      </w:tr>
      <w:tr w:rsidR="0098730C" w14:paraId="7C850A2E" w14:textId="77777777" w:rsidTr="00B86375">
        <w:tc>
          <w:tcPr>
            <w:tcW w:w="846" w:type="dxa"/>
          </w:tcPr>
          <w:p w14:paraId="7D4D2DD1" w14:textId="54180259" w:rsidR="0098730C" w:rsidRDefault="0098730C" w:rsidP="0098730C">
            <w:pPr>
              <w:rPr>
                <w:sz w:val="24"/>
                <w:szCs w:val="24"/>
              </w:rPr>
            </w:pPr>
            <w:r>
              <w:rPr>
                <w:sz w:val="24"/>
                <w:szCs w:val="24"/>
              </w:rPr>
              <w:t>4</w:t>
            </w:r>
          </w:p>
        </w:tc>
        <w:tc>
          <w:tcPr>
            <w:tcW w:w="8647" w:type="dxa"/>
          </w:tcPr>
          <w:p w14:paraId="1EC820D3" w14:textId="77777777" w:rsidR="0098730C" w:rsidRDefault="0098730C" w:rsidP="0098730C">
            <w:pPr>
              <w:rPr>
                <w:sz w:val="24"/>
                <w:szCs w:val="24"/>
              </w:rPr>
            </w:pPr>
            <w:r>
              <w:rPr>
                <w:sz w:val="24"/>
                <w:szCs w:val="24"/>
              </w:rPr>
              <w:t>Performance</w:t>
            </w:r>
          </w:p>
          <w:p w14:paraId="0B81A5BF" w14:textId="77777777" w:rsidR="0098730C" w:rsidRDefault="0098730C" w:rsidP="0098730C">
            <w:pPr>
              <w:rPr>
                <w:sz w:val="24"/>
                <w:szCs w:val="24"/>
              </w:rPr>
            </w:pPr>
          </w:p>
          <w:p w14:paraId="14E3A6DC" w14:textId="0214AFDC" w:rsidR="00CD3CA0" w:rsidRDefault="00EA71BD" w:rsidP="00CD3CA0">
            <w:pPr>
              <w:rPr>
                <w:sz w:val="24"/>
                <w:szCs w:val="24"/>
              </w:rPr>
            </w:pPr>
            <w:r>
              <w:rPr>
                <w:sz w:val="24"/>
                <w:szCs w:val="24"/>
              </w:rPr>
              <w:t>The Plan identifies some measures which will be reflect in reports to the Board and in the Annual Report</w:t>
            </w:r>
          </w:p>
        </w:tc>
      </w:tr>
      <w:tr w:rsidR="0098730C" w14:paraId="1C1110B4" w14:textId="77777777" w:rsidTr="00B86375">
        <w:tc>
          <w:tcPr>
            <w:tcW w:w="846" w:type="dxa"/>
          </w:tcPr>
          <w:p w14:paraId="7E360FF1" w14:textId="5EF6F805" w:rsidR="0098730C" w:rsidRDefault="0098730C" w:rsidP="0098730C">
            <w:pPr>
              <w:rPr>
                <w:sz w:val="24"/>
                <w:szCs w:val="24"/>
              </w:rPr>
            </w:pPr>
            <w:r>
              <w:rPr>
                <w:sz w:val="24"/>
                <w:szCs w:val="24"/>
              </w:rPr>
              <w:lastRenderedPageBreak/>
              <w:t>5</w:t>
            </w:r>
          </w:p>
        </w:tc>
        <w:tc>
          <w:tcPr>
            <w:tcW w:w="8647" w:type="dxa"/>
          </w:tcPr>
          <w:p w14:paraId="7B0E7F4B" w14:textId="4445410D" w:rsidR="0098730C" w:rsidRDefault="0098730C" w:rsidP="0098730C">
            <w:pPr>
              <w:rPr>
                <w:sz w:val="24"/>
                <w:szCs w:val="24"/>
              </w:rPr>
            </w:pPr>
            <w:r>
              <w:rPr>
                <w:sz w:val="24"/>
                <w:szCs w:val="24"/>
              </w:rPr>
              <w:t>Equalities</w:t>
            </w:r>
            <w:r w:rsidR="009962F8">
              <w:rPr>
                <w:sz w:val="24"/>
                <w:szCs w:val="24"/>
              </w:rPr>
              <w:t xml:space="preserve"> Impact</w:t>
            </w:r>
          </w:p>
          <w:p w14:paraId="09A7731F" w14:textId="5A0AB744" w:rsidR="007453A1" w:rsidRDefault="007453A1" w:rsidP="0098730C">
            <w:pPr>
              <w:rPr>
                <w:sz w:val="24"/>
                <w:szCs w:val="24"/>
              </w:rPr>
            </w:pPr>
          </w:p>
          <w:p w14:paraId="25450BA1" w14:textId="77777777" w:rsidR="00EA71BD" w:rsidRDefault="006434B7" w:rsidP="008D74AE">
            <w:pPr>
              <w:rPr>
                <w:sz w:val="24"/>
                <w:szCs w:val="24"/>
              </w:rPr>
            </w:pPr>
            <w:r>
              <w:rPr>
                <w:sz w:val="24"/>
                <w:szCs w:val="24"/>
              </w:rPr>
              <w:t xml:space="preserve">Each project on the business plan </w:t>
            </w:r>
            <w:r w:rsidR="00CD3CA0">
              <w:rPr>
                <w:sz w:val="24"/>
                <w:szCs w:val="24"/>
              </w:rPr>
              <w:t xml:space="preserve">will consider </w:t>
            </w:r>
            <w:r>
              <w:rPr>
                <w:sz w:val="24"/>
                <w:szCs w:val="24"/>
              </w:rPr>
              <w:t xml:space="preserve">equalities impacts as appropriate and this has oversight </w:t>
            </w:r>
            <w:r w:rsidR="00EA71BD">
              <w:rPr>
                <w:sz w:val="24"/>
                <w:szCs w:val="24"/>
              </w:rPr>
              <w:t xml:space="preserve">by the Director of Strategic Development and the Chief Executive. </w:t>
            </w:r>
          </w:p>
          <w:p w14:paraId="024B5C17" w14:textId="77777777" w:rsidR="00EA71BD" w:rsidRDefault="00EA71BD" w:rsidP="008D74AE">
            <w:pPr>
              <w:rPr>
                <w:sz w:val="24"/>
                <w:szCs w:val="24"/>
              </w:rPr>
            </w:pPr>
          </w:p>
          <w:p w14:paraId="5C7B3B39" w14:textId="66036F2D" w:rsidR="00D566C3" w:rsidRDefault="00EA71BD" w:rsidP="008D74AE">
            <w:pPr>
              <w:rPr>
                <w:sz w:val="24"/>
                <w:szCs w:val="24"/>
              </w:rPr>
            </w:pPr>
            <w:r>
              <w:rPr>
                <w:sz w:val="24"/>
                <w:szCs w:val="24"/>
              </w:rPr>
              <w:t xml:space="preserve">The Business plan includes projects, aspects of which deliver our Equalities Outcomes and which also from the basis of discussions with EHRC. </w:t>
            </w:r>
            <w:r w:rsidR="00D10875">
              <w:rPr>
                <w:sz w:val="24"/>
                <w:szCs w:val="24"/>
              </w:rPr>
              <w:tab/>
            </w:r>
          </w:p>
          <w:p w14:paraId="789A8165" w14:textId="77777777" w:rsidR="00EA71BD" w:rsidRDefault="00EA71BD" w:rsidP="008D74AE">
            <w:pPr>
              <w:rPr>
                <w:sz w:val="24"/>
                <w:szCs w:val="24"/>
              </w:rPr>
            </w:pPr>
          </w:p>
          <w:p w14:paraId="76364C11" w14:textId="72665FEF" w:rsidR="007B5804" w:rsidRDefault="007B5804" w:rsidP="008D74AE">
            <w:pPr>
              <w:rPr>
                <w:sz w:val="24"/>
                <w:szCs w:val="24"/>
              </w:rPr>
            </w:pPr>
          </w:p>
        </w:tc>
      </w:tr>
      <w:tr w:rsidR="0098730C" w14:paraId="5434F432" w14:textId="77777777" w:rsidTr="00B86375">
        <w:tc>
          <w:tcPr>
            <w:tcW w:w="846" w:type="dxa"/>
          </w:tcPr>
          <w:p w14:paraId="0E4EFAC6" w14:textId="44B08D16" w:rsidR="0098730C" w:rsidRDefault="0098730C" w:rsidP="0098730C">
            <w:pPr>
              <w:rPr>
                <w:sz w:val="24"/>
                <w:szCs w:val="24"/>
              </w:rPr>
            </w:pPr>
            <w:r>
              <w:rPr>
                <w:sz w:val="24"/>
                <w:szCs w:val="24"/>
              </w:rPr>
              <w:t>6</w:t>
            </w:r>
          </w:p>
        </w:tc>
        <w:tc>
          <w:tcPr>
            <w:tcW w:w="8647" w:type="dxa"/>
          </w:tcPr>
          <w:p w14:paraId="1EB7DF5A" w14:textId="04AE789A" w:rsidR="0098730C" w:rsidRDefault="0098730C" w:rsidP="0098730C">
            <w:pPr>
              <w:rPr>
                <w:sz w:val="24"/>
                <w:szCs w:val="24"/>
              </w:rPr>
            </w:pPr>
            <w:r>
              <w:rPr>
                <w:sz w:val="24"/>
                <w:szCs w:val="24"/>
              </w:rPr>
              <w:t>Privacy Impact and Data Protection</w:t>
            </w:r>
          </w:p>
          <w:p w14:paraId="345563EB" w14:textId="77777777" w:rsidR="007453A1" w:rsidRDefault="007453A1" w:rsidP="0098730C">
            <w:pPr>
              <w:rPr>
                <w:sz w:val="24"/>
                <w:szCs w:val="24"/>
              </w:rPr>
            </w:pPr>
          </w:p>
          <w:p w14:paraId="4AB7483F" w14:textId="194E5D76" w:rsidR="006434B7" w:rsidRDefault="002D51EB" w:rsidP="000100DD">
            <w:pPr>
              <w:rPr>
                <w:sz w:val="24"/>
                <w:szCs w:val="24"/>
              </w:rPr>
            </w:pPr>
            <w:r>
              <w:rPr>
                <w:sz w:val="24"/>
                <w:szCs w:val="24"/>
              </w:rPr>
              <w:t>N/A</w:t>
            </w:r>
          </w:p>
          <w:p w14:paraId="06F7318F" w14:textId="07B1CAA1" w:rsidR="00CD3CA0" w:rsidRDefault="00CD3CA0" w:rsidP="000100DD">
            <w:pPr>
              <w:rPr>
                <w:sz w:val="24"/>
                <w:szCs w:val="24"/>
              </w:rPr>
            </w:pPr>
          </w:p>
        </w:tc>
      </w:tr>
      <w:tr w:rsidR="0098730C" w14:paraId="1AF7C491" w14:textId="77777777" w:rsidTr="00B86375">
        <w:tc>
          <w:tcPr>
            <w:tcW w:w="846" w:type="dxa"/>
          </w:tcPr>
          <w:p w14:paraId="55BA8BDA" w14:textId="12DBE084" w:rsidR="0098730C" w:rsidRDefault="0098730C" w:rsidP="0098730C">
            <w:pPr>
              <w:rPr>
                <w:sz w:val="24"/>
                <w:szCs w:val="24"/>
              </w:rPr>
            </w:pPr>
            <w:r>
              <w:rPr>
                <w:sz w:val="24"/>
                <w:szCs w:val="24"/>
              </w:rPr>
              <w:t>7</w:t>
            </w:r>
          </w:p>
        </w:tc>
        <w:tc>
          <w:tcPr>
            <w:tcW w:w="8647" w:type="dxa"/>
          </w:tcPr>
          <w:p w14:paraId="70940874" w14:textId="77777777" w:rsidR="0098730C" w:rsidRDefault="0098730C" w:rsidP="0098730C">
            <w:pPr>
              <w:rPr>
                <w:sz w:val="24"/>
                <w:szCs w:val="24"/>
              </w:rPr>
            </w:pPr>
            <w:r>
              <w:rPr>
                <w:sz w:val="24"/>
                <w:szCs w:val="24"/>
              </w:rPr>
              <w:t>Communications and Engagement</w:t>
            </w:r>
          </w:p>
          <w:p w14:paraId="40EA8B6A" w14:textId="77777777" w:rsidR="0098730C" w:rsidRDefault="0098730C" w:rsidP="0098730C">
            <w:pPr>
              <w:rPr>
                <w:sz w:val="24"/>
                <w:szCs w:val="24"/>
              </w:rPr>
            </w:pPr>
          </w:p>
          <w:p w14:paraId="7937D1E4" w14:textId="77777777" w:rsidR="00937963" w:rsidRDefault="00CD3CA0" w:rsidP="00CD3CA0">
            <w:pPr>
              <w:rPr>
                <w:sz w:val="24"/>
                <w:szCs w:val="24"/>
              </w:rPr>
            </w:pPr>
            <w:r>
              <w:rPr>
                <w:sz w:val="24"/>
                <w:szCs w:val="24"/>
              </w:rPr>
              <w:t>It is a condition of our Framework Agreement with the Scottish Government that we publish our business plan and we will do this once it has been approved by the Board</w:t>
            </w:r>
            <w:r w:rsidR="006434B7">
              <w:rPr>
                <w:sz w:val="24"/>
                <w:szCs w:val="24"/>
              </w:rPr>
              <w:t>.</w:t>
            </w:r>
          </w:p>
          <w:p w14:paraId="7A15374F" w14:textId="73D97A5A" w:rsidR="002D51EB" w:rsidRDefault="002D51EB" w:rsidP="00CD3CA0">
            <w:pPr>
              <w:rPr>
                <w:sz w:val="24"/>
                <w:szCs w:val="24"/>
              </w:rPr>
            </w:pPr>
          </w:p>
        </w:tc>
      </w:tr>
    </w:tbl>
    <w:p w14:paraId="4B1C2E80" w14:textId="642F9EA5"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31DDCF42" w14:textId="77777777" w:rsidTr="00937963">
        <w:tc>
          <w:tcPr>
            <w:tcW w:w="9493" w:type="dxa"/>
            <w:shd w:val="clear" w:color="auto" w:fill="D9D9D9" w:themeFill="background1" w:themeFillShade="D9"/>
          </w:tcPr>
          <w:p w14:paraId="54D95D51" w14:textId="3998B703" w:rsidR="00937963" w:rsidRPr="0098730C" w:rsidRDefault="00937963" w:rsidP="00724A08">
            <w:pPr>
              <w:rPr>
                <w:b/>
                <w:sz w:val="24"/>
                <w:szCs w:val="24"/>
              </w:rPr>
            </w:pPr>
            <w:r>
              <w:rPr>
                <w:b/>
                <w:sz w:val="24"/>
                <w:szCs w:val="24"/>
              </w:rPr>
              <w:t>Conclusion and next steps</w:t>
            </w:r>
          </w:p>
        </w:tc>
      </w:tr>
      <w:tr w:rsidR="00937963" w14:paraId="3838D343" w14:textId="77777777" w:rsidTr="00937963">
        <w:tc>
          <w:tcPr>
            <w:tcW w:w="9493" w:type="dxa"/>
          </w:tcPr>
          <w:p w14:paraId="751FAD55" w14:textId="2DE55497" w:rsidR="00937963" w:rsidRDefault="00EA71BD" w:rsidP="00D1335E">
            <w:pPr>
              <w:rPr>
                <w:sz w:val="24"/>
                <w:szCs w:val="24"/>
              </w:rPr>
            </w:pPr>
            <w:r>
              <w:rPr>
                <w:sz w:val="24"/>
                <w:szCs w:val="24"/>
              </w:rPr>
              <w:t xml:space="preserve">Subject to approval, we will publish the plan </w:t>
            </w:r>
            <w:r w:rsidR="00CE72E7">
              <w:rPr>
                <w:sz w:val="24"/>
                <w:szCs w:val="24"/>
              </w:rPr>
              <w:t>after making some design and formatting improvements</w:t>
            </w:r>
            <w:bookmarkStart w:id="0" w:name="_GoBack"/>
            <w:bookmarkEnd w:id="0"/>
            <w:r w:rsidR="00CE72E7">
              <w:rPr>
                <w:sz w:val="24"/>
                <w:szCs w:val="24"/>
              </w:rPr>
              <w:t xml:space="preserve">, </w:t>
            </w:r>
            <w:r>
              <w:rPr>
                <w:sz w:val="24"/>
                <w:szCs w:val="24"/>
              </w:rPr>
              <w:t xml:space="preserve">and report on progress to the Board </w:t>
            </w:r>
            <w:r w:rsidR="00D1335E">
              <w:rPr>
                <w:sz w:val="24"/>
                <w:szCs w:val="24"/>
              </w:rPr>
              <w:t xml:space="preserve">quarterly. </w:t>
            </w:r>
          </w:p>
          <w:p w14:paraId="2A130F25" w14:textId="6A81156C" w:rsidR="001E5D5F" w:rsidRDefault="001E5D5F" w:rsidP="00D1335E">
            <w:pPr>
              <w:rPr>
                <w:sz w:val="24"/>
                <w:szCs w:val="24"/>
              </w:rPr>
            </w:pPr>
          </w:p>
        </w:tc>
      </w:tr>
    </w:tbl>
    <w:p w14:paraId="50FF9474" w14:textId="56D13215" w:rsidR="009E2DC6" w:rsidRDefault="009E2DC6" w:rsidP="00B26F64">
      <w:pPr>
        <w:rPr>
          <w:sz w:val="24"/>
          <w:szCs w:val="24"/>
        </w:rPr>
      </w:pPr>
    </w:p>
    <w:tbl>
      <w:tblPr>
        <w:tblStyle w:val="TableGrid"/>
        <w:tblW w:w="0" w:type="auto"/>
        <w:tblLook w:val="04A0" w:firstRow="1" w:lastRow="0" w:firstColumn="1" w:lastColumn="0" w:noHBand="0" w:noVBand="1"/>
      </w:tblPr>
      <w:tblGrid>
        <w:gridCol w:w="9202"/>
      </w:tblGrid>
      <w:tr w:rsidR="00B668B4" w14:paraId="4A7EE01D" w14:textId="77777777" w:rsidTr="00D566C3">
        <w:tc>
          <w:tcPr>
            <w:tcW w:w="9322" w:type="dxa"/>
            <w:shd w:val="clear" w:color="auto" w:fill="D9D9D9" w:themeFill="background1" w:themeFillShade="D9"/>
          </w:tcPr>
          <w:p w14:paraId="343403B4" w14:textId="12892C3A" w:rsidR="00B668B4" w:rsidRPr="0098730C" w:rsidRDefault="00B668B4" w:rsidP="00B86375">
            <w:pPr>
              <w:rPr>
                <w:b/>
                <w:sz w:val="24"/>
                <w:szCs w:val="24"/>
              </w:rPr>
            </w:pPr>
            <w:r w:rsidRPr="0098730C">
              <w:rPr>
                <w:b/>
                <w:sz w:val="24"/>
                <w:szCs w:val="24"/>
              </w:rPr>
              <w:t>Appendices/Further Reading</w:t>
            </w:r>
          </w:p>
        </w:tc>
      </w:tr>
      <w:tr w:rsidR="00B668B4" w14:paraId="07089B62" w14:textId="77777777" w:rsidTr="00D566C3">
        <w:tc>
          <w:tcPr>
            <w:tcW w:w="9322" w:type="dxa"/>
            <w:tcBorders>
              <w:right w:val="single" w:sz="4" w:space="0" w:color="auto"/>
            </w:tcBorders>
          </w:tcPr>
          <w:p w14:paraId="021F7AF1" w14:textId="77777777" w:rsidR="00D1335E" w:rsidRDefault="00CD3CA0" w:rsidP="00D1335E">
            <w:pPr>
              <w:rPr>
                <w:sz w:val="24"/>
                <w:szCs w:val="24"/>
              </w:rPr>
            </w:pPr>
            <w:r w:rsidRPr="00EF7F47">
              <w:rPr>
                <w:b/>
                <w:sz w:val="24"/>
                <w:szCs w:val="24"/>
              </w:rPr>
              <w:t>Appendix</w:t>
            </w:r>
            <w:r w:rsidR="00D566C3" w:rsidRPr="00EF7F47">
              <w:rPr>
                <w:b/>
                <w:sz w:val="24"/>
                <w:szCs w:val="24"/>
              </w:rPr>
              <w:t xml:space="preserve"> 1</w:t>
            </w:r>
            <w:r>
              <w:rPr>
                <w:sz w:val="24"/>
                <w:szCs w:val="24"/>
              </w:rPr>
              <w:t xml:space="preserve"> </w:t>
            </w:r>
            <w:r w:rsidR="00D566C3">
              <w:rPr>
                <w:sz w:val="24"/>
                <w:szCs w:val="24"/>
              </w:rPr>
              <w:t>–</w:t>
            </w:r>
            <w:r w:rsidR="00D1335E">
              <w:rPr>
                <w:sz w:val="24"/>
                <w:szCs w:val="24"/>
              </w:rPr>
              <w:t xml:space="preserve">Report on activity 2020-21 </w:t>
            </w:r>
          </w:p>
          <w:p w14:paraId="484B2CF5" w14:textId="061B2FC6" w:rsidR="002D51EB" w:rsidRDefault="00D1335E" w:rsidP="00D1335E">
            <w:pPr>
              <w:rPr>
                <w:sz w:val="24"/>
                <w:szCs w:val="24"/>
              </w:rPr>
            </w:pPr>
            <w:r w:rsidRPr="00D1335E">
              <w:rPr>
                <w:b/>
                <w:sz w:val="24"/>
                <w:szCs w:val="24"/>
              </w:rPr>
              <w:t xml:space="preserve">Appendix </w:t>
            </w:r>
            <w:r>
              <w:rPr>
                <w:sz w:val="24"/>
                <w:szCs w:val="24"/>
              </w:rPr>
              <w:t>2 – Business Plan 2021-22</w:t>
            </w:r>
            <w:r w:rsidR="00EA71BD">
              <w:rPr>
                <w:sz w:val="24"/>
                <w:szCs w:val="24"/>
              </w:rPr>
              <w:t xml:space="preserve"> </w:t>
            </w:r>
          </w:p>
        </w:tc>
      </w:tr>
    </w:tbl>
    <w:p w14:paraId="516DD4FA" w14:textId="77777777" w:rsidR="00CD3CA0" w:rsidRDefault="00CD3CA0" w:rsidP="00F72146"/>
    <w:p w14:paraId="48FDAD56" w14:textId="62635BB8" w:rsidR="00CD3CA0" w:rsidRPr="00CD3CA0" w:rsidRDefault="00CD3CA0" w:rsidP="74596F86">
      <w:pPr>
        <w:rPr>
          <w:b/>
          <w:bCs/>
          <w:sz w:val="24"/>
          <w:szCs w:val="24"/>
        </w:rPr>
      </w:pPr>
    </w:p>
    <w:sectPr w:rsidR="00CD3CA0" w:rsidRPr="00CD3CA0" w:rsidSect="0078731A">
      <w:headerReference w:type="default" r:id="rId13"/>
      <w:footerReference w:type="default" r:id="rId14"/>
      <w:headerReference w:type="first" r:id="rId15"/>
      <w:footerReference w:type="first" r:id="rId16"/>
      <w:pgSz w:w="11906" w:h="16838"/>
      <w:pgMar w:top="1276" w:right="1134" w:bottom="1440" w:left="1560"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7023" w14:textId="77777777" w:rsidR="00500D50" w:rsidRDefault="00500D50" w:rsidP="00EB61A3">
      <w:r>
        <w:separator/>
      </w:r>
    </w:p>
  </w:endnote>
  <w:endnote w:type="continuationSeparator" w:id="0">
    <w:p w14:paraId="2B094C50" w14:textId="77777777" w:rsidR="00500D50" w:rsidRDefault="00500D50" w:rsidP="00EB61A3">
      <w:r>
        <w:continuationSeparator/>
      </w:r>
    </w:p>
  </w:endnote>
  <w:endnote w:type="continuationNotice" w:id="1">
    <w:p w14:paraId="795CF365" w14:textId="77777777" w:rsidR="00500D50" w:rsidRDefault="00500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CA1" w14:textId="0AD6DCBE" w:rsidR="00EF7F47" w:rsidRPr="00101A53" w:rsidRDefault="00EF7F4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CE72E7">
      <w:rPr>
        <w:b/>
        <w:noProof/>
        <w:color w:val="003978"/>
      </w:rPr>
      <w:t>5</w:t>
    </w:r>
    <w:r w:rsidRPr="00101A53">
      <w:rPr>
        <w:b/>
        <w:noProof/>
        <w:color w:val="003978"/>
      </w:rPr>
      <w:fldChar w:fldCharType="end"/>
    </w:r>
  </w:p>
  <w:p w14:paraId="5322ED5A" w14:textId="77777777" w:rsidR="00EF7F47" w:rsidRDefault="00EF7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8A69" w14:textId="01323C1D" w:rsidR="00EF7F47" w:rsidRPr="00101A53" w:rsidRDefault="00EF7F4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CE72E7">
      <w:rPr>
        <w:b/>
        <w:noProof/>
        <w:color w:val="003978"/>
      </w:rPr>
      <w:t>1</w:t>
    </w:r>
    <w:r w:rsidRPr="00101A53">
      <w:rPr>
        <w:b/>
        <w:noProof/>
        <w:color w:val="003978"/>
      </w:rPr>
      <w:fldChar w:fldCharType="end"/>
    </w:r>
  </w:p>
  <w:p w14:paraId="4142D0C4" w14:textId="77777777" w:rsidR="00EF7F47" w:rsidRDefault="00EF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7607" w14:textId="77777777" w:rsidR="00500D50" w:rsidRDefault="00500D50" w:rsidP="00EB61A3">
      <w:r>
        <w:separator/>
      </w:r>
    </w:p>
  </w:footnote>
  <w:footnote w:type="continuationSeparator" w:id="0">
    <w:p w14:paraId="724BBEB2" w14:textId="77777777" w:rsidR="00500D50" w:rsidRDefault="00500D50" w:rsidP="00EB61A3">
      <w:r>
        <w:continuationSeparator/>
      </w:r>
    </w:p>
  </w:footnote>
  <w:footnote w:type="continuationNotice" w:id="1">
    <w:p w14:paraId="44E3D728" w14:textId="77777777" w:rsidR="00500D50" w:rsidRDefault="00500D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59E" w14:textId="7599D3E2" w:rsidR="00EF7F47" w:rsidRDefault="00EF7F47" w:rsidP="00AA6E92">
    <w:pPr>
      <w:pStyle w:val="Header"/>
    </w:pPr>
    <w:r>
      <w:rPr>
        <w:noProof/>
        <w:lang w:eastAsia="en-GB"/>
      </w:rPr>
      <w:drawing>
        <wp:anchor distT="0" distB="0" distL="114300" distR="114300" simplePos="0" relativeHeight="251658240" behindDoc="1" locked="0" layoutInCell="1" allowOverlap="1" wp14:anchorId="45FA2FCE" wp14:editId="2962695B">
          <wp:simplePos x="0" y="0"/>
          <wp:positionH relativeFrom="page">
            <wp:posOffset>9229725</wp:posOffset>
          </wp:positionH>
          <wp:positionV relativeFrom="page">
            <wp:posOffset>0</wp:posOffset>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9D5C" w14:textId="1ADA6452" w:rsidR="00EF7F47" w:rsidRDefault="00EF7F47">
    <w:pPr>
      <w:pStyle w:val="Header"/>
    </w:pPr>
    <w:r>
      <w:rPr>
        <w:noProof/>
        <w:lang w:eastAsia="en-GB"/>
      </w:rPr>
      <w:drawing>
        <wp:anchor distT="0" distB="0" distL="114300" distR="114300" simplePos="0" relativeHeight="251658241" behindDoc="1" locked="0" layoutInCell="1" allowOverlap="1" wp14:anchorId="77BD4B76" wp14:editId="25BE3624">
          <wp:simplePos x="0" y="0"/>
          <wp:positionH relativeFrom="page">
            <wp:align>right</wp:align>
          </wp:positionH>
          <wp:positionV relativeFrom="page">
            <wp:align>top</wp:align>
          </wp:positionV>
          <wp:extent cx="1466850" cy="15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09D7E84A" wp14:editId="068159ED">
          <wp:simplePos x="0" y="0"/>
          <wp:positionH relativeFrom="page">
            <wp:posOffset>9239250</wp:posOffset>
          </wp:positionH>
          <wp:positionV relativeFrom="page">
            <wp:posOffset>-4445</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00821027">
      <w:rPr>
        <w:noProof/>
        <w:lang w:eastAsia="en-GB"/>
      </w:rPr>
      <w:drawing>
        <wp:inline distT="0" distB="0" distL="0" distR="0" wp14:anchorId="47476CB0" wp14:editId="1A21800B">
          <wp:extent cx="647700" cy="8547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 cy="85471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03A89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44AD5426"/>
    <w:multiLevelType w:val="hybridMultilevel"/>
    <w:tmpl w:val="31AABEEE"/>
    <w:lvl w:ilvl="0" w:tplc="47D65764">
      <w:start w:val="1"/>
      <w:numFmt w:val="bullet"/>
      <w:lvlText w:val=""/>
      <w:lvlJc w:val="left"/>
      <w:pPr>
        <w:tabs>
          <w:tab w:val="num" w:pos="680"/>
        </w:tabs>
        <w:ind w:left="68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40853"/>
    <w:multiLevelType w:val="hybridMultilevel"/>
    <w:tmpl w:val="A11A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51FFE"/>
    <w:multiLevelType w:val="multilevel"/>
    <w:tmpl w:val="4436606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4"/>
  </w:num>
  <w:num w:numId="4">
    <w:abstractNumId w:val="26"/>
  </w:num>
  <w:num w:numId="5">
    <w:abstractNumId w:val="30"/>
  </w:num>
  <w:num w:numId="6">
    <w:abstractNumId w:val="3"/>
  </w:num>
  <w:num w:numId="7">
    <w:abstractNumId w:val="23"/>
  </w:num>
  <w:num w:numId="8">
    <w:abstractNumId w:val="14"/>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9"/>
  </w:num>
  <w:num w:numId="12">
    <w:abstractNumId w:val="18"/>
  </w:num>
  <w:num w:numId="13">
    <w:abstractNumId w:val="9"/>
  </w:num>
  <w:num w:numId="14">
    <w:abstractNumId w:val="0"/>
  </w:num>
  <w:num w:numId="15">
    <w:abstractNumId w:val="35"/>
  </w:num>
  <w:num w:numId="16">
    <w:abstractNumId w:val="6"/>
  </w:num>
  <w:num w:numId="17">
    <w:abstractNumId w:val="40"/>
  </w:num>
  <w:num w:numId="18">
    <w:abstractNumId w:val="2"/>
  </w:num>
  <w:num w:numId="19">
    <w:abstractNumId w:val="12"/>
  </w:num>
  <w:num w:numId="20">
    <w:abstractNumId w:val="31"/>
  </w:num>
  <w:num w:numId="21">
    <w:abstractNumId w:val="19"/>
  </w:num>
  <w:num w:numId="22">
    <w:abstractNumId w:val="34"/>
  </w:num>
  <w:num w:numId="23">
    <w:abstractNumId w:val="39"/>
  </w:num>
  <w:num w:numId="24">
    <w:abstractNumId w:val="24"/>
  </w:num>
  <w:num w:numId="25">
    <w:abstractNumId w:val="36"/>
  </w:num>
  <w:num w:numId="26">
    <w:abstractNumId w:val="41"/>
  </w:num>
  <w:num w:numId="27">
    <w:abstractNumId w:val="20"/>
  </w:num>
  <w:num w:numId="28">
    <w:abstractNumId w:val="15"/>
  </w:num>
  <w:num w:numId="29">
    <w:abstractNumId w:val="32"/>
  </w:num>
  <w:num w:numId="30">
    <w:abstractNumId w:val="10"/>
  </w:num>
  <w:num w:numId="31">
    <w:abstractNumId w:val="38"/>
  </w:num>
  <w:num w:numId="32">
    <w:abstractNumId w:val="5"/>
  </w:num>
  <w:num w:numId="33">
    <w:abstractNumId w:val="8"/>
  </w:num>
  <w:num w:numId="34">
    <w:abstractNumId w:val="28"/>
  </w:num>
  <w:num w:numId="35">
    <w:abstractNumId w:val="11"/>
  </w:num>
  <w:num w:numId="36">
    <w:abstractNumId w:val="25"/>
  </w:num>
  <w:num w:numId="37">
    <w:abstractNumId w:val="37"/>
  </w:num>
  <w:num w:numId="38">
    <w:abstractNumId w:val="33"/>
  </w:num>
  <w:num w:numId="39">
    <w:abstractNumId w:val="17"/>
  </w:num>
  <w:num w:numId="40">
    <w:abstractNumId w:val="13"/>
  </w:num>
  <w:num w:numId="41">
    <w:abstractNumId w:val="7"/>
  </w:num>
  <w:num w:numId="42">
    <w:abstractNumId w:val="2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23109"/>
    <w:rsid w:val="00024D0A"/>
    <w:rsid w:val="00033D05"/>
    <w:rsid w:val="000345B0"/>
    <w:rsid w:val="00042E2C"/>
    <w:rsid w:val="000470D4"/>
    <w:rsid w:val="00050C19"/>
    <w:rsid w:val="00061F2B"/>
    <w:rsid w:val="00074279"/>
    <w:rsid w:val="00084CDD"/>
    <w:rsid w:val="00086215"/>
    <w:rsid w:val="000919A9"/>
    <w:rsid w:val="00094ED8"/>
    <w:rsid w:val="000A0DBF"/>
    <w:rsid w:val="000B2DF9"/>
    <w:rsid w:val="000B470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62B9"/>
    <w:rsid w:val="00117C91"/>
    <w:rsid w:val="00121B80"/>
    <w:rsid w:val="00126ADB"/>
    <w:rsid w:val="00127B2F"/>
    <w:rsid w:val="00130654"/>
    <w:rsid w:val="001313ED"/>
    <w:rsid w:val="00132CEF"/>
    <w:rsid w:val="00136C9F"/>
    <w:rsid w:val="00144FFE"/>
    <w:rsid w:val="00152C88"/>
    <w:rsid w:val="00154704"/>
    <w:rsid w:val="00154B8A"/>
    <w:rsid w:val="001566AC"/>
    <w:rsid w:val="00161856"/>
    <w:rsid w:val="00161E76"/>
    <w:rsid w:val="001626D3"/>
    <w:rsid w:val="001655F5"/>
    <w:rsid w:val="00165D87"/>
    <w:rsid w:val="00173523"/>
    <w:rsid w:val="00174A5C"/>
    <w:rsid w:val="00175255"/>
    <w:rsid w:val="00177009"/>
    <w:rsid w:val="00183523"/>
    <w:rsid w:val="0018575F"/>
    <w:rsid w:val="00190C39"/>
    <w:rsid w:val="00191EC1"/>
    <w:rsid w:val="00195F8C"/>
    <w:rsid w:val="001A4218"/>
    <w:rsid w:val="001A4E7F"/>
    <w:rsid w:val="001A6B79"/>
    <w:rsid w:val="001A6B90"/>
    <w:rsid w:val="001B490B"/>
    <w:rsid w:val="001B6D84"/>
    <w:rsid w:val="001B71D3"/>
    <w:rsid w:val="001B723B"/>
    <w:rsid w:val="001B74E0"/>
    <w:rsid w:val="001C1118"/>
    <w:rsid w:val="001C676D"/>
    <w:rsid w:val="001C76FD"/>
    <w:rsid w:val="001D44A5"/>
    <w:rsid w:val="001D5819"/>
    <w:rsid w:val="001E0D45"/>
    <w:rsid w:val="001E49E5"/>
    <w:rsid w:val="001E5422"/>
    <w:rsid w:val="001E5D5F"/>
    <w:rsid w:val="001E6FB0"/>
    <w:rsid w:val="00200400"/>
    <w:rsid w:val="00203CA2"/>
    <w:rsid w:val="002055CC"/>
    <w:rsid w:val="0020799E"/>
    <w:rsid w:val="0021150B"/>
    <w:rsid w:val="00211C22"/>
    <w:rsid w:val="00215658"/>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64C5"/>
    <w:rsid w:val="002565BE"/>
    <w:rsid w:val="0026318B"/>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4DBD"/>
    <w:rsid w:val="002C598A"/>
    <w:rsid w:val="002C6823"/>
    <w:rsid w:val="002D0165"/>
    <w:rsid w:val="002D318B"/>
    <w:rsid w:val="002D42AE"/>
    <w:rsid w:val="002D51EB"/>
    <w:rsid w:val="002D55AC"/>
    <w:rsid w:val="002D5D04"/>
    <w:rsid w:val="002D7A2A"/>
    <w:rsid w:val="002F0C6E"/>
    <w:rsid w:val="002F163A"/>
    <w:rsid w:val="00300F9C"/>
    <w:rsid w:val="00302AAA"/>
    <w:rsid w:val="003038AC"/>
    <w:rsid w:val="003049B5"/>
    <w:rsid w:val="003115F3"/>
    <w:rsid w:val="003133C3"/>
    <w:rsid w:val="00322814"/>
    <w:rsid w:val="00330F5E"/>
    <w:rsid w:val="003317BC"/>
    <w:rsid w:val="00333C9D"/>
    <w:rsid w:val="00334D54"/>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745A6"/>
    <w:rsid w:val="00374684"/>
    <w:rsid w:val="00384603"/>
    <w:rsid w:val="00386430"/>
    <w:rsid w:val="00390110"/>
    <w:rsid w:val="00394456"/>
    <w:rsid w:val="003A0869"/>
    <w:rsid w:val="003A1007"/>
    <w:rsid w:val="003A614B"/>
    <w:rsid w:val="003B13DB"/>
    <w:rsid w:val="003B55B1"/>
    <w:rsid w:val="003B5E92"/>
    <w:rsid w:val="003B606E"/>
    <w:rsid w:val="003B60A7"/>
    <w:rsid w:val="003C02C2"/>
    <w:rsid w:val="003C512E"/>
    <w:rsid w:val="003C7DDC"/>
    <w:rsid w:val="003D02D0"/>
    <w:rsid w:val="003D12A4"/>
    <w:rsid w:val="003D1779"/>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A1216"/>
    <w:rsid w:val="004A7606"/>
    <w:rsid w:val="004B26E4"/>
    <w:rsid w:val="004C0D36"/>
    <w:rsid w:val="004C16E8"/>
    <w:rsid w:val="004C364B"/>
    <w:rsid w:val="004C4D2A"/>
    <w:rsid w:val="004C5352"/>
    <w:rsid w:val="004C766B"/>
    <w:rsid w:val="004D03ED"/>
    <w:rsid w:val="004D7C06"/>
    <w:rsid w:val="004E07C9"/>
    <w:rsid w:val="004E5B3A"/>
    <w:rsid w:val="004E6B6E"/>
    <w:rsid w:val="004F4F6E"/>
    <w:rsid w:val="004F7F36"/>
    <w:rsid w:val="00500D50"/>
    <w:rsid w:val="00505947"/>
    <w:rsid w:val="00506B5E"/>
    <w:rsid w:val="00507349"/>
    <w:rsid w:val="005126E6"/>
    <w:rsid w:val="00520987"/>
    <w:rsid w:val="0052151B"/>
    <w:rsid w:val="00526C99"/>
    <w:rsid w:val="0052757E"/>
    <w:rsid w:val="005304E7"/>
    <w:rsid w:val="00530B6E"/>
    <w:rsid w:val="0053321A"/>
    <w:rsid w:val="00534214"/>
    <w:rsid w:val="0053573C"/>
    <w:rsid w:val="00543F04"/>
    <w:rsid w:val="00544E25"/>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5939"/>
    <w:rsid w:val="005972E4"/>
    <w:rsid w:val="005A2C69"/>
    <w:rsid w:val="005A5B12"/>
    <w:rsid w:val="005B082A"/>
    <w:rsid w:val="005B1355"/>
    <w:rsid w:val="005B7399"/>
    <w:rsid w:val="005C4FF3"/>
    <w:rsid w:val="005C696F"/>
    <w:rsid w:val="005D021C"/>
    <w:rsid w:val="005D6D9B"/>
    <w:rsid w:val="005D790E"/>
    <w:rsid w:val="005F55F1"/>
    <w:rsid w:val="005F6458"/>
    <w:rsid w:val="00603254"/>
    <w:rsid w:val="00607E08"/>
    <w:rsid w:val="006108A0"/>
    <w:rsid w:val="0061108A"/>
    <w:rsid w:val="00613F2F"/>
    <w:rsid w:val="00615E91"/>
    <w:rsid w:val="006177D9"/>
    <w:rsid w:val="00621ED3"/>
    <w:rsid w:val="00623880"/>
    <w:rsid w:val="006308AD"/>
    <w:rsid w:val="00632ED8"/>
    <w:rsid w:val="006352FA"/>
    <w:rsid w:val="00635547"/>
    <w:rsid w:val="006434B7"/>
    <w:rsid w:val="00647EDF"/>
    <w:rsid w:val="006507D0"/>
    <w:rsid w:val="00651FFD"/>
    <w:rsid w:val="00652BEF"/>
    <w:rsid w:val="00652C18"/>
    <w:rsid w:val="006630FB"/>
    <w:rsid w:val="00671914"/>
    <w:rsid w:val="00672DED"/>
    <w:rsid w:val="00675A05"/>
    <w:rsid w:val="00675C31"/>
    <w:rsid w:val="00682953"/>
    <w:rsid w:val="0068348E"/>
    <w:rsid w:val="006846DE"/>
    <w:rsid w:val="0068578D"/>
    <w:rsid w:val="0069215B"/>
    <w:rsid w:val="006A1845"/>
    <w:rsid w:val="006A1AA2"/>
    <w:rsid w:val="006A1C19"/>
    <w:rsid w:val="006B0F32"/>
    <w:rsid w:val="006C1720"/>
    <w:rsid w:val="006C3F98"/>
    <w:rsid w:val="006D31A6"/>
    <w:rsid w:val="006D4FBF"/>
    <w:rsid w:val="006E0AEE"/>
    <w:rsid w:val="006E1FDC"/>
    <w:rsid w:val="006E432C"/>
    <w:rsid w:val="006E5262"/>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4A08"/>
    <w:rsid w:val="00725EB9"/>
    <w:rsid w:val="0072707E"/>
    <w:rsid w:val="007306CC"/>
    <w:rsid w:val="0073110C"/>
    <w:rsid w:val="00731944"/>
    <w:rsid w:val="00735215"/>
    <w:rsid w:val="00736091"/>
    <w:rsid w:val="00737155"/>
    <w:rsid w:val="00740ED1"/>
    <w:rsid w:val="00741AC1"/>
    <w:rsid w:val="007449FF"/>
    <w:rsid w:val="007453A1"/>
    <w:rsid w:val="00751312"/>
    <w:rsid w:val="00760333"/>
    <w:rsid w:val="007611D5"/>
    <w:rsid w:val="0076292A"/>
    <w:rsid w:val="00763BCD"/>
    <w:rsid w:val="00767B93"/>
    <w:rsid w:val="007745CF"/>
    <w:rsid w:val="00777096"/>
    <w:rsid w:val="00783D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F57"/>
    <w:rsid w:val="008445DF"/>
    <w:rsid w:val="00844F42"/>
    <w:rsid w:val="00845B83"/>
    <w:rsid w:val="00845BA4"/>
    <w:rsid w:val="0084702A"/>
    <w:rsid w:val="0085089D"/>
    <w:rsid w:val="00856355"/>
    <w:rsid w:val="00861BE0"/>
    <w:rsid w:val="00862395"/>
    <w:rsid w:val="008648A4"/>
    <w:rsid w:val="00864A16"/>
    <w:rsid w:val="0087074A"/>
    <w:rsid w:val="008717C0"/>
    <w:rsid w:val="00872911"/>
    <w:rsid w:val="00874B41"/>
    <w:rsid w:val="008766CB"/>
    <w:rsid w:val="00877CE8"/>
    <w:rsid w:val="008837DF"/>
    <w:rsid w:val="0088652B"/>
    <w:rsid w:val="00890A0F"/>
    <w:rsid w:val="008947C4"/>
    <w:rsid w:val="008A23F6"/>
    <w:rsid w:val="008A2FFC"/>
    <w:rsid w:val="008A42FA"/>
    <w:rsid w:val="008B00A4"/>
    <w:rsid w:val="008B08DB"/>
    <w:rsid w:val="008B11CC"/>
    <w:rsid w:val="008B42E7"/>
    <w:rsid w:val="008B54C1"/>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259A7"/>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7D0"/>
    <w:rsid w:val="00A8721E"/>
    <w:rsid w:val="00A9083A"/>
    <w:rsid w:val="00A90877"/>
    <w:rsid w:val="00AA450E"/>
    <w:rsid w:val="00AA6E92"/>
    <w:rsid w:val="00AB2F14"/>
    <w:rsid w:val="00AB4B32"/>
    <w:rsid w:val="00AB5B6E"/>
    <w:rsid w:val="00AB7CF1"/>
    <w:rsid w:val="00AC01FF"/>
    <w:rsid w:val="00AC1BC6"/>
    <w:rsid w:val="00AC5D99"/>
    <w:rsid w:val="00AD52FA"/>
    <w:rsid w:val="00AE47FF"/>
    <w:rsid w:val="00AE5F8B"/>
    <w:rsid w:val="00AF080D"/>
    <w:rsid w:val="00AF210B"/>
    <w:rsid w:val="00AF450F"/>
    <w:rsid w:val="00AF6F35"/>
    <w:rsid w:val="00B03190"/>
    <w:rsid w:val="00B12383"/>
    <w:rsid w:val="00B2036B"/>
    <w:rsid w:val="00B24C33"/>
    <w:rsid w:val="00B269E3"/>
    <w:rsid w:val="00B26F64"/>
    <w:rsid w:val="00B315CB"/>
    <w:rsid w:val="00B35063"/>
    <w:rsid w:val="00B35665"/>
    <w:rsid w:val="00B416D8"/>
    <w:rsid w:val="00B42FE8"/>
    <w:rsid w:val="00B4350F"/>
    <w:rsid w:val="00B55CE6"/>
    <w:rsid w:val="00B65BBA"/>
    <w:rsid w:val="00B668B4"/>
    <w:rsid w:val="00B66B25"/>
    <w:rsid w:val="00B7127C"/>
    <w:rsid w:val="00B823F7"/>
    <w:rsid w:val="00B8423E"/>
    <w:rsid w:val="00B86375"/>
    <w:rsid w:val="00B86604"/>
    <w:rsid w:val="00B9328A"/>
    <w:rsid w:val="00B95AB7"/>
    <w:rsid w:val="00B95BF5"/>
    <w:rsid w:val="00BA3348"/>
    <w:rsid w:val="00BB5293"/>
    <w:rsid w:val="00BB64D3"/>
    <w:rsid w:val="00BC09DA"/>
    <w:rsid w:val="00BC0DCA"/>
    <w:rsid w:val="00BC2A30"/>
    <w:rsid w:val="00BC31F3"/>
    <w:rsid w:val="00BC4BD3"/>
    <w:rsid w:val="00BC5361"/>
    <w:rsid w:val="00BD23EE"/>
    <w:rsid w:val="00BD2F7E"/>
    <w:rsid w:val="00BD6F14"/>
    <w:rsid w:val="00BD7A3C"/>
    <w:rsid w:val="00BE1C8D"/>
    <w:rsid w:val="00BE3D27"/>
    <w:rsid w:val="00BE7F56"/>
    <w:rsid w:val="00BF1F69"/>
    <w:rsid w:val="00BF3ED0"/>
    <w:rsid w:val="00C01278"/>
    <w:rsid w:val="00C01373"/>
    <w:rsid w:val="00C028C8"/>
    <w:rsid w:val="00C04902"/>
    <w:rsid w:val="00C06E37"/>
    <w:rsid w:val="00C135A0"/>
    <w:rsid w:val="00C166AC"/>
    <w:rsid w:val="00C17710"/>
    <w:rsid w:val="00C2348E"/>
    <w:rsid w:val="00C26146"/>
    <w:rsid w:val="00C27610"/>
    <w:rsid w:val="00C30298"/>
    <w:rsid w:val="00C32CBA"/>
    <w:rsid w:val="00C33332"/>
    <w:rsid w:val="00C353B9"/>
    <w:rsid w:val="00C37D62"/>
    <w:rsid w:val="00C4195C"/>
    <w:rsid w:val="00C43063"/>
    <w:rsid w:val="00C466A1"/>
    <w:rsid w:val="00C525F0"/>
    <w:rsid w:val="00C546B8"/>
    <w:rsid w:val="00C565AB"/>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CA0"/>
    <w:rsid w:val="00CD3DAC"/>
    <w:rsid w:val="00CD480F"/>
    <w:rsid w:val="00CD66F5"/>
    <w:rsid w:val="00CE2C24"/>
    <w:rsid w:val="00CE3474"/>
    <w:rsid w:val="00CE598F"/>
    <w:rsid w:val="00CE72E7"/>
    <w:rsid w:val="00CF052C"/>
    <w:rsid w:val="00CF0F16"/>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4934"/>
    <w:rsid w:val="00D356E3"/>
    <w:rsid w:val="00D363FA"/>
    <w:rsid w:val="00D45AD4"/>
    <w:rsid w:val="00D46166"/>
    <w:rsid w:val="00D4736F"/>
    <w:rsid w:val="00D50A01"/>
    <w:rsid w:val="00D54120"/>
    <w:rsid w:val="00D56033"/>
    <w:rsid w:val="00D566C3"/>
    <w:rsid w:val="00D614F8"/>
    <w:rsid w:val="00D664C5"/>
    <w:rsid w:val="00D67253"/>
    <w:rsid w:val="00D71E20"/>
    <w:rsid w:val="00D821AA"/>
    <w:rsid w:val="00D8395C"/>
    <w:rsid w:val="00D86D79"/>
    <w:rsid w:val="00D86E0B"/>
    <w:rsid w:val="00D87764"/>
    <w:rsid w:val="00D91491"/>
    <w:rsid w:val="00D96BEB"/>
    <w:rsid w:val="00DA1437"/>
    <w:rsid w:val="00DA63BF"/>
    <w:rsid w:val="00DB4686"/>
    <w:rsid w:val="00DB5AEB"/>
    <w:rsid w:val="00DB703C"/>
    <w:rsid w:val="00DD007E"/>
    <w:rsid w:val="00DD028B"/>
    <w:rsid w:val="00DD116D"/>
    <w:rsid w:val="00DD365F"/>
    <w:rsid w:val="00DD5D2F"/>
    <w:rsid w:val="00DE3369"/>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42EC4"/>
    <w:rsid w:val="00E44258"/>
    <w:rsid w:val="00E47890"/>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C15E4"/>
    <w:rsid w:val="00EC63B9"/>
    <w:rsid w:val="00EC69FF"/>
    <w:rsid w:val="00ED0612"/>
    <w:rsid w:val="00ED0943"/>
    <w:rsid w:val="00ED2363"/>
    <w:rsid w:val="00ED2FF4"/>
    <w:rsid w:val="00EE3F68"/>
    <w:rsid w:val="00EF4754"/>
    <w:rsid w:val="00EF7F47"/>
    <w:rsid w:val="00F11C22"/>
    <w:rsid w:val="00F14B91"/>
    <w:rsid w:val="00F218E8"/>
    <w:rsid w:val="00F22D08"/>
    <w:rsid w:val="00F25957"/>
    <w:rsid w:val="00F33B2B"/>
    <w:rsid w:val="00F341AA"/>
    <w:rsid w:val="00F34F4B"/>
    <w:rsid w:val="00F35915"/>
    <w:rsid w:val="00F37FE9"/>
    <w:rsid w:val="00F401A7"/>
    <w:rsid w:val="00F5189D"/>
    <w:rsid w:val="00F52A78"/>
    <w:rsid w:val="00F6590C"/>
    <w:rsid w:val="00F65C54"/>
    <w:rsid w:val="00F666E1"/>
    <w:rsid w:val="00F67B32"/>
    <w:rsid w:val="00F700FA"/>
    <w:rsid w:val="00F72146"/>
    <w:rsid w:val="00F73EF3"/>
    <w:rsid w:val="00F747B3"/>
    <w:rsid w:val="00F75298"/>
    <w:rsid w:val="00F75883"/>
    <w:rsid w:val="00F75D29"/>
    <w:rsid w:val="00F851AC"/>
    <w:rsid w:val="00F85863"/>
    <w:rsid w:val="00F87335"/>
    <w:rsid w:val="00F965C2"/>
    <w:rsid w:val="00FA35D6"/>
    <w:rsid w:val="00FA431F"/>
    <w:rsid w:val="00FB2C2B"/>
    <w:rsid w:val="00FB6D76"/>
    <w:rsid w:val="00FC1320"/>
    <w:rsid w:val="00FC1FCC"/>
    <w:rsid w:val="00FC42D5"/>
    <w:rsid w:val="00FD0905"/>
    <w:rsid w:val="00FD3AFE"/>
    <w:rsid w:val="00FD57FE"/>
    <w:rsid w:val="00FE090F"/>
    <w:rsid w:val="00FE32C8"/>
    <w:rsid w:val="00FE4B4D"/>
    <w:rsid w:val="00FE502C"/>
    <w:rsid w:val="00FF0B99"/>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CA718"/>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cksonsan@sla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9a5051e9839242ed" Type="http://schemas.microsoft.com/office/2019/09/relationships/intelligence" Target="intelligenc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A827D0" w:rsidP="00A827D0">
          <w:pPr>
            <w:pStyle w:val="01D890378CF540CCACEE356704EF769A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137E8C"/>
    <w:rsid w:val="00295753"/>
    <w:rsid w:val="00363101"/>
    <w:rsid w:val="004652CD"/>
    <w:rsid w:val="00584FEE"/>
    <w:rsid w:val="006A1C19"/>
    <w:rsid w:val="00776E40"/>
    <w:rsid w:val="009322A7"/>
    <w:rsid w:val="009B7D00"/>
    <w:rsid w:val="00A827D0"/>
    <w:rsid w:val="00B16694"/>
    <w:rsid w:val="00C77D67"/>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1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23B3-E8AA-43EA-AEF3-0D562FFDC12C}">
  <ds:schemaRefs>
    <ds:schemaRef ds:uri="http://schemas.microsoft.com/office/2006/documentManagement/types"/>
    <ds:schemaRef ds:uri="http://purl.org/dc/terms/"/>
    <ds:schemaRef ds:uri="http://schemas.openxmlformats.org/package/2006/metadata/core-properties"/>
    <ds:schemaRef ds:uri="http://purl.org/dc/dcmitype/"/>
    <ds:schemaRef ds:uri="7b92766c-269e-409a-bccb-162c8ed7a0a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4.xml><?xml version="1.0" encoding="utf-8"?>
<ds:datastoreItem xmlns:ds="http://schemas.openxmlformats.org/officeDocument/2006/customXml" ds:itemID="{FAC51585-7F44-472C-9850-12ABC5D80FBE}">
  <ds:schemaRefs>
    <ds:schemaRef ds:uri="http://schemas.openxmlformats.org/officeDocument/2006/bibliography"/>
  </ds:schemaRefs>
</ds:datastoreItem>
</file>

<file path=customXml/itemProps5.xml><?xml version="1.0" encoding="utf-8"?>
<ds:datastoreItem xmlns:ds="http://schemas.openxmlformats.org/officeDocument/2006/customXml" ds:itemID="{BDC5743C-EBEB-4B2C-AB87-D470059A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Andrew McIntosh</cp:lastModifiedBy>
  <cp:revision>9</cp:revision>
  <cp:lastPrinted>2019-03-15T14:37:00Z</cp:lastPrinted>
  <dcterms:created xsi:type="dcterms:W3CDTF">2021-03-09T10:07:00Z</dcterms:created>
  <dcterms:modified xsi:type="dcterms:W3CDTF">2021-03-09T11:09:00Z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