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F64" w:rsidRPr="00B512B9" w:rsidRDefault="0023662B" w:rsidP="00E67425">
      <w:pPr>
        <w:ind w:left="1440" w:firstLine="72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7425">
        <w:rPr>
          <w:sz w:val="24"/>
          <w:szCs w:val="24"/>
        </w:rPr>
        <w:tab/>
      </w:r>
      <w:r w:rsidR="00B26F64" w:rsidRPr="00D6012C">
        <w:rPr>
          <w:sz w:val="24"/>
          <w:szCs w:val="24"/>
        </w:rPr>
        <w:t>Report No:</w:t>
      </w:r>
      <w:r w:rsidR="00E755E4" w:rsidRPr="00D6012C">
        <w:rPr>
          <w:sz w:val="24"/>
          <w:szCs w:val="24"/>
        </w:rPr>
        <w:t xml:space="preserve"> </w:t>
      </w:r>
      <w:r w:rsidR="0002748C" w:rsidRPr="00BB7A8E">
        <w:rPr>
          <w:b/>
          <w:color w:val="000000" w:themeColor="text1"/>
          <w:sz w:val="24"/>
          <w:szCs w:val="24"/>
        </w:rPr>
        <w:t>SLAB/</w:t>
      </w:r>
      <w:r w:rsidR="0002748C" w:rsidRPr="00772914">
        <w:rPr>
          <w:b/>
          <w:color w:val="000000" w:themeColor="text1"/>
          <w:sz w:val="24"/>
          <w:szCs w:val="24"/>
        </w:rPr>
        <w:t>20</w:t>
      </w:r>
      <w:r w:rsidR="009203F8">
        <w:rPr>
          <w:b/>
          <w:color w:val="000000" w:themeColor="text1"/>
          <w:sz w:val="24"/>
          <w:szCs w:val="24"/>
        </w:rPr>
        <w:t>21</w:t>
      </w:r>
      <w:r w:rsidR="00E755E4" w:rsidRPr="00772914">
        <w:rPr>
          <w:b/>
          <w:color w:val="000000" w:themeColor="text1"/>
          <w:sz w:val="24"/>
          <w:szCs w:val="24"/>
        </w:rPr>
        <w:t>/</w:t>
      </w:r>
      <w:r w:rsidR="00714995">
        <w:rPr>
          <w:b/>
          <w:sz w:val="24"/>
          <w:szCs w:val="24"/>
        </w:rPr>
        <w:t>02</w:t>
      </w:r>
    </w:p>
    <w:p w:rsidR="00B26F64" w:rsidRPr="00D6012C" w:rsidRDefault="00B26F64" w:rsidP="00B26F64">
      <w:pPr>
        <w:jc w:val="right"/>
        <w:rPr>
          <w:sz w:val="24"/>
          <w:szCs w:val="24"/>
        </w:rPr>
      </w:pPr>
      <w:r w:rsidRPr="00B512B9">
        <w:rPr>
          <w:sz w:val="24"/>
          <w:szCs w:val="24"/>
        </w:rPr>
        <w:t>Agenda Item:</w:t>
      </w:r>
      <w:r w:rsidR="00E755E4" w:rsidRPr="00B512B9">
        <w:rPr>
          <w:sz w:val="24"/>
          <w:szCs w:val="24"/>
        </w:rPr>
        <w:t xml:space="preserve"> </w:t>
      </w:r>
      <w:r w:rsidR="00714995">
        <w:rPr>
          <w:sz w:val="24"/>
          <w:szCs w:val="24"/>
        </w:rPr>
        <w:t>06</w:t>
      </w:r>
    </w:p>
    <w:p w:rsidR="00B26F64" w:rsidRPr="00DE249E" w:rsidRDefault="00B26F64" w:rsidP="00B26F64">
      <w:pPr>
        <w:jc w:val="right"/>
        <w:rPr>
          <w:sz w:val="24"/>
          <w:szCs w:val="24"/>
          <w:highlight w:val="yellow"/>
        </w:rPr>
      </w:pPr>
    </w:p>
    <w:p w:rsidR="00B26F64" w:rsidRPr="00DE249E" w:rsidRDefault="00B26F64" w:rsidP="00B26F64">
      <w:pPr>
        <w:rPr>
          <w:sz w:val="24"/>
          <w:szCs w:val="24"/>
          <w:highlight w:val="yellow"/>
        </w:rPr>
      </w:pPr>
    </w:p>
    <w:tbl>
      <w:tblPr>
        <w:tblStyle w:val="TableGrid"/>
        <w:tblpPr w:leftFromText="180" w:rightFromText="180" w:horzAnchor="margin" w:tblpY="885"/>
        <w:tblW w:w="9493" w:type="dxa"/>
        <w:tblLayout w:type="fixed"/>
        <w:tblLook w:val="04A0" w:firstRow="1" w:lastRow="0" w:firstColumn="1" w:lastColumn="0" w:noHBand="0" w:noVBand="1"/>
      </w:tblPr>
      <w:tblGrid>
        <w:gridCol w:w="2405"/>
        <w:gridCol w:w="7088"/>
      </w:tblGrid>
      <w:tr w:rsidR="00B26F64" w:rsidRPr="00DE249E" w:rsidTr="00F666E1">
        <w:tc>
          <w:tcPr>
            <w:tcW w:w="2405" w:type="dxa"/>
            <w:shd w:val="clear" w:color="auto" w:fill="D9D9D9" w:themeFill="background1" w:themeFillShade="D9"/>
          </w:tcPr>
          <w:p w:rsidR="000F7A82" w:rsidRPr="00576202" w:rsidRDefault="00B26F64" w:rsidP="00B86375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>Report to:</w:t>
            </w:r>
          </w:p>
        </w:tc>
        <w:sdt>
          <w:sdtPr>
            <w:rPr>
              <w:sz w:val="24"/>
              <w:szCs w:val="24"/>
            </w:rPr>
            <w:alias w:val="Report to"/>
            <w:tag w:val="Report to"/>
            <w:id w:val="-2087455742"/>
            <w:placeholder>
              <w:docPart w:val="68CBA6D5ACB243C5883AC53EF4918A29"/>
            </w:placeholder>
            <w:dropDownList>
              <w:listItem w:value="Choose an item."/>
              <w:listItem w:displayText="The Board" w:value="The Board"/>
              <w:listItem w:displayText="Legal Services Policy Committee" w:value="Legal Services Policy Committee"/>
              <w:listItem w:displayText="Remuneration and Applications Committee" w:value="Remuneration and Applications Committee"/>
              <w:listItem w:displayText="Audit Committee" w:value="Audit Committee"/>
              <w:listItem w:displayText="Section 31 Committee" w:value="Section 31 Committee"/>
              <w:listItem w:displayText="Review Committee" w:value="Review Committee"/>
            </w:dropDownList>
          </w:sdtPr>
          <w:sdtEndPr/>
          <w:sdtContent>
            <w:tc>
              <w:tcPr>
                <w:tcW w:w="7088" w:type="dxa"/>
              </w:tcPr>
              <w:p w:rsidR="00B26F64" w:rsidRPr="00576202" w:rsidRDefault="00205332" w:rsidP="00B86375">
                <w:pPr>
                  <w:rPr>
                    <w:sz w:val="24"/>
                    <w:szCs w:val="24"/>
                  </w:rPr>
                </w:pPr>
                <w:r w:rsidRPr="00576202">
                  <w:rPr>
                    <w:sz w:val="24"/>
                    <w:szCs w:val="24"/>
                  </w:rPr>
                  <w:t>The Board</w:t>
                </w:r>
              </w:p>
            </w:tc>
          </w:sdtContent>
        </w:sdt>
      </w:tr>
      <w:tr w:rsidR="00B26F64" w:rsidRPr="00DE249E" w:rsidTr="00F666E1">
        <w:tc>
          <w:tcPr>
            <w:tcW w:w="2405" w:type="dxa"/>
            <w:shd w:val="clear" w:color="auto" w:fill="D9D9D9" w:themeFill="background1" w:themeFillShade="D9"/>
          </w:tcPr>
          <w:p w:rsidR="000F7A82" w:rsidRPr="00576202" w:rsidRDefault="00B26F64" w:rsidP="00B86375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>Meeting Date:</w:t>
            </w:r>
          </w:p>
        </w:tc>
        <w:tc>
          <w:tcPr>
            <w:tcW w:w="7088" w:type="dxa"/>
          </w:tcPr>
          <w:p w:rsidR="00A52E01" w:rsidRPr="00576202" w:rsidRDefault="009203F8" w:rsidP="00A52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March 2021</w:t>
            </w:r>
          </w:p>
        </w:tc>
      </w:tr>
      <w:tr w:rsidR="00B26F64" w:rsidRPr="00DE249E" w:rsidTr="00F666E1">
        <w:tc>
          <w:tcPr>
            <w:tcW w:w="2405" w:type="dxa"/>
            <w:shd w:val="clear" w:color="auto" w:fill="D9D9D9" w:themeFill="background1" w:themeFillShade="D9"/>
          </w:tcPr>
          <w:p w:rsidR="000F7A82" w:rsidRPr="00576202" w:rsidRDefault="00B26F64" w:rsidP="00B86375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>Report Title</w:t>
            </w:r>
          </w:p>
        </w:tc>
        <w:tc>
          <w:tcPr>
            <w:tcW w:w="7088" w:type="dxa"/>
          </w:tcPr>
          <w:p w:rsidR="00B26F64" w:rsidRPr="00576202" w:rsidRDefault="00331BF0" w:rsidP="00576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SLAB Administration</w:t>
            </w:r>
            <w:r w:rsidR="00576202" w:rsidRPr="00576202">
              <w:rPr>
                <w:sz w:val="24"/>
                <w:szCs w:val="24"/>
              </w:rPr>
              <w:t xml:space="preserve"> – Finance</w:t>
            </w:r>
            <w:r>
              <w:rPr>
                <w:sz w:val="24"/>
                <w:szCs w:val="24"/>
              </w:rPr>
              <w:t xml:space="preserve"> and Resource</w:t>
            </w:r>
            <w:r w:rsidR="00576202" w:rsidRPr="00576202">
              <w:rPr>
                <w:sz w:val="24"/>
                <w:szCs w:val="24"/>
              </w:rPr>
              <w:t xml:space="preserve"> Report</w:t>
            </w:r>
          </w:p>
        </w:tc>
      </w:tr>
      <w:tr w:rsidR="00B26F64" w:rsidRPr="00DE249E" w:rsidTr="00F666E1">
        <w:tc>
          <w:tcPr>
            <w:tcW w:w="2405" w:type="dxa"/>
            <w:shd w:val="clear" w:color="auto" w:fill="D9D9D9" w:themeFill="background1" w:themeFillShade="D9"/>
          </w:tcPr>
          <w:p w:rsidR="00F666E1" w:rsidRPr="00576202" w:rsidRDefault="00B86375" w:rsidP="009D2260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 xml:space="preserve">Report </w:t>
            </w:r>
            <w:r w:rsidR="009D2260" w:rsidRPr="00576202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7088" w:type="dxa"/>
          </w:tcPr>
          <w:sdt>
            <w:sdtPr>
              <w:rPr>
                <w:sz w:val="24"/>
                <w:szCs w:val="24"/>
              </w:rPr>
              <w:id w:val="-488241055"/>
              <w:placeholder>
                <w:docPart w:val="645A5992FB0F48BE90E53186A12B6498"/>
              </w:placeholder>
              <w:dropDownList>
                <w:listItem w:value="Choose an item."/>
                <w:listItem w:displayText="For Information" w:value="For Information"/>
                <w:listItem w:displayText="For Decision" w:value="For Decision"/>
                <w:listItem w:displayText="For Discussion" w:value="For Discussion"/>
              </w:dropDownList>
            </w:sdtPr>
            <w:sdtEndPr/>
            <w:sdtContent>
              <w:p w:rsidR="00B86375" w:rsidRPr="00576202" w:rsidRDefault="00205332" w:rsidP="009D2260">
                <w:pPr>
                  <w:rPr>
                    <w:sz w:val="24"/>
                    <w:szCs w:val="24"/>
                  </w:rPr>
                </w:pPr>
                <w:r w:rsidRPr="00576202">
                  <w:rPr>
                    <w:sz w:val="24"/>
                    <w:szCs w:val="24"/>
                  </w:rPr>
                  <w:t>For Information</w:t>
                </w:r>
              </w:p>
            </w:sdtContent>
          </w:sdt>
        </w:tc>
      </w:tr>
      <w:tr w:rsidR="00246439" w:rsidRPr="00DE249E" w:rsidTr="00F666E1">
        <w:tc>
          <w:tcPr>
            <w:tcW w:w="2405" w:type="dxa"/>
            <w:shd w:val="clear" w:color="auto" w:fill="D9D9D9" w:themeFill="background1" w:themeFillShade="D9"/>
          </w:tcPr>
          <w:p w:rsidR="00246439" w:rsidRPr="00576202" w:rsidRDefault="00246439" w:rsidP="002C16D3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>Issue status:</w:t>
            </w:r>
          </w:p>
          <w:p w:rsidR="00246439" w:rsidRPr="00576202" w:rsidRDefault="00246439" w:rsidP="002C16D3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540716937"/>
            <w:placeholder>
              <w:docPart w:val="ABD345D267BA412DB9FD676C473BD746"/>
            </w:placeholder>
            <w:dropDownList>
              <w:listItem w:value="Choose an item."/>
              <w:listItem w:displayText="Business as usual" w:value="Business as usual"/>
              <w:listItem w:displayText="Business from a project" w:value="Business from a project"/>
              <w:listItem w:displayText="Directorate project" w:value="Directorate project"/>
            </w:dropDownList>
          </w:sdtPr>
          <w:sdtEndPr/>
          <w:sdtContent>
            <w:tc>
              <w:tcPr>
                <w:tcW w:w="7088" w:type="dxa"/>
              </w:tcPr>
              <w:p w:rsidR="00EC63B9" w:rsidRPr="00576202" w:rsidRDefault="00205332" w:rsidP="000F7A82">
                <w:pPr>
                  <w:rPr>
                    <w:sz w:val="24"/>
                    <w:szCs w:val="24"/>
                  </w:rPr>
                </w:pPr>
                <w:r w:rsidRPr="00576202">
                  <w:rPr>
                    <w:sz w:val="24"/>
                    <w:szCs w:val="24"/>
                  </w:rPr>
                  <w:t>Business as usual</w:t>
                </w:r>
              </w:p>
            </w:tc>
          </w:sdtContent>
        </w:sdt>
      </w:tr>
    </w:tbl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B26F64" w:rsidRPr="00DE249E" w:rsidTr="00F666E1">
        <w:tc>
          <w:tcPr>
            <w:tcW w:w="2405" w:type="dxa"/>
            <w:shd w:val="clear" w:color="auto" w:fill="D9D9D9" w:themeFill="background1" w:themeFillShade="D9"/>
          </w:tcPr>
          <w:p w:rsidR="000F7A82" w:rsidRPr="00576202" w:rsidRDefault="00B86375" w:rsidP="00B86375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>Written</w:t>
            </w:r>
            <w:r w:rsidR="00B26F64" w:rsidRPr="00576202">
              <w:rPr>
                <w:b/>
                <w:sz w:val="24"/>
                <w:szCs w:val="24"/>
              </w:rPr>
              <w:t xml:space="preserve"> by:</w:t>
            </w:r>
          </w:p>
        </w:tc>
        <w:tc>
          <w:tcPr>
            <w:tcW w:w="7088" w:type="dxa"/>
          </w:tcPr>
          <w:p w:rsidR="00B26F64" w:rsidRPr="00576202" w:rsidRDefault="00331BF0" w:rsidP="00331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Audrey Crawford</w:t>
            </w:r>
          </w:p>
        </w:tc>
      </w:tr>
      <w:tr w:rsidR="00B26F64" w:rsidRPr="00DE249E" w:rsidTr="00F666E1">
        <w:tc>
          <w:tcPr>
            <w:tcW w:w="2405" w:type="dxa"/>
            <w:shd w:val="clear" w:color="auto" w:fill="D9D9D9" w:themeFill="background1" w:themeFillShade="D9"/>
          </w:tcPr>
          <w:p w:rsidR="000F7A82" w:rsidRPr="00576202" w:rsidRDefault="00B86375" w:rsidP="00B86375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>Director responsible</w:t>
            </w:r>
            <w:r w:rsidR="00B26F64" w:rsidRPr="00576202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655648332"/>
            <w:placeholder>
              <w:docPart w:val="01D890378CF540CCACEE356704EF769A"/>
            </w:placeholder>
            <w:dropDownList>
              <w:listItem w:value="Choose an item."/>
              <w:listItem w:displayText="Colin Lancaster" w:value="Colin Lancaster"/>
              <w:listItem w:displayText="Anne Dickson" w:value="Anne Dickson"/>
              <w:listItem w:displayText="Graeme Hill" w:value="Graeme Hill"/>
              <w:listItem w:displayText="Marie-Louise Fox" w:value="Marie-Louise Fox"/>
              <w:listItem w:displayText="Ian Dickson" w:value="Ian Dickson"/>
              <w:listItem w:displayText="Matthew Auchincloss" w:value="Matthew Auchincloss"/>
            </w:dropDownList>
          </w:sdtPr>
          <w:sdtEndPr/>
          <w:sdtContent>
            <w:tc>
              <w:tcPr>
                <w:tcW w:w="7088" w:type="dxa"/>
              </w:tcPr>
              <w:p w:rsidR="00B26F64" w:rsidRPr="00576202" w:rsidRDefault="00576202" w:rsidP="00B86375">
                <w:pPr>
                  <w:rPr>
                    <w:sz w:val="24"/>
                    <w:szCs w:val="24"/>
                  </w:rPr>
                </w:pPr>
                <w:r w:rsidRPr="00576202">
                  <w:rPr>
                    <w:sz w:val="24"/>
                    <w:szCs w:val="24"/>
                  </w:rPr>
                  <w:t>Graeme Hill</w:t>
                </w:r>
              </w:p>
            </w:tc>
          </w:sdtContent>
        </w:sdt>
      </w:tr>
      <w:tr w:rsidR="00B26F64" w:rsidRPr="00DE249E" w:rsidTr="00F666E1">
        <w:tc>
          <w:tcPr>
            <w:tcW w:w="2405" w:type="dxa"/>
            <w:shd w:val="clear" w:color="auto" w:fill="D9D9D9" w:themeFill="background1" w:themeFillShade="D9"/>
          </w:tcPr>
          <w:p w:rsidR="000F7A82" w:rsidRPr="00576202" w:rsidRDefault="00B26F64" w:rsidP="00B86375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>Presented by:</w:t>
            </w:r>
          </w:p>
        </w:tc>
        <w:tc>
          <w:tcPr>
            <w:tcW w:w="7088" w:type="dxa"/>
          </w:tcPr>
          <w:p w:rsidR="00B26F64" w:rsidRPr="00576202" w:rsidRDefault="00576202" w:rsidP="00205332">
            <w:pPr>
              <w:rPr>
                <w:sz w:val="24"/>
                <w:szCs w:val="24"/>
              </w:rPr>
            </w:pPr>
            <w:r w:rsidRPr="00576202">
              <w:rPr>
                <w:sz w:val="24"/>
                <w:szCs w:val="24"/>
              </w:rPr>
              <w:t>Graeme Hill</w:t>
            </w:r>
          </w:p>
        </w:tc>
      </w:tr>
      <w:tr w:rsidR="00BB64D3" w:rsidRPr="00DE249E" w:rsidTr="00F666E1">
        <w:tc>
          <w:tcPr>
            <w:tcW w:w="2405" w:type="dxa"/>
            <w:shd w:val="clear" w:color="auto" w:fill="D9D9D9" w:themeFill="background1" w:themeFillShade="D9"/>
          </w:tcPr>
          <w:p w:rsidR="00BB64D3" w:rsidRPr="00576202" w:rsidRDefault="009D2260" w:rsidP="00B86375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>Contact details</w:t>
            </w:r>
            <w:r w:rsidR="00BB64D3" w:rsidRPr="0057620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576202" w:rsidRPr="00576202" w:rsidRDefault="00576202" w:rsidP="00205332">
            <w:pPr>
              <w:rPr>
                <w:sz w:val="24"/>
                <w:szCs w:val="24"/>
              </w:rPr>
            </w:pPr>
            <w:r w:rsidRPr="00576202">
              <w:rPr>
                <w:sz w:val="24"/>
                <w:szCs w:val="24"/>
              </w:rPr>
              <w:t>hillgr</w:t>
            </w:r>
            <w:r w:rsidR="00205332" w:rsidRPr="00576202">
              <w:rPr>
                <w:sz w:val="24"/>
                <w:szCs w:val="24"/>
              </w:rPr>
              <w:t>@slab.org.uk</w:t>
            </w:r>
          </w:p>
        </w:tc>
      </w:tr>
    </w:tbl>
    <w:p w:rsidR="00B26F64" w:rsidRPr="00DE249E" w:rsidRDefault="00B26F64" w:rsidP="00B26F64">
      <w:pPr>
        <w:rPr>
          <w:sz w:val="24"/>
          <w:szCs w:val="24"/>
          <w:highlight w:val="yellow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B26F64" w:rsidRPr="00DE249E" w:rsidTr="00B86375">
        <w:tc>
          <w:tcPr>
            <w:tcW w:w="9493" w:type="dxa"/>
            <w:gridSpan w:val="2"/>
            <w:shd w:val="clear" w:color="auto" w:fill="D9D9D9" w:themeFill="background1" w:themeFillShade="D9"/>
          </w:tcPr>
          <w:p w:rsidR="00763BCD" w:rsidRPr="00835827" w:rsidRDefault="00A8721E" w:rsidP="00A74DE3">
            <w:pPr>
              <w:rPr>
                <w:b/>
                <w:sz w:val="24"/>
                <w:szCs w:val="24"/>
              </w:rPr>
            </w:pPr>
            <w:r w:rsidRPr="00835827">
              <w:rPr>
                <w:b/>
                <w:sz w:val="24"/>
                <w:szCs w:val="24"/>
              </w:rPr>
              <w:t>D</w:t>
            </w:r>
            <w:r w:rsidR="00A74DE3" w:rsidRPr="00835827">
              <w:rPr>
                <w:b/>
                <w:sz w:val="24"/>
                <w:szCs w:val="24"/>
              </w:rPr>
              <w:t>elivery of Strategic Objectives</w:t>
            </w:r>
          </w:p>
        </w:tc>
      </w:tr>
      <w:tr w:rsidR="009E32FC" w:rsidRPr="00DE249E" w:rsidTr="00390110">
        <w:tc>
          <w:tcPr>
            <w:tcW w:w="2405" w:type="dxa"/>
          </w:tcPr>
          <w:p w:rsidR="009E32FC" w:rsidRPr="00835827" w:rsidRDefault="009E32FC" w:rsidP="009E32FC">
            <w:pPr>
              <w:rPr>
                <w:sz w:val="24"/>
                <w:szCs w:val="24"/>
              </w:rPr>
            </w:pPr>
            <w:r w:rsidRPr="00835827">
              <w:rPr>
                <w:sz w:val="24"/>
                <w:szCs w:val="24"/>
              </w:rPr>
              <w:t xml:space="preserve">Select the Strategic Objective(s) relevant to the issues </w:t>
            </w:r>
          </w:p>
        </w:tc>
        <w:tc>
          <w:tcPr>
            <w:tcW w:w="7088" w:type="dxa"/>
          </w:tcPr>
          <w:p w:rsidR="009E32FC" w:rsidRPr="00AD695C" w:rsidRDefault="009E32FC" w:rsidP="00093873">
            <w:pPr>
              <w:numPr>
                <w:ilvl w:val="0"/>
                <w:numId w:val="12"/>
              </w:numPr>
              <w:ind w:left="316"/>
              <w:rPr>
                <w:sz w:val="24"/>
                <w:szCs w:val="24"/>
              </w:rPr>
            </w:pPr>
            <w:bookmarkStart w:id="0" w:name="_GoBack"/>
            <w:bookmarkEnd w:id="0"/>
            <w:r w:rsidRPr="00AD695C">
              <w:rPr>
                <w:sz w:val="24"/>
                <w:szCs w:val="24"/>
              </w:rPr>
              <w:t>We deliver a high quality user focussed service</w:t>
            </w:r>
          </w:p>
          <w:p w:rsidR="009E32FC" w:rsidRPr="00835827" w:rsidRDefault="009E32FC" w:rsidP="009E32FC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246439" w:rsidRPr="00DE249E" w:rsidRDefault="00246439" w:rsidP="00B26F64">
      <w:pPr>
        <w:rPr>
          <w:sz w:val="24"/>
          <w:szCs w:val="24"/>
          <w:highlight w:val="yellow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019A2" w:rsidRPr="00DE249E" w:rsidTr="00B8423E">
        <w:tc>
          <w:tcPr>
            <w:tcW w:w="9493" w:type="dxa"/>
            <w:shd w:val="clear" w:color="auto" w:fill="D9D9D9" w:themeFill="background1" w:themeFillShade="D9"/>
          </w:tcPr>
          <w:p w:rsidR="009019A2" w:rsidRPr="00576202" w:rsidRDefault="00567BAA" w:rsidP="00567BAA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 xml:space="preserve">Link to Board </w:t>
            </w:r>
            <w:r w:rsidR="009019A2" w:rsidRPr="00576202">
              <w:rPr>
                <w:b/>
                <w:sz w:val="24"/>
                <w:szCs w:val="24"/>
              </w:rPr>
              <w:t>or Committee Remit</w:t>
            </w:r>
          </w:p>
        </w:tc>
      </w:tr>
      <w:tr w:rsidR="009019A2" w:rsidRPr="00DE249E" w:rsidTr="00B8423E">
        <w:tc>
          <w:tcPr>
            <w:tcW w:w="9493" w:type="dxa"/>
          </w:tcPr>
          <w:p w:rsidR="00777096" w:rsidRPr="00576202" w:rsidRDefault="00DA7163" w:rsidP="00DA716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paper is linked to the Board’s role in </w:t>
            </w:r>
            <w:r w:rsidR="002A1837" w:rsidRPr="00576202">
              <w:rPr>
                <w:sz w:val="24"/>
                <w:szCs w:val="24"/>
              </w:rPr>
              <w:t>monitor</w:t>
            </w:r>
            <w:r>
              <w:rPr>
                <w:sz w:val="24"/>
                <w:szCs w:val="24"/>
              </w:rPr>
              <w:t>ing</w:t>
            </w:r>
            <w:r w:rsidR="002A1837" w:rsidRPr="00576202">
              <w:rPr>
                <w:sz w:val="24"/>
                <w:szCs w:val="24"/>
              </w:rPr>
              <w:t xml:space="preserve"> the </w:t>
            </w:r>
            <w:r w:rsidR="00576202" w:rsidRPr="00576202">
              <w:rPr>
                <w:sz w:val="24"/>
                <w:szCs w:val="24"/>
              </w:rPr>
              <w:t xml:space="preserve">financial position of </w:t>
            </w:r>
            <w:r>
              <w:rPr>
                <w:sz w:val="24"/>
                <w:szCs w:val="24"/>
              </w:rPr>
              <w:t xml:space="preserve">SLAB </w:t>
            </w:r>
            <w:r w:rsidR="00576202" w:rsidRPr="00576202">
              <w:rPr>
                <w:sz w:val="24"/>
                <w:szCs w:val="24"/>
              </w:rPr>
              <w:t>expenditure.</w:t>
            </w:r>
          </w:p>
        </w:tc>
      </w:tr>
    </w:tbl>
    <w:p w:rsidR="009019A2" w:rsidRPr="00DE249E" w:rsidRDefault="009019A2" w:rsidP="00B26F64">
      <w:pPr>
        <w:rPr>
          <w:sz w:val="24"/>
          <w:szCs w:val="24"/>
          <w:highlight w:val="yellow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65B58" w:rsidRPr="00DE249E" w:rsidTr="00246439">
        <w:tc>
          <w:tcPr>
            <w:tcW w:w="9493" w:type="dxa"/>
            <w:shd w:val="clear" w:color="auto" w:fill="D9D9D9" w:themeFill="background1" w:themeFillShade="D9"/>
          </w:tcPr>
          <w:p w:rsidR="00365B58" w:rsidRPr="00576202" w:rsidRDefault="00365B58" w:rsidP="00246439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>Publication of the Paper</w:t>
            </w:r>
          </w:p>
        </w:tc>
      </w:tr>
      <w:tr w:rsidR="00365B58" w:rsidRPr="00DE249E" w:rsidTr="00246439">
        <w:tc>
          <w:tcPr>
            <w:tcW w:w="9493" w:type="dxa"/>
          </w:tcPr>
          <w:p w:rsidR="00777096" w:rsidRPr="00576202" w:rsidRDefault="002A1837" w:rsidP="00331BF0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 w:rsidRPr="00576202">
              <w:rPr>
                <w:sz w:val="24"/>
                <w:szCs w:val="24"/>
              </w:rPr>
              <w:t xml:space="preserve">The Board has previously agreed that this paper </w:t>
            </w:r>
            <w:r w:rsidR="00DA7163">
              <w:rPr>
                <w:sz w:val="24"/>
                <w:szCs w:val="24"/>
              </w:rPr>
              <w:t>should</w:t>
            </w:r>
            <w:r w:rsidR="00331BF0">
              <w:rPr>
                <w:sz w:val="24"/>
                <w:szCs w:val="24"/>
              </w:rPr>
              <w:t xml:space="preserve"> </w:t>
            </w:r>
            <w:r w:rsidR="00576202" w:rsidRPr="00576202">
              <w:rPr>
                <w:sz w:val="24"/>
                <w:szCs w:val="24"/>
              </w:rPr>
              <w:t>be published</w:t>
            </w:r>
            <w:r w:rsidR="00DA7163">
              <w:rPr>
                <w:sz w:val="24"/>
                <w:szCs w:val="24"/>
              </w:rPr>
              <w:t xml:space="preserve"> as a matter of routine</w:t>
            </w:r>
            <w:r w:rsidR="00576202" w:rsidRPr="00576202">
              <w:rPr>
                <w:sz w:val="24"/>
                <w:szCs w:val="24"/>
              </w:rPr>
              <w:t>.</w:t>
            </w:r>
            <w:r w:rsidR="00DA7163">
              <w:rPr>
                <w:sz w:val="24"/>
                <w:szCs w:val="24"/>
              </w:rPr>
              <w:t xml:space="preserve"> It will be published on our website in due course.</w:t>
            </w:r>
          </w:p>
        </w:tc>
      </w:tr>
    </w:tbl>
    <w:p w:rsidR="00365B58" w:rsidRPr="00DE249E" w:rsidRDefault="00365B58" w:rsidP="00B26F64">
      <w:pPr>
        <w:rPr>
          <w:sz w:val="24"/>
          <w:szCs w:val="24"/>
          <w:highlight w:val="yellow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668B4" w:rsidRPr="003C5DEA" w:rsidTr="00B668B4">
        <w:tc>
          <w:tcPr>
            <w:tcW w:w="9493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B668B4" w:rsidRPr="003C5DEA" w:rsidRDefault="00B668B4" w:rsidP="00B86375">
            <w:pPr>
              <w:rPr>
                <w:b/>
                <w:sz w:val="24"/>
                <w:szCs w:val="24"/>
              </w:rPr>
            </w:pPr>
            <w:r w:rsidRPr="003C5DEA">
              <w:rPr>
                <w:b/>
                <w:sz w:val="24"/>
                <w:szCs w:val="24"/>
              </w:rPr>
              <w:t>Executive Summary</w:t>
            </w:r>
          </w:p>
        </w:tc>
      </w:tr>
      <w:tr w:rsidR="00B668B4" w:rsidRPr="003C5DEA" w:rsidTr="00B668B4">
        <w:tc>
          <w:tcPr>
            <w:tcW w:w="9493" w:type="dxa"/>
            <w:tcBorders>
              <w:left w:val="single" w:sz="4" w:space="0" w:color="000000"/>
            </w:tcBorders>
          </w:tcPr>
          <w:p w:rsidR="00777096" w:rsidRPr="00DA7163" w:rsidRDefault="005C6194" w:rsidP="0058104D">
            <w:pPr>
              <w:spacing w:before="120" w:after="120"/>
              <w:rPr>
                <w:sz w:val="24"/>
                <w:szCs w:val="24"/>
              </w:rPr>
            </w:pPr>
            <w:r w:rsidRPr="00FC59C3">
              <w:rPr>
                <w:sz w:val="24"/>
                <w:szCs w:val="24"/>
              </w:rPr>
              <w:t>E</w:t>
            </w:r>
            <w:r w:rsidR="00255D5A" w:rsidRPr="00FC59C3">
              <w:rPr>
                <w:sz w:val="24"/>
                <w:szCs w:val="24"/>
              </w:rPr>
              <w:t xml:space="preserve">xpenditure </w:t>
            </w:r>
            <w:r w:rsidR="000938DC" w:rsidRPr="00FC59C3">
              <w:rPr>
                <w:sz w:val="24"/>
                <w:szCs w:val="24"/>
              </w:rPr>
              <w:t xml:space="preserve">for the </w:t>
            </w:r>
            <w:r w:rsidR="00D70672" w:rsidRPr="00FC59C3">
              <w:rPr>
                <w:sz w:val="24"/>
                <w:szCs w:val="24"/>
              </w:rPr>
              <w:t>period</w:t>
            </w:r>
            <w:r w:rsidR="00182C27">
              <w:rPr>
                <w:sz w:val="24"/>
                <w:szCs w:val="24"/>
              </w:rPr>
              <w:t xml:space="preserve"> ended 31</w:t>
            </w:r>
            <w:r w:rsidR="00182C27" w:rsidRPr="00182C27">
              <w:rPr>
                <w:sz w:val="24"/>
                <w:szCs w:val="24"/>
                <w:vertAlign w:val="superscript"/>
              </w:rPr>
              <w:t>st</w:t>
            </w:r>
            <w:r w:rsidR="009203F8">
              <w:rPr>
                <w:sz w:val="24"/>
                <w:szCs w:val="24"/>
              </w:rPr>
              <w:t xml:space="preserve"> January 2021</w:t>
            </w:r>
            <w:r w:rsidR="00DA7163" w:rsidRPr="00FC59C3">
              <w:rPr>
                <w:sz w:val="24"/>
                <w:szCs w:val="24"/>
              </w:rPr>
              <w:t xml:space="preserve"> </w:t>
            </w:r>
            <w:r w:rsidR="00255D5A" w:rsidRPr="00FC59C3">
              <w:rPr>
                <w:sz w:val="24"/>
                <w:szCs w:val="24"/>
              </w:rPr>
              <w:t xml:space="preserve">is </w:t>
            </w:r>
            <w:r w:rsidR="000E4149" w:rsidRPr="00FC59C3">
              <w:rPr>
                <w:sz w:val="24"/>
                <w:szCs w:val="24"/>
              </w:rPr>
              <w:t>£</w:t>
            </w:r>
            <w:r w:rsidR="0058104D">
              <w:rPr>
                <w:sz w:val="24"/>
                <w:szCs w:val="24"/>
              </w:rPr>
              <w:t>10.7</w:t>
            </w:r>
            <w:r w:rsidR="00255D5A" w:rsidRPr="00FC59C3">
              <w:rPr>
                <w:sz w:val="24"/>
                <w:szCs w:val="24"/>
              </w:rPr>
              <w:t>m</w:t>
            </w:r>
            <w:r w:rsidR="00255D5A" w:rsidRPr="00F17971">
              <w:rPr>
                <w:sz w:val="24"/>
                <w:szCs w:val="24"/>
              </w:rPr>
              <w:t xml:space="preserve"> </w:t>
            </w:r>
          </w:p>
        </w:tc>
      </w:tr>
    </w:tbl>
    <w:p w:rsidR="00BB64D3" w:rsidRPr="003C5DEA" w:rsidRDefault="00BB64D3" w:rsidP="00B26F64">
      <w:pPr>
        <w:tabs>
          <w:tab w:val="left" w:pos="2340"/>
        </w:tabs>
        <w:rPr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10"/>
        <w:gridCol w:w="7083"/>
      </w:tblGrid>
      <w:tr w:rsidR="00B668B4" w:rsidRPr="003C5DEA" w:rsidTr="00B668B4">
        <w:tc>
          <w:tcPr>
            <w:tcW w:w="9493" w:type="dxa"/>
            <w:gridSpan w:val="2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B668B4" w:rsidRPr="003C5DEA" w:rsidRDefault="00B668B4" w:rsidP="00D664C5">
            <w:pPr>
              <w:rPr>
                <w:b/>
                <w:sz w:val="24"/>
                <w:szCs w:val="24"/>
              </w:rPr>
            </w:pPr>
            <w:r w:rsidRPr="003C5DEA">
              <w:rPr>
                <w:b/>
                <w:sz w:val="24"/>
                <w:szCs w:val="24"/>
              </w:rPr>
              <w:t>Previous Consideration</w:t>
            </w:r>
          </w:p>
        </w:tc>
      </w:tr>
      <w:tr w:rsidR="00B668B4" w:rsidRPr="003C5DEA" w:rsidTr="00B668B4">
        <w:tc>
          <w:tcPr>
            <w:tcW w:w="2410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B668B4" w:rsidRPr="003C5DEA" w:rsidRDefault="00B668B4" w:rsidP="00D664C5">
            <w:pPr>
              <w:rPr>
                <w:b/>
                <w:sz w:val="24"/>
                <w:szCs w:val="24"/>
              </w:rPr>
            </w:pPr>
            <w:r w:rsidRPr="003C5DEA">
              <w:rPr>
                <w:b/>
                <w:sz w:val="24"/>
                <w:szCs w:val="24"/>
              </w:rPr>
              <w:t>Meeting</w:t>
            </w:r>
          </w:p>
        </w:tc>
        <w:tc>
          <w:tcPr>
            <w:tcW w:w="7083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B668B4" w:rsidRPr="003C5DEA" w:rsidRDefault="00B668B4" w:rsidP="00D664C5">
            <w:pPr>
              <w:rPr>
                <w:b/>
                <w:sz w:val="24"/>
                <w:szCs w:val="24"/>
              </w:rPr>
            </w:pPr>
            <w:r w:rsidRPr="003C5DEA">
              <w:rPr>
                <w:b/>
                <w:sz w:val="24"/>
                <w:szCs w:val="24"/>
              </w:rPr>
              <w:t>Detail</w:t>
            </w:r>
          </w:p>
        </w:tc>
      </w:tr>
      <w:tr w:rsidR="00D82F86" w:rsidRPr="003C5DEA" w:rsidTr="00B668B4">
        <w:tc>
          <w:tcPr>
            <w:tcW w:w="2410" w:type="dxa"/>
            <w:tcBorders>
              <w:left w:val="single" w:sz="4" w:space="0" w:color="000000"/>
            </w:tcBorders>
          </w:tcPr>
          <w:p w:rsidR="00D82F86" w:rsidRPr="00331BF0" w:rsidRDefault="009203F8" w:rsidP="00A52E01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</w:t>
            </w:r>
            <w:r w:rsidRPr="009203F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</w:t>
            </w:r>
            <w:r w:rsidR="00897832">
              <w:rPr>
                <w:sz w:val="24"/>
                <w:szCs w:val="24"/>
              </w:rPr>
              <w:t xml:space="preserve"> 2020</w:t>
            </w:r>
            <w:r w:rsidR="0002748C">
              <w:rPr>
                <w:sz w:val="22"/>
                <w:szCs w:val="22"/>
              </w:rPr>
              <w:t xml:space="preserve"> -</w:t>
            </w:r>
            <w:r>
              <w:rPr>
                <w:sz w:val="24"/>
                <w:szCs w:val="24"/>
              </w:rPr>
              <w:t>SLAB/2020/42</w:t>
            </w:r>
          </w:p>
        </w:tc>
        <w:tc>
          <w:tcPr>
            <w:tcW w:w="7083" w:type="dxa"/>
            <w:tcBorders>
              <w:left w:val="single" w:sz="4" w:space="0" w:color="000000"/>
            </w:tcBorders>
          </w:tcPr>
          <w:p w:rsidR="00F41C80" w:rsidRPr="00331BF0" w:rsidRDefault="0037522E" w:rsidP="009203F8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The previous report</w:t>
            </w:r>
            <w:r w:rsidR="00277303">
              <w:rPr>
                <w:sz w:val="24"/>
                <w:szCs w:val="24"/>
              </w:rPr>
              <w:t xml:space="preserve"> showed </w:t>
            </w:r>
            <w:r w:rsidR="001B626A">
              <w:rPr>
                <w:sz w:val="24"/>
                <w:szCs w:val="24"/>
              </w:rPr>
              <w:t>expenditure and resources</w:t>
            </w:r>
            <w:r w:rsidR="002C7D14">
              <w:rPr>
                <w:sz w:val="24"/>
                <w:szCs w:val="24"/>
              </w:rPr>
              <w:t xml:space="preserve"> </w:t>
            </w:r>
            <w:r w:rsidR="009203F8">
              <w:rPr>
                <w:sz w:val="24"/>
                <w:szCs w:val="24"/>
              </w:rPr>
              <w:t>for the period</w:t>
            </w:r>
            <w:r w:rsidR="00A529FE">
              <w:rPr>
                <w:sz w:val="24"/>
                <w:szCs w:val="24"/>
              </w:rPr>
              <w:t xml:space="preserve"> ended</w:t>
            </w:r>
            <w:r w:rsidR="009203F8">
              <w:rPr>
                <w:sz w:val="24"/>
                <w:szCs w:val="24"/>
              </w:rPr>
              <w:t xml:space="preserve"> 31</w:t>
            </w:r>
            <w:r w:rsidR="009203F8" w:rsidRPr="009203F8">
              <w:rPr>
                <w:sz w:val="24"/>
                <w:szCs w:val="24"/>
                <w:vertAlign w:val="superscript"/>
              </w:rPr>
              <w:t>st</w:t>
            </w:r>
            <w:r w:rsidR="009203F8">
              <w:rPr>
                <w:sz w:val="24"/>
                <w:szCs w:val="24"/>
              </w:rPr>
              <w:t xml:space="preserve"> October</w:t>
            </w:r>
            <w:r w:rsidR="00D70672">
              <w:rPr>
                <w:sz w:val="24"/>
                <w:szCs w:val="24"/>
              </w:rPr>
              <w:t xml:space="preserve"> 2020</w:t>
            </w:r>
            <w:r w:rsidR="002C7D14">
              <w:rPr>
                <w:sz w:val="24"/>
                <w:szCs w:val="24"/>
              </w:rPr>
              <w:t xml:space="preserve">.  </w:t>
            </w:r>
          </w:p>
        </w:tc>
      </w:tr>
    </w:tbl>
    <w:p w:rsidR="00E93C63" w:rsidRPr="00DE249E" w:rsidRDefault="00E93C63">
      <w:pPr>
        <w:rPr>
          <w:highlight w:val="yellow"/>
        </w:rPr>
      </w:pPr>
    </w:p>
    <w:p w:rsidR="00777096" w:rsidRPr="00DE249E" w:rsidRDefault="00777096">
      <w:pPr>
        <w:rPr>
          <w:highlight w:val="yellow"/>
        </w:rPr>
      </w:pPr>
      <w:r w:rsidRPr="00DE249E">
        <w:rPr>
          <w:highlight w:val="yellow"/>
        </w:rPr>
        <w:br w:type="page"/>
      </w:r>
    </w:p>
    <w:tbl>
      <w:tblPr>
        <w:tblStyle w:val="TableGrid"/>
        <w:tblpPr w:leftFromText="180" w:rightFromText="180" w:vertAnchor="page" w:horzAnchor="margin" w:tblpY="1516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C0F50" w:rsidRPr="00DE249E" w:rsidTr="008C0F50">
        <w:tc>
          <w:tcPr>
            <w:tcW w:w="9493" w:type="dxa"/>
            <w:shd w:val="clear" w:color="auto" w:fill="D9D9D9" w:themeFill="background1" w:themeFillShade="D9"/>
          </w:tcPr>
          <w:p w:rsidR="008C0F50" w:rsidRPr="00DE249E" w:rsidRDefault="008C0F50" w:rsidP="008C0F50">
            <w:pPr>
              <w:rPr>
                <w:b/>
                <w:sz w:val="24"/>
                <w:szCs w:val="24"/>
                <w:highlight w:val="yellow"/>
              </w:rPr>
            </w:pPr>
            <w:r w:rsidRPr="005B73BF">
              <w:rPr>
                <w:b/>
                <w:sz w:val="24"/>
                <w:szCs w:val="24"/>
              </w:rPr>
              <w:lastRenderedPageBreak/>
              <w:t>Report</w:t>
            </w:r>
          </w:p>
        </w:tc>
      </w:tr>
    </w:tbl>
    <w:p w:rsidR="008C0F50" w:rsidRPr="00FC59C3" w:rsidRDefault="008C0F50" w:rsidP="008C0F50">
      <w:pPr>
        <w:keepNext/>
        <w:numPr>
          <w:ilvl w:val="1"/>
          <w:numId w:val="0"/>
        </w:numPr>
        <w:tabs>
          <w:tab w:val="num" w:pos="576"/>
        </w:tabs>
        <w:spacing w:before="120" w:after="120"/>
        <w:ind w:left="578" w:hanging="578"/>
        <w:outlineLvl w:val="1"/>
        <w:rPr>
          <w:rFonts w:eastAsia="Times New Roman" w:cs="Times New Roman"/>
          <w:b/>
          <w:sz w:val="24"/>
          <w:szCs w:val="24"/>
          <w:highlight w:val="yellow"/>
        </w:rPr>
      </w:pPr>
      <w:r w:rsidRPr="00FC59C3">
        <w:rPr>
          <w:rFonts w:eastAsia="Times New Roman" w:cs="Times New Roman"/>
          <w:b/>
          <w:sz w:val="24"/>
          <w:szCs w:val="24"/>
        </w:rPr>
        <w:t>1</w:t>
      </w:r>
      <w:r w:rsidRPr="00CF5CBE">
        <w:rPr>
          <w:rFonts w:eastAsia="Times New Roman" w:cs="Times New Roman"/>
          <w:b/>
          <w:sz w:val="24"/>
          <w:szCs w:val="24"/>
        </w:rPr>
        <w:t>. Grant-in-Aid Funding</w:t>
      </w:r>
    </w:p>
    <w:p w:rsidR="00FC59C3" w:rsidRPr="004D0FFC" w:rsidRDefault="00182C27" w:rsidP="00FC59C3">
      <w:pPr>
        <w:spacing w:after="120"/>
        <w:jc w:val="both"/>
        <w:rPr>
          <w:rFonts w:eastAsia="Times New Roman" w:cs="Times New Roman"/>
          <w:sz w:val="24"/>
          <w:szCs w:val="24"/>
        </w:rPr>
      </w:pPr>
      <w:r w:rsidRPr="004D0FFC">
        <w:rPr>
          <w:rFonts w:eastAsia="Times New Roman" w:cs="Times New Roman"/>
          <w:sz w:val="24"/>
          <w:szCs w:val="24"/>
        </w:rPr>
        <w:t xml:space="preserve">The core funding we are to receive from the Scottish Government is £11,650k.  Core funding </w:t>
      </w:r>
      <w:r w:rsidR="00B657FB" w:rsidRPr="004D0FFC">
        <w:rPr>
          <w:sz w:val="24"/>
          <w:szCs w:val="24"/>
        </w:rPr>
        <w:t>normally includes £100k of capital funding, this was increased to £250k for 2020-21 to accommodate homeworking equipment</w:t>
      </w:r>
      <w:r w:rsidRPr="004D0FFC">
        <w:rPr>
          <w:rFonts w:eastAsia="Times New Roman" w:cs="Times New Roman"/>
          <w:sz w:val="24"/>
          <w:szCs w:val="24"/>
        </w:rPr>
        <w:t xml:space="preserve">. Core cash funding (after removing £550k of funding for Depreciation) is £11,100k. We are also allowed to retain £250k of superannuation receipts and anticipate a contribution of £20k towards the costs of administering the SWRC Project and £61k from SG Consumer Group for the grant funding programme we administer on their behalf.  Additional monies have also been added for estimated pension costs above the £327k threshold, bringing total in year funding to £13,104k.  The opening bank balance is £767k which brings total available funding to £13,871.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2"/>
        <w:gridCol w:w="1985"/>
        <w:gridCol w:w="1701"/>
      </w:tblGrid>
      <w:tr w:rsidR="00182C27" w:rsidRPr="00182C27" w:rsidTr="00182C27">
        <w:trPr>
          <w:trHeight w:hRule="exact" w:val="665"/>
        </w:trPr>
        <w:tc>
          <w:tcPr>
            <w:tcW w:w="5812" w:type="dxa"/>
            <w:tcBorders>
              <w:bottom w:val="single" w:sz="4" w:space="0" w:color="auto"/>
            </w:tcBorders>
          </w:tcPr>
          <w:p w:rsidR="00182C27" w:rsidRPr="00182C27" w:rsidRDefault="00182C27" w:rsidP="00182C27">
            <w:pPr>
              <w:spacing w:after="12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182C27">
              <w:rPr>
                <w:rFonts w:eastAsia="Times New Roman" w:cs="Times New Roman"/>
                <w:b/>
                <w:sz w:val="24"/>
                <w:szCs w:val="24"/>
              </w:rPr>
              <w:t>Funding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82C27" w:rsidRPr="00182C27" w:rsidRDefault="00182C27" w:rsidP="00182C27">
            <w:pPr>
              <w:spacing w:after="6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82C27">
              <w:rPr>
                <w:rFonts w:eastAsia="Times New Roman" w:cs="Times New Roman"/>
                <w:b/>
                <w:sz w:val="24"/>
                <w:szCs w:val="24"/>
              </w:rPr>
              <w:t>2019-20</w:t>
            </w:r>
          </w:p>
          <w:p w:rsidR="00182C27" w:rsidRPr="00182C27" w:rsidRDefault="00182C27" w:rsidP="00182C27">
            <w:pPr>
              <w:spacing w:after="1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82C27">
              <w:rPr>
                <w:rFonts w:eastAsia="Times New Roman" w:cs="Times New Roman"/>
                <w:b/>
                <w:sz w:val="24"/>
                <w:szCs w:val="24"/>
              </w:rPr>
              <w:t>Actual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2C27" w:rsidRPr="00182C27" w:rsidRDefault="00182C27" w:rsidP="00182C27">
            <w:pPr>
              <w:spacing w:after="6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82C27">
              <w:rPr>
                <w:rFonts w:eastAsia="Times New Roman" w:cs="Times New Roman"/>
                <w:b/>
                <w:sz w:val="24"/>
                <w:szCs w:val="24"/>
              </w:rPr>
              <w:t>2020-21</w:t>
            </w:r>
          </w:p>
          <w:p w:rsidR="00182C27" w:rsidRPr="00182C27" w:rsidRDefault="00182C27" w:rsidP="00182C27">
            <w:pPr>
              <w:spacing w:after="1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82C27">
              <w:rPr>
                <w:rFonts w:eastAsia="Times New Roman" w:cs="Times New Roman"/>
                <w:b/>
                <w:sz w:val="24"/>
                <w:szCs w:val="24"/>
              </w:rPr>
              <w:t>Budget</w:t>
            </w:r>
          </w:p>
        </w:tc>
      </w:tr>
      <w:tr w:rsidR="00182C27" w:rsidRPr="00182C27" w:rsidTr="00182C27">
        <w:trPr>
          <w:trHeight w:hRule="exact" w:val="332"/>
        </w:trPr>
        <w:tc>
          <w:tcPr>
            <w:tcW w:w="5812" w:type="dxa"/>
            <w:tcBorders>
              <w:bottom w:val="nil"/>
            </w:tcBorders>
          </w:tcPr>
          <w:p w:rsidR="00182C27" w:rsidRPr="00182C27" w:rsidRDefault="00182C27" w:rsidP="00182C27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182C27" w:rsidRPr="00182C27" w:rsidRDefault="00182C27" w:rsidP="00182C27">
            <w:pPr>
              <w:spacing w:after="1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82C27">
              <w:rPr>
                <w:rFonts w:eastAsia="Times New Roman" w:cs="Times New Roman"/>
                <w:b/>
                <w:sz w:val="24"/>
                <w:szCs w:val="24"/>
              </w:rPr>
              <w:t>£k</w:t>
            </w:r>
          </w:p>
        </w:tc>
        <w:tc>
          <w:tcPr>
            <w:tcW w:w="1701" w:type="dxa"/>
            <w:tcBorders>
              <w:bottom w:val="nil"/>
            </w:tcBorders>
          </w:tcPr>
          <w:p w:rsidR="00182C27" w:rsidRPr="00182C27" w:rsidRDefault="00182C27" w:rsidP="00182C27">
            <w:pPr>
              <w:spacing w:after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2C27">
              <w:rPr>
                <w:rFonts w:eastAsia="Times New Roman" w:cs="Times New Roman"/>
                <w:b/>
                <w:sz w:val="24"/>
                <w:szCs w:val="24"/>
              </w:rPr>
              <w:t>£k</w:t>
            </w:r>
          </w:p>
        </w:tc>
      </w:tr>
      <w:tr w:rsidR="00182C27" w:rsidRPr="00182C27" w:rsidTr="00182C27">
        <w:trPr>
          <w:trHeight w:hRule="exact" w:val="328"/>
        </w:trPr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182C27" w:rsidRPr="00182C27" w:rsidRDefault="00182C27" w:rsidP="00182C27">
            <w:pPr>
              <w:rPr>
                <w:rFonts w:eastAsia="Times New Roman" w:cs="Times New Roman"/>
                <w:sz w:val="24"/>
                <w:szCs w:val="24"/>
              </w:rPr>
            </w:pPr>
            <w:r w:rsidRPr="00182C27">
              <w:rPr>
                <w:rFonts w:eastAsia="Times New Roman" w:cs="Times New Roman"/>
                <w:sz w:val="24"/>
                <w:szCs w:val="24"/>
              </w:rPr>
              <w:t>Core SG Funding (Actual/SG budget)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182C27" w:rsidRPr="00182C27" w:rsidRDefault="00182C27" w:rsidP="00182C27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182C27">
              <w:rPr>
                <w:rFonts w:eastAsia="Times New Roman" w:cs="Times New Roman"/>
                <w:b/>
                <w:sz w:val="24"/>
                <w:szCs w:val="24"/>
              </w:rPr>
              <w:t>11,650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82C27" w:rsidRPr="00182C27" w:rsidRDefault="00182C27" w:rsidP="00182C27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182C27">
              <w:rPr>
                <w:rFonts w:eastAsia="Times New Roman" w:cs="Times New Roman"/>
                <w:b/>
                <w:sz w:val="24"/>
                <w:szCs w:val="24"/>
              </w:rPr>
              <w:t>11,650</w:t>
            </w:r>
          </w:p>
        </w:tc>
      </w:tr>
      <w:tr w:rsidR="00182C27" w:rsidRPr="00182C27" w:rsidTr="00182C27">
        <w:trPr>
          <w:trHeight w:hRule="exact" w:val="332"/>
        </w:trPr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182C27" w:rsidRPr="00182C27" w:rsidRDefault="00182C27" w:rsidP="00182C27">
            <w:pPr>
              <w:rPr>
                <w:rFonts w:eastAsia="Times New Roman" w:cs="Times New Roman"/>
                <w:sz w:val="24"/>
                <w:szCs w:val="24"/>
              </w:rPr>
            </w:pPr>
            <w:r w:rsidRPr="00182C27">
              <w:rPr>
                <w:rFonts w:eastAsia="Times New Roman" w:cs="Times New Roman"/>
                <w:sz w:val="24"/>
                <w:szCs w:val="24"/>
              </w:rPr>
              <w:t>Non cash funding for Depreciation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182C27" w:rsidRPr="00182C27" w:rsidRDefault="00182C27" w:rsidP="00182C27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182C27">
              <w:rPr>
                <w:rFonts w:eastAsia="Times New Roman" w:cs="Times New Roman"/>
                <w:b/>
                <w:sz w:val="24"/>
                <w:szCs w:val="24"/>
              </w:rPr>
              <w:t>(550)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82C27" w:rsidRPr="00182C27" w:rsidRDefault="00182C27" w:rsidP="00182C27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182C27">
              <w:rPr>
                <w:rFonts w:eastAsia="Times New Roman" w:cs="Times New Roman"/>
                <w:b/>
                <w:sz w:val="24"/>
                <w:szCs w:val="24"/>
              </w:rPr>
              <w:t>(550)</w:t>
            </w:r>
          </w:p>
        </w:tc>
      </w:tr>
      <w:tr w:rsidR="00182C27" w:rsidRPr="00182C27" w:rsidTr="00182C27">
        <w:trPr>
          <w:trHeight w:hRule="exact" w:val="33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C27" w:rsidRPr="00182C27" w:rsidRDefault="00182C27" w:rsidP="00182C27">
            <w:pPr>
              <w:rPr>
                <w:rFonts w:eastAsia="Times New Roman" w:cs="Times New Roman"/>
                <w:sz w:val="24"/>
                <w:szCs w:val="24"/>
              </w:rPr>
            </w:pPr>
            <w:r w:rsidRPr="00182C27">
              <w:rPr>
                <w:rFonts w:eastAsia="Times New Roman" w:cs="Times New Roman"/>
                <w:sz w:val="24"/>
                <w:szCs w:val="24"/>
              </w:rPr>
              <w:t>Retained superannuation receipts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C27" w:rsidRPr="00182C27" w:rsidRDefault="00182C27" w:rsidP="00182C27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182C27">
              <w:rPr>
                <w:rFonts w:eastAsia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C27" w:rsidRPr="00182C27" w:rsidRDefault="00182C27" w:rsidP="00182C27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182C27">
              <w:rPr>
                <w:rFonts w:eastAsia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182C27" w:rsidRPr="00182C27" w:rsidTr="00182C27">
        <w:trPr>
          <w:trHeight w:hRule="exact" w:val="33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C27" w:rsidRPr="00182C27" w:rsidRDefault="00182C27" w:rsidP="00182C27">
            <w:pPr>
              <w:rPr>
                <w:rFonts w:eastAsia="Times New Roman" w:cs="Times New Roman"/>
                <w:sz w:val="24"/>
                <w:szCs w:val="24"/>
              </w:rPr>
            </w:pPr>
            <w:r w:rsidRPr="00182C27">
              <w:rPr>
                <w:rFonts w:eastAsia="Times New Roman" w:cs="Times New Roman"/>
                <w:sz w:val="24"/>
                <w:szCs w:val="24"/>
              </w:rPr>
              <w:t xml:space="preserve">Additional funding for Grant Funding/ SWRC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C27" w:rsidRPr="00182C27" w:rsidRDefault="00182C27" w:rsidP="00182C27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</w:pPr>
            <w:r w:rsidRPr="00182C27">
              <w:rPr>
                <w:rFonts w:eastAsia="Times New Roman" w:cs="Times New Roman"/>
                <w:b/>
                <w:sz w:val="24"/>
                <w:szCs w:val="24"/>
              </w:rPr>
              <w:t>75</w:t>
            </w:r>
            <w:r w:rsidRPr="00182C27"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  <w:p w:rsidR="00182C27" w:rsidRPr="00182C27" w:rsidRDefault="00182C27" w:rsidP="00182C27">
            <w:pPr>
              <w:ind w:right="601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C27" w:rsidRPr="00182C27" w:rsidRDefault="00182C27" w:rsidP="00182C27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</w:pPr>
            <w:r w:rsidRPr="00182C27">
              <w:rPr>
                <w:rFonts w:eastAsia="Times New Roman" w:cs="Times New Roman"/>
                <w:b/>
                <w:sz w:val="24"/>
                <w:szCs w:val="24"/>
              </w:rPr>
              <w:t>81</w:t>
            </w:r>
            <w:r w:rsidRPr="00182C27"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  <w:p w:rsidR="00182C27" w:rsidRPr="00182C27" w:rsidRDefault="00182C27" w:rsidP="00182C27">
            <w:pPr>
              <w:ind w:right="601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182C27" w:rsidRPr="00182C27" w:rsidTr="00182C27">
        <w:trPr>
          <w:trHeight w:hRule="exact" w:val="33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C27" w:rsidRPr="00182C27" w:rsidRDefault="00182C27" w:rsidP="00182C27">
            <w:pPr>
              <w:rPr>
                <w:rFonts w:eastAsia="Times New Roman" w:cs="Times New Roman"/>
                <w:sz w:val="24"/>
                <w:szCs w:val="24"/>
              </w:rPr>
            </w:pPr>
            <w:r w:rsidRPr="00182C27">
              <w:rPr>
                <w:rFonts w:eastAsia="Times New Roman" w:cs="Times New Roman"/>
                <w:sz w:val="24"/>
                <w:szCs w:val="24"/>
              </w:rPr>
              <w:t>Additional funding for pensions costs above £327k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C27" w:rsidRPr="00182C27" w:rsidRDefault="00182C27" w:rsidP="00182C27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182C27">
              <w:rPr>
                <w:rFonts w:eastAsia="Times New Roman" w:cs="Times New Roman"/>
                <w:b/>
                <w:sz w:val="24"/>
                <w:szCs w:val="24"/>
              </w:rPr>
              <w:t>1,315</w:t>
            </w:r>
            <w:r w:rsidRPr="00182C27"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C27" w:rsidRPr="00182C27" w:rsidRDefault="00182C27" w:rsidP="00182C27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182C27">
              <w:rPr>
                <w:rFonts w:eastAsia="Times New Roman" w:cs="Times New Roman"/>
                <w:b/>
                <w:sz w:val="24"/>
                <w:szCs w:val="24"/>
              </w:rPr>
              <w:t>1,673</w:t>
            </w:r>
            <w:r w:rsidRPr="00182C27"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182C27" w:rsidRPr="00182C27" w:rsidTr="00182C27">
        <w:trPr>
          <w:trHeight w:hRule="exact" w:val="415"/>
        </w:trPr>
        <w:tc>
          <w:tcPr>
            <w:tcW w:w="5812" w:type="dxa"/>
            <w:tcBorders>
              <w:top w:val="single" w:sz="4" w:space="0" w:color="auto"/>
              <w:bottom w:val="nil"/>
            </w:tcBorders>
            <w:vAlign w:val="center"/>
          </w:tcPr>
          <w:p w:rsidR="00182C27" w:rsidRPr="00182C27" w:rsidRDefault="00182C27" w:rsidP="00182C27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82C27">
              <w:rPr>
                <w:rFonts w:eastAsia="Times New Roman" w:cs="Times New Roman"/>
                <w:b/>
                <w:bCs/>
                <w:sz w:val="24"/>
                <w:szCs w:val="24"/>
              </w:rPr>
              <w:t>Total in year cash funding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182C27" w:rsidRPr="00182C27" w:rsidRDefault="00182C27" w:rsidP="00182C27">
            <w:pPr>
              <w:ind w:right="601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82C27">
              <w:rPr>
                <w:rFonts w:eastAsia="Times New Roman" w:cs="Times New Roman"/>
                <w:b/>
                <w:bCs/>
                <w:sz w:val="24"/>
                <w:szCs w:val="24"/>
              </w:rPr>
              <w:t>12,740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182C27" w:rsidRPr="00182C27" w:rsidRDefault="00182C27" w:rsidP="00182C27">
            <w:pPr>
              <w:ind w:right="601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82C27">
              <w:rPr>
                <w:rFonts w:eastAsia="Times New Roman" w:cs="Times New Roman"/>
                <w:b/>
                <w:bCs/>
                <w:sz w:val="24"/>
                <w:szCs w:val="24"/>
              </w:rPr>
              <w:t>13,104</w:t>
            </w:r>
          </w:p>
        </w:tc>
      </w:tr>
      <w:tr w:rsidR="00182C27" w:rsidRPr="00182C27" w:rsidTr="00182C27">
        <w:trPr>
          <w:trHeight w:hRule="exact" w:val="3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27" w:rsidRPr="00182C27" w:rsidRDefault="00182C27" w:rsidP="00182C27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182C27">
              <w:rPr>
                <w:rFonts w:eastAsia="Times New Roman" w:cs="Times New Roman"/>
                <w:b/>
                <w:bCs/>
                <w:sz w:val="24"/>
                <w:szCs w:val="24"/>
              </w:rPr>
              <w:t>Bank balance brought forward from previous year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27" w:rsidRPr="00182C27" w:rsidRDefault="00182C27" w:rsidP="00182C27">
            <w:pPr>
              <w:ind w:right="60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182C27">
              <w:rPr>
                <w:rFonts w:eastAsia="Times New Roman" w:cs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27" w:rsidRPr="00182C27" w:rsidRDefault="00182C27" w:rsidP="00182C27">
            <w:pPr>
              <w:ind w:right="60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182C27">
              <w:rPr>
                <w:rFonts w:eastAsia="Times New Roman" w:cs="Times New Roman"/>
                <w:b/>
                <w:bCs/>
                <w:sz w:val="24"/>
                <w:szCs w:val="24"/>
              </w:rPr>
              <w:t>767</w:t>
            </w:r>
          </w:p>
        </w:tc>
      </w:tr>
      <w:tr w:rsidR="00182C27" w:rsidRPr="00182C27" w:rsidTr="00182C27">
        <w:trPr>
          <w:trHeight w:hRule="exact" w:val="405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C27" w:rsidRPr="00182C27" w:rsidRDefault="00182C27" w:rsidP="00182C27">
            <w:pPr>
              <w:tabs>
                <w:tab w:val="left" w:pos="3990"/>
              </w:tabs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82C27">
              <w:rPr>
                <w:rFonts w:eastAsia="Times New Roman" w:cs="Times New Roman"/>
                <w:b/>
                <w:bCs/>
                <w:sz w:val="24"/>
                <w:szCs w:val="24"/>
              </w:rPr>
              <w:t>Total available cash funding for the year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C27" w:rsidRPr="00182C27" w:rsidRDefault="00182C27" w:rsidP="00182C27">
            <w:pPr>
              <w:ind w:right="601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82C27">
              <w:rPr>
                <w:rFonts w:eastAsia="Times New Roman" w:cs="Times New Roman"/>
                <w:b/>
                <w:bCs/>
                <w:sz w:val="24"/>
                <w:szCs w:val="24"/>
              </w:rPr>
              <w:t>13,190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2C27" w:rsidRPr="00182C27" w:rsidRDefault="00182C27" w:rsidP="00182C27">
            <w:pPr>
              <w:ind w:right="601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82C27">
              <w:rPr>
                <w:rFonts w:eastAsia="Times New Roman" w:cs="Times New Roman"/>
                <w:b/>
                <w:bCs/>
                <w:sz w:val="24"/>
                <w:szCs w:val="24"/>
              </w:rPr>
              <w:t>13,871</w:t>
            </w:r>
          </w:p>
        </w:tc>
      </w:tr>
    </w:tbl>
    <w:p w:rsidR="00182C27" w:rsidRPr="00182C27" w:rsidRDefault="00182C27" w:rsidP="00182C27">
      <w:pPr>
        <w:jc w:val="both"/>
        <w:rPr>
          <w:rFonts w:eastAsia="Times New Roman" w:cs="Times New Roman"/>
          <w:sz w:val="16"/>
          <w:szCs w:val="16"/>
        </w:rPr>
      </w:pPr>
      <w:r w:rsidRPr="00182C27">
        <w:rPr>
          <w:rFonts w:eastAsia="Times New Roman" w:cs="Times New Roman"/>
          <w:sz w:val="16"/>
          <w:szCs w:val="16"/>
        </w:rPr>
        <w:t xml:space="preserve">1 Total 2019-20 pension costs were £1,642k (shown as £1,315k + £327k).  2020-21 pensions budget is currently £2,000k (shown as £1,673k + £327k) </w:t>
      </w:r>
    </w:p>
    <w:p w:rsidR="00182C27" w:rsidRPr="00182C27" w:rsidRDefault="00182C27" w:rsidP="00182C27">
      <w:pPr>
        <w:spacing w:after="120"/>
        <w:jc w:val="both"/>
        <w:rPr>
          <w:rFonts w:eastAsia="Times New Roman" w:cs="Times New Roman"/>
          <w:sz w:val="16"/>
          <w:szCs w:val="16"/>
        </w:rPr>
      </w:pPr>
      <w:r w:rsidRPr="00182C27">
        <w:rPr>
          <w:rFonts w:eastAsia="Times New Roman" w:cs="Times New Roman"/>
          <w:sz w:val="16"/>
          <w:szCs w:val="16"/>
        </w:rPr>
        <w:t>2 £61k for grant funding administration and an estimated £20k for SWRC.</w:t>
      </w:r>
    </w:p>
    <w:p w:rsidR="0002640A" w:rsidRPr="00D70672" w:rsidRDefault="00FC59C3" w:rsidP="00FC59C3">
      <w:pPr>
        <w:spacing w:after="120"/>
        <w:jc w:val="both"/>
        <w:rPr>
          <w:rFonts w:eastAsia="Times New Roman" w:cs="Times New Roman"/>
          <w:sz w:val="24"/>
          <w:szCs w:val="24"/>
          <w:highlight w:val="yellow"/>
        </w:rPr>
      </w:pPr>
      <w:r w:rsidRPr="00FC59C3">
        <w:rPr>
          <w:rFonts w:eastAsia="Times New Roman" w:cs="Times New Roman"/>
          <w:sz w:val="24"/>
          <w:szCs w:val="24"/>
        </w:rPr>
        <w:t>We receive additional grant-in-aid for any pension costs above £327k. Pension costs are estima</w:t>
      </w:r>
      <w:r w:rsidR="008E6349">
        <w:rPr>
          <w:rFonts w:eastAsia="Times New Roman" w:cs="Times New Roman"/>
          <w:sz w:val="24"/>
          <w:szCs w:val="24"/>
        </w:rPr>
        <w:t>ted to be</w:t>
      </w:r>
      <w:r w:rsidR="0058104D">
        <w:rPr>
          <w:rFonts w:eastAsia="Times New Roman" w:cs="Times New Roman"/>
          <w:sz w:val="24"/>
          <w:szCs w:val="24"/>
        </w:rPr>
        <w:t xml:space="preserve"> between £1.8m and</w:t>
      </w:r>
      <w:r w:rsidR="008E6349">
        <w:rPr>
          <w:rFonts w:eastAsia="Times New Roman" w:cs="Times New Roman"/>
          <w:sz w:val="24"/>
          <w:szCs w:val="24"/>
        </w:rPr>
        <w:t xml:space="preserve"> £2</w:t>
      </w:r>
      <w:r w:rsidRPr="00FC59C3">
        <w:rPr>
          <w:rFonts w:eastAsia="Times New Roman" w:cs="Times New Roman"/>
          <w:sz w:val="24"/>
          <w:szCs w:val="24"/>
        </w:rPr>
        <w:t>m in 2020-</w:t>
      </w:r>
      <w:r w:rsidR="008E6349">
        <w:rPr>
          <w:rFonts w:eastAsia="Times New Roman" w:cs="Times New Roman"/>
          <w:sz w:val="24"/>
          <w:szCs w:val="24"/>
        </w:rPr>
        <w:t>21 so additional funding of £1,6</w:t>
      </w:r>
      <w:r w:rsidRPr="00FC59C3">
        <w:rPr>
          <w:rFonts w:eastAsia="Times New Roman" w:cs="Times New Roman"/>
          <w:sz w:val="24"/>
          <w:szCs w:val="24"/>
        </w:rPr>
        <w:t xml:space="preserve">73k is included in the table above. </w:t>
      </w:r>
    </w:p>
    <w:p w:rsidR="000E4149" w:rsidRPr="00FC59C3" w:rsidRDefault="000E4149" w:rsidP="000E414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9C3">
        <w:rPr>
          <w:rFonts w:eastAsia="Times New Roman" w:cs="Times New Roman"/>
          <w:sz w:val="24"/>
          <w:szCs w:val="24"/>
        </w:rPr>
        <w:t>We are required to transfer to the Scottish Government any pension receipts (contributions and transfers in) over £250k. Pension receipts are set out in the following table.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2"/>
        <w:gridCol w:w="1641"/>
        <w:gridCol w:w="1639"/>
      </w:tblGrid>
      <w:tr w:rsidR="00FC59C3" w:rsidRPr="00FC59C3" w:rsidTr="00FC59C3">
        <w:trPr>
          <w:trHeight w:hRule="exact" w:val="666"/>
        </w:trPr>
        <w:tc>
          <w:tcPr>
            <w:tcW w:w="3241" w:type="pct"/>
            <w:tcBorders>
              <w:bottom w:val="single" w:sz="4" w:space="0" w:color="auto"/>
            </w:tcBorders>
          </w:tcPr>
          <w:p w:rsidR="00587459" w:rsidRDefault="00587459" w:rsidP="00FC59C3">
            <w:pPr>
              <w:spacing w:after="12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Pension receipts</w:t>
            </w:r>
          </w:p>
          <w:p w:rsidR="00FC59C3" w:rsidRPr="00FC59C3" w:rsidRDefault="00587459" w:rsidP="00FC59C3">
            <w:pPr>
              <w:spacing w:after="12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(</w:t>
            </w:r>
            <w:r w:rsidR="00FC59C3" w:rsidRPr="00FC59C3">
              <w:rPr>
                <w:rFonts w:eastAsia="Times New Roman" w:cs="Times New Roman"/>
                <w:b/>
                <w:sz w:val="24"/>
                <w:szCs w:val="24"/>
              </w:rPr>
              <w:t>Pension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contributions and transfers in)</w:t>
            </w:r>
          </w:p>
        </w:tc>
        <w:tc>
          <w:tcPr>
            <w:tcW w:w="880" w:type="pct"/>
            <w:tcBorders>
              <w:bottom w:val="single" w:sz="4" w:space="0" w:color="auto"/>
            </w:tcBorders>
          </w:tcPr>
          <w:p w:rsidR="00FC59C3" w:rsidRPr="00FC59C3" w:rsidRDefault="00FC59C3" w:rsidP="00FC59C3">
            <w:pPr>
              <w:jc w:val="center"/>
              <w:rPr>
                <w:b/>
                <w:sz w:val="24"/>
                <w:szCs w:val="24"/>
              </w:rPr>
            </w:pPr>
            <w:r w:rsidRPr="00FC59C3">
              <w:rPr>
                <w:b/>
                <w:sz w:val="24"/>
                <w:szCs w:val="24"/>
              </w:rPr>
              <w:t>2019-20</w:t>
            </w:r>
          </w:p>
          <w:p w:rsidR="00FC59C3" w:rsidRPr="00FC59C3" w:rsidRDefault="00FC59C3" w:rsidP="00FC59C3">
            <w:pPr>
              <w:jc w:val="center"/>
              <w:rPr>
                <w:b/>
                <w:sz w:val="24"/>
                <w:szCs w:val="24"/>
              </w:rPr>
            </w:pPr>
            <w:r w:rsidRPr="00FC59C3">
              <w:rPr>
                <w:b/>
                <w:sz w:val="24"/>
                <w:szCs w:val="24"/>
              </w:rPr>
              <w:t>Actual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shd w:val="clear" w:color="auto" w:fill="auto"/>
          </w:tcPr>
          <w:p w:rsidR="00FC59C3" w:rsidRPr="00FC59C3" w:rsidRDefault="00FC59C3" w:rsidP="00FC59C3">
            <w:pPr>
              <w:jc w:val="center"/>
              <w:rPr>
                <w:b/>
                <w:sz w:val="24"/>
                <w:szCs w:val="24"/>
              </w:rPr>
            </w:pPr>
            <w:r w:rsidRPr="00FC59C3">
              <w:rPr>
                <w:b/>
                <w:sz w:val="24"/>
                <w:szCs w:val="24"/>
              </w:rPr>
              <w:t>2020-21</w:t>
            </w:r>
          </w:p>
          <w:p w:rsidR="00FC59C3" w:rsidRPr="00FC59C3" w:rsidRDefault="00FC59C3" w:rsidP="00FC59C3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FC59C3">
              <w:rPr>
                <w:b/>
                <w:sz w:val="24"/>
                <w:szCs w:val="24"/>
              </w:rPr>
              <w:t>Estimate</w:t>
            </w:r>
          </w:p>
        </w:tc>
      </w:tr>
      <w:tr w:rsidR="00FC59C3" w:rsidRPr="00FC59C3" w:rsidTr="00FC59C3">
        <w:trPr>
          <w:trHeight w:hRule="exact" w:val="230"/>
        </w:trPr>
        <w:tc>
          <w:tcPr>
            <w:tcW w:w="3241" w:type="pct"/>
            <w:tcBorders>
              <w:bottom w:val="nil"/>
            </w:tcBorders>
          </w:tcPr>
          <w:p w:rsidR="00FC59C3" w:rsidRPr="00FC59C3" w:rsidRDefault="00FC59C3" w:rsidP="00FC59C3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bottom w:val="nil"/>
            </w:tcBorders>
          </w:tcPr>
          <w:p w:rsidR="00FC59C3" w:rsidRPr="00FC59C3" w:rsidRDefault="00FC59C3" w:rsidP="00FC59C3">
            <w:pPr>
              <w:pStyle w:val="BodyText"/>
              <w:jc w:val="center"/>
              <w:rPr>
                <w:sz w:val="24"/>
                <w:szCs w:val="24"/>
              </w:rPr>
            </w:pPr>
            <w:r w:rsidRPr="00FC59C3">
              <w:rPr>
                <w:b/>
                <w:sz w:val="24"/>
                <w:szCs w:val="24"/>
              </w:rPr>
              <w:t>£k</w:t>
            </w:r>
          </w:p>
        </w:tc>
        <w:tc>
          <w:tcPr>
            <w:tcW w:w="879" w:type="pct"/>
            <w:tcBorders>
              <w:bottom w:val="nil"/>
            </w:tcBorders>
            <w:shd w:val="clear" w:color="auto" w:fill="auto"/>
          </w:tcPr>
          <w:p w:rsidR="00FC59C3" w:rsidRPr="00FC59C3" w:rsidRDefault="00FC59C3" w:rsidP="00FC59C3">
            <w:pPr>
              <w:pStyle w:val="BodyText"/>
              <w:jc w:val="center"/>
              <w:rPr>
                <w:sz w:val="24"/>
                <w:szCs w:val="24"/>
              </w:rPr>
            </w:pPr>
            <w:r w:rsidRPr="00FC59C3">
              <w:rPr>
                <w:b/>
                <w:sz w:val="24"/>
                <w:szCs w:val="24"/>
              </w:rPr>
              <w:t>£k</w:t>
            </w:r>
          </w:p>
        </w:tc>
      </w:tr>
      <w:tr w:rsidR="00FC59C3" w:rsidRPr="00FC59C3" w:rsidTr="00FC59C3">
        <w:trPr>
          <w:trHeight w:hRule="exact" w:val="340"/>
        </w:trPr>
        <w:tc>
          <w:tcPr>
            <w:tcW w:w="3241" w:type="pct"/>
            <w:tcBorders>
              <w:top w:val="nil"/>
              <w:bottom w:val="nil"/>
            </w:tcBorders>
            <w:vAlign w:val="center"/>
          </w:tcPr>
          <w:p w:rsidR="00FC59C3" w:rsidRPr="00FC59C3" w:rsidRDefault="00FC59C3" w:rsidP="00FC59C3">
            <w:pPr>
              <w:rPr>
                <w:rFonts w:eastAsia="Times New Roman" w:cs="Times New Roman"/>
                <w:sz w:val="24"/>
                <w:szCs w:val="24"/>
              </w:rPr>
            </w:pPr>
            <w:r w:rsidRPr="00FC59C3">
              <w:rPr>
                <w:rFonts w:eastAsia="Times New Roman" w:cs="Times New Roman"/>
                <w:sz w:val="24"/>
                <w:szCs w:val="24"/>
              </w:rPr>
              <w:t xml:space="preserve">Pension receipts </w:t>
            </w:r>
          </w:p>
        </w:tc>
        <w:tc>
          <w:tcPr>
            <w:tcW w:w="88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59C3" w:rsidRPr="00FC59C3" w:rsidRDefault="00FC59C3" w:rsidP="00FC59C3">
            <w:pPr>
              <w:pStyle w:val="BodyText"/>
              <w:ind w:right="599"/>
              <w:jc w:val="right"/>
              <w:rPr>
                <w:sz w:val="24"/>
                <w:szCs w:val="24"/>
              </w:rPr>
            </w:pPr>
            <w:r w:rsidRPr="00FC59C3">
              <w:rPr>
                <w:sz w:val="24"/>
                <w:szCs w:val="24"/>
              </w:rPr>
              <w:t>455</w:t>
            </w:r>
          </w:p>
        </w:tc>
        <w:tc>
          <w:tcPr>
            <w:tcW w:w="87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59C3" w:rsidRPr="00FC59C3" w:rsidRDefault="00FC59C3" w:rsidP="00FC59C3">
            <w:pPr>
              <w:pStyle w:val="BodyText"/>
              <w:ind w:right="599"/>
              <w:jc w:val="right"/>
              <w:rPr>
                <w:sz w:val="24"/>
                <w:szCs w:val="24"/>
              </w:rPr>
            </w:pPr>
            <w:r w:rsidRPr="00FC59C3">
              <w:rPr>
                <w:sz w:val="24"/>
                <w:szCs w:val="24"/>
              </w:rPr>
              <w:t>445</w:t>
            </w:r>
          </w:p>
        </w:tc>
      </w:tr>
      <w:tr w:rsidR="00FC59C3" w:rsidRPr="00FC59C3" w:rsidTr="00FC59C3">
        <w:trPr>
          <w:trHeight w:hRule="exact" w:val="340"/>
        </w:trPr>
        <w:tc>
          <w:tcPr>
            <w:tcW w:w="3241" w:type="pct"/>
            <w:tcBorders>
              <w:top w:val="nil"/>
              <w:bottom w:val="single" w:sz="4" w:space="0" w:color="auto"/>
            </w:tcBorders>
            <w:vAlign w:val="center"/>
          </w:tcPr>
          <w:p w:rsidR="00FC59C3" w:rsidRPr="00FC59C3" w:rsidRDefault="00FC59C3" w:rsidP="00FC59C3">
            <w:pPr>
              <w:rPr>
                <w:rFonts w:eastAsia="Times New Roman" w:cs="Times New Roman"/>
                <w:sz w:val="24"/>
                <w:szCs w:val="24"/>
              </w:rPr>
            </w:pPr>
            <w:r w:rsidRPr="00FC59C3">
              <w:rPr>
                <w:rFonts w:eastAsia="Times New Roman" w:cs="Times New Roman"/>
                <w:sz w:val="24"/>
                <w:szCs w:val="24"/>
              </w:rPr>
              <w:t>Amount to be retained</w:t>
            </w:r>
          </w:p>
        </w:tc>
        <w:tc>
          <w:tcPr>
            <w:tcW w:w="88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C59C3" w:rsidRPr="00FC59C3" w:rsidRDefault="00FC59C3" w:rsidP="00FC59C3">
            <w:pPr>
              <w:pStyle w:val="BodyText"/>
              <w:ind w:right="599"/>
              <w:jc w:val="right"/>
              <w:rPr>
                <w:sz w:val="24"/>
                <w:szCs w:val="24"/>
              </w:rPr>
            </w:pPr>
            <w:r w:rsidRPr="00FC59C3">
              <w:rPr>
                <w:sz w:val="24"/>
                <w:szCs w:val="24"/>
              </w:rPr>
              <w:t>250</w:t>
            </w: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C59C3" w:rsidRPr="00FC59C3" w:rsidRDefault="00FC59C3" w:rsidP="00FC59C3">
            <w:pPr>
              <w:pStyle w:val="BodyText"/>
              <w:ind w:right="599"/>
              <w:jc w:val="right"/>
              <w:rPr>
                <w:sz w:val="24"/>
                <w:szCs w:val="24"/>
              </w:rPr>
            </w:pPr>
            <w:r w:rsidRPr="00FC59C3">
              <w:rPr>
                <w:sz w:val="24"/>
                <w:szCs w:val="24"/>
              </w:rPr>
              <w:t>250</w:t>
            </w:r>
          </w:p>
        </w:tc>
      </w:tr>
      <w:tr w:rsidR="00FC59C3" w:rsidRPr="00D70672" w:rsidTr="00FC59C3">
        <w:trPr>
          <w:trHeight w:hRule="exact" w:val="414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C3" w:rsidRPr="00FC59C3" w:rsidRDefault="00FC59C3" w:rsidP="00FC59C3">
            <w:pPr>
              <w:tabs>
                <w:tab w:val="left" w:pos="3990"/>
              </w:tabs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C59C3">
              <w:rPr>
                <w:rFonts w:eastAsia="Times New Roman" w:cs="Times New Roman"/>
                <w:b/>
                <w:bCs/>
                <w:sz w:val="24"/>
                <w:szCs w:val="24"/>
              </w:rPr>
              <w:t>Amount to be returned to Scottish Government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9C3" w:rsidRPr="00FC59C3" w:rsidRDefault="00FC59C3" w:rsidP="00FC59C3">
            <w:pPr>
              <w:pStyle w:val="BodyText"/>
              <w:ind w:right="599"/>
              <w:jc w:val="right"/>
              <w:rPr>
                <w:b/>
                <w:bCs/>
                <w:sz w:val="24"/>
                <w:szCs w:val="24"/>
              </w:rPr>
            </w:pPr>
            <w:r w:rsidRPr="00FC59C3">
              <w:rPr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9C3" w:rsidRPr="00FC59C3" w:rsidRDefault="00FC59C3" w:rsidP="00FC59C3">
            <w:pPr>
              <w:pStyle w:val="BodyText"/>
              <w:ind w:right="599"/>
              <w:jc w:val="right"/>
              <w:rPr>
                <w:b/>
                <w:bCs/>
                <w:sz w:val="24"/>
                <w:szCs w:val="24"/>
              </w:rPr>
            </w:pPr>
            <w:r w:rsidRPr="00FC59C3">
              <w:rPr>
                <w:b/>
                <w:bCs/>
                <w:sz w:val="24"/>
                <w:szCs w:val="24"/>
              </w:rPr>
              <w:t>195</w:t>
            </w:r>
          </w:p>
        </w:tc>
      </w:tr>
    </w:tbl>
    <w:p w:rsidR="00DF4BD1" w:rsidRPr="00D70672" w:rsidRDefault="00DF4BD1" w:rsidP="00255D5A">
      <w:pPr>
        <w:keepNext/>
        <w:numPr>
          <w:ilvl w:val="1"/>
          <w:numId w:val="0"/>
        </w:numPr>
        <w:tabs>
          <w:tab w:val="num" w:pos="576"/>
        </w:tabs>
        <w:spacing w:after="120"/>
        <w:ind w:left="576" w:hanging="576"/>
        <w:outlineLvl w:val="1"/>
        <w:rPr>
          <w:rFonts w:eastAsia="Times New Roman" w:cs="Times New Roman"/>
          <w:b/>
          <w:sz w:val="24"/>
          <w:szCs w:val="24"/>
          <w:highlight w:val="yellow"/>
        </w:rPr>
      </w:pPr>
    </w:p>
    <w:p w:rsidR="00DF4BD1" w:rsidRPr="00D70672" w:rsidRDefault="00DF4BD1">
      <w:pPr>
        <w:rPr>
          <w:rFonts w:eastAsia="Times New Roman" w:cs="Times New Roman"/>
          <w:b/>
          <w:sz w:val="24"/>
          <w:szCs w:val="24"/>
          <w:highlight w:val="yellow"/>
        </w:rPr>
      </w:pPr>
      <w:r w:rsidRPr="00D70672">
        <w:rPr>
          <w:rFonts w:eastAsia="Times New Roman" w:cs="Times New Roman"/>
          <w:b/>
          <w:sz w:val="24"/>
          <w:szCs w:val="24"/>
          <w:highlight w:val="yellow"/>
        </w:rPr>
        <w:br w:type="page"/>
      </w:r>
    </w:p>
    <w:p w:rsidR="00255D5A" w:rsidRPr="00CF5CBE" w:rsidRDefault="004E430C" w:rsidP="00255D5A">
      <w:pPr>
        <w:keepNext/>
        <w:numPr>
          <w:ilvl w:val="1"/>
          <w:numId w:val="0"/>
        </w:numPr>
        <w:tabs>
          <w:tab w:val="num" w:pos="576"/>
        </w:tabs>
        <w:spacing w:after="120"/>
        <w:ind w:left="576" w:hanging="576"/>
        <w:outlineLvl w:val="1"/>
        <w:rPr>
          <w:rFonts w:eastAsia="Times New Roman" w:cs="Times New Roman"/>
          <w:b/>
          <w:sz w:val="24"/>
          <w:szCs w:val="24"/>
        </w:rPr>
      </w:pPr>
      <w:r w:rsidRPr="00CF5CBE">
        <w:rPr>
          <w:rFonts w:eastAsia="Times New Roman" w:cs="Times New Roman"/>
          <w:b/>
          <w:sz w:val="24"/>
          <w:szCs w:val="24"/>
        </w:rPr>
        <w:lastRenderedPageBreak/>
        <w:t xml:space="preserve">2. </w:t>
      </w:r>
      <w:r w:rsidR="00255D5A" w:rsidRPr="00CF5CBE">
        <w:rPr>
          <w:rFonts w:eastAsia="Times New Roman" w:cs="Times New Roman"/>
          <w:b/>
          <w:sz w:val="24"/>
          <w:szCs w:val="24"/>
        </w:rPr>
        <w:t>Grant-in-Aid</w:t>
      </w:r>
      <w:r w:rsidR="003E2074" w:rsidRPr="00CF5CBE">
        <w:rPr>
          <w:rFonts w:eastAsia="Times New Roman" w:cs="Times New Roman"/>
          <w:b/>
          <w:sz w:val="24"/>
          <w:szCs w:val="24"/>
        </w:rPr>
        <w:t xml:space="preserve"> Budgets and </w:t>
      </w:r>
      <w:r w:rsidR="00255D5A" w:rsidRPr="00CF5CBE">
        <w:rPr>
          <w:rFonts w:eastAsia="Times New Roman" w:cs="Times New Roman"/>
          <w:b/>
          <w:sz w:val="24"/>
          <w:szCs w:val="24"/>
        </w:rPr>
        <w:t xml:space="preserve">Expenditure 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2"/>
        <w:gridCol w:w="1038"/>
        <w:gridCol w:w="1038"/>
        <w:gridCol w:w="1038"/>
        <w:gridCol w:w="1038"/>
        <w:gridCol w:w="1154"/>
        <w:gridCol w:w="1087"/>
        <w:gridCol w:w="1034"/>
        <w:gridCol w:w="1034"/>
      </w:tblGrid>
      <w:tr w:rsidR="0058104D" w:rsidRPr="0058104D" w:rsidTr="0058104D">
        <w:trPr>
          <w:trHeight w:hRule="exact" w:val="765"/>
        </w:trPr>
        <w:tc>
          <w:tcPr>
            <w:tcW w:w="760" w:type="pct"/>
          </w:tcPr>
          <w:p w:rsidR="0058104D" w:rsidRPr="0058104D" w:rsidRDefault="0058104D" w:rsidP="0058104D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8104D">
              <w:rPr>
                <w:rFonts w:eastAsia="Times New Roman" w:cs="Times New Roman"/>
                <w:sz w:val="20"/>
                <w:szCs w:val="20"/>
              </w:rPr>
              <w:br w:type="page"/>
            </w:r>
            <w:r w:rsidRPr="0058104D">
              <w:rPr>
                <w:rFonts w:eastAsia="Times New Roman" w:cs="Times New Roman"/>
                <w:b/>
                <w:sz w:val="20"/>
                <w:szCs w:val="20"/>
              </w:rPr>
              <w:br w:type="page"/>
              <w:t xml:space="preserve"> Department</w:t>
            </w:r>
          </w:p>
        </w:tc>
        <w:tc>
          <w:tcPr>
            <w:tcW w:w="526" w:type="pct"/>
            <w:shd w:val="clear" w:color="auto" w:fill="D9D9D9"/>
          </w:tcPr>
          <w:p w:rsidR="0058104D" w:rsidRPr="0058104D" w:rsidRDefault="0058104D" w:rsidP="0058104D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bCs/>
                <w:sz w:val="20"/>
                <w:szCs w:val="20"/>
              </w:rPr>
              <w:t>Original</w:t>
            </w:r>
          </w:p>
          <w:p w:rsidR="0058104D" w:rsidRPr="0058104D" w:rsidRDefault="0058104D" w:rsidP="0058104D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bCs/>
                <w:sz w:val="20"/>
                <w:szCs w:val="20"/>
              </w:rPr>
              <w:t>Annual Budget</w:t>
            </w:r>
          </w:p>
        </w:tc>
        <w:tc>
          <w:tcPr>
            <w:tcW w:w="526" w:type="pct"/>
            <w:shd w:val="clear" w:color="auto" w:fill="D9D9D9"/>
          </w:tcPr>
          <w:p w:rsidR="0058104D" w:rsidRPr="0058104D" w:rsidRDefault="0058104D" w:rsidP="0058104D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bCs/>
                <w:sz w:val="20"/>
                <w:szCs w:val="20"/>
              </w:rPr>
              <w:t>Revised Q1 Budget</w:t>
            </w:r>
          </w:p>
        </w:tc>
        <w:tc>
          <w:tcPr>
            <w:tcW w:w="526" w:type="pct"/>
            <w:shd w:val="clear" w:color="auto" w:fill="DDDDDD"/>
          </w:tcPr>
          <w:p w:rsidR="0058104D" w:rsidRPr="0058104D" w:rsidRDefault="0058104D" w:rsidP="0058104D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bCs/>
                <w:sz w:val="20"/>
                <w:szCs w:val="20"/>
              </w:rPr>
              <w:t>Revised Q2 Budget</w:t>
            </w:r>
          </w:p>
        </w:tc>
        <w:tc>
          <w:tcPr>
            <w:tcW w:w="526" w:type="pct"/>
            <w:shd w:val="clear" w:color="auto" w:fill="DDDDDD"/>
          </w:tcPr>
          <w:p w:rsidR="0058104D" w:rsidRPr="0058104D" w:rsidRDefault="0058104D" w:rsidP="0058104D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bCs/>
                <w:sz w:val="20"/>
                <w:szCs w:val="20"/>
              </w:rPr>
              <w:t>Revised Q3 Budget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4D" w:rsidRPr="0058104D" w:rsidRDefault="0058104D" w:rsidP="0058104D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sz w:val="20"/>
                <w:szCs w:val="20"/>
              </w:rPr>
              <w:t xml:space="preserve">Actual </w:t>
            </w:r>
          </w:p>
          <w:p w:rsidR="0058104D" w:rsidRPr="0058104D" w:rsidRDefault="0058104D" w:rsidP="0058104D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sz w:val="20"/>
                <w:szCs w:val="20"/>
              </w:rPr>
              <w:t>YTD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4D" w:rsidRPr="0058104D" w:rsidRDefault="0058104D" w:rsidP="0058104D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sz w:val="20"/>
                <w:szCs w:val="20"/>
              </w:rPr>
              <w:t>Budget</w:t>
            </w:r>
          </w:p>
          <w:p w:rsidR="0058104D" w:rsidRPr="0058104D" w:rsidRDefault="0058104D" w:rsidP="0058104D">
            <w:pPr>
              <w:spacing w:after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sz w:val="20"/>
                <w:szCs w:val="20"/>
              </w:rPr>
              <w:t>YTD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4D" w:rsidRPr="0058104D" w:rsidRDefault="0058104D" w:rsidP="0058104D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sz w:val="20"/>
                <w:szCs w:val="20"/>
              </w:rPr>
              <w:t>Variance</w:t>
            </w:r>
          </w:p>
          <w:p w:rsidR="0058104D" w:rsidRPr="0058104D" w:rsidRDefault="0058104D" w:rsidP="0058104D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sz w:val="20"/>
                <w:szCs w:val="20"/>
              </w:rPr>
              <w:t>YTD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4D" w:rsidRPr="0058104D" w:rsidRDefault="0058104D" w:rsidP="0058104D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sz w:val="20"/>
                <w:szCs w:val="20"/>
              </w:rPr>
              <w:t>Variance</w:t>
            </w:r>
          </w:p>
          <w:p w:rsidR="0058104D" w:rsidRPr="0058104D" w:rsidRDefault="0058104D" w:rsidP="0058104D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sz w:val="20"/>
                <w:szCs w:val="20"/>
              </w:rPr>
              <w:t>YTD</w:t>
            </w:r>
          </w:p>
        </w:tc>
      </w:tr>
      <w:tr w:rsidR="0058104D" w:rsidRPr="0058104D" w:rsidTr="0058104D">
        <w:trPr>
          <w:trHeight w:val="225"/>
        </w:trPr>
        <w:tc>
          <w:tcPr>
            <w:tcW w:w="760" w:type="pct"/>
            <w:tcBorders>
              <w:bottom w:val="nil"/>
            </w:tcBorders>
          </w:tcPr>
          <w:p w:rsidR="0058104D" w:rsidRPr="0058104D" w:rsidRDefault="0058104D" w:rsidP="0058104D">
            <w:pPr>
              <w:jc w:val="both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6" w:type="pct"/>
            <w:tcBorders>
              <w:bottom w:val="nil"/>
            </w:tcBorders>
            <w:shd w:val="clear" w:color="auto" w:fill="D9D9D9" w:themeFill="background1" w:themeFillShade="D9"/>
          </w:tcPr>
          <w:p w:rsidR="0058104D" w:rsidRPr="0058104D" w:rsidRDefault="0058104D" w:rsidP="0058104D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sz w:val="20"/>
                <w:szCs w:val="20"/>
              </w:rPr>
              <w:t>£k</w:t>
            </w:r>
          </w:p>
        </w:tc>
        <w:tc>
          <w:tcPr>
            <w:tcW w:w="526" w:type="pct"/>
            <w:tcBorders>
              <w:bottom w:val="nil"/>
            </w:tcBorders>
            <w:shd w:val="clear" w:color="auto" w:fill="D9D9D9" w:themeFill="background1" w:themeFillShade="D9"/>
          </w:tcPr>
          <w:p w:rsidR="0058104D" w:rsidRPr="0058104D" w:rsidRDefault="0058104D" w:rsidP="0058104D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sz w:val="20"/>
                <w:szCs w:val="20"/>
              </w:rPr>
              <w:t>£k</w:t>
            </w:r>
          </w:p>
        </w:tc>
        <w:tc>
          <w:tcPr>
            <w:tcW w:w="526" w:type="pct"/>
            <w:tcBorders>
              <w:bottom w:val="nil"/>
            </w:tcBorders>
            <w:shd w:val="clear" w:color="auto" w:fill="DDDDDD"/>
          </w:tcPr>
          <w:p w:rsidR="0058104D" w:rsidRPr="0058104D" w:rsidRDefault="0058104D" w:rsidP="0058104D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sz w:val="20"/>
                <w:szCs w:val="20"/>
              </w:rPr>
              <w:t>£k</w:t>
            </w:r>
          </w:p>
        </w:tc>
        <w:tc>
          <w:tcPr>
            <w:tcW w:w="526" w:type="pct"/>
            <w:tcBorders>
              <w:bottom w:val="nil"/>
            </w:tcBorders>
            <w:shd w:val="clear" w:color="auto" w:fill="DDDDDD"/>
          </w:tcPr>
          <w:p w:rsidR="0058104D" w:rsidRPr="0058104D" w:rsidRDefault="0058104D" w:rsidP="0058104D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sz w:val="20"/>
                <w:szCs w:val="20"/>
              </w:rPr>
              <w:t>£k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04D" w:rsidRPr="0058104D" w:rsidRDefault="0058104D" w:rsidP="0058104D">
            <w:pPr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sz w:val="20"/>
                <w:szCs w:val="20"/>
              </w:rPr>
              <w:t>£k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04D" w:rsidRPr="0058104D" w:rsidRDefault="0058104D" w:rsidP="0058104D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sz w:val="20"/>
                <w:szCs w:val="20"/>
              </w:rPr>
              <w:t>£k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04D" w:rsidRPr="0058104D" w:rsidRDefault="0058104D" w:rsidP="0058104D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sz w:val="20"/>
                <w:szCs w:val="20"/>
              </w:rPr>
              <w:t>£k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04D" w:rsidRPr="0058104D" w:rsidRDefault="0058104D" w:rsidP="0058104D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sz w:val="20"/>
                <w:szCs w:val="20"/>
              </w:rPr>
              <w:t>%</w:t>
            </w:r>
          </w:p>
        </w:tc>
      </w:tr>
      <w:tr w:rsidR="0058104D" w:rsidRPr="0058104D" w:rsidTr="0058104D">
        <w:trPr>
          <w:trHeight w:hRule="exact" w:val="315"/>
        </w:trPr>
        <w:tc>
          <w:tcPr>
            <w:tcW w:w="760" w:type="pct"/>
            <w:tcBorders>
              <w:top w:val="nil"/>
              <w:bottom w:val="nil"/>
            </w:tcBorders>
            <w:vAlign w:val="bottom"/>
          </w:tcPr>
          <w:p w:rsidR="0058104D" w:rsidRPr="0058104D" w:rsidRDefault="0058104D" w:rsidP="0058104D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sz w:val="20"/>
                <w:szCs w:val="20"/>
              </w:rPr>
              <w:t>Staff Costs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1,369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1,315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DDDDDD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1,310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DDDDDD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1,270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color w:val="000000"/>
                <w:sz w:val="20"/>
                <w:szCs w:val="20"/>
              </w:rPr>
              <w:t>1,063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color w:val="000000"/>
                <w:sz w:val="20"/>
                <w:szCs w:val="20"/>
              </w:rPr>
              <w:t>1,068</w:t>
            </w:r>
          </w:p>
        </w:tc>
        <w:tc>
          <w:tcPr>
            <w:tcW w:w="5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8104D" w:rsidRPr="0058104D" w:rsidRDefault="0058104D" w:rsidP="0058104D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8104D" w:rsidRPr="0058104D" w:rsidRDefault="0058104D" w:rsidP="0058104D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sz w:val="20"/>
                <w:szCs w:val="20"/>
              </w:rPr>
              <w:t>0.5</w:t>
            </w:r>
          </w:p>
        </w:tc>
      </w:tr>
      <w:tr w:rsidR="0058104D" w:rsidRPr="0058104D" w:rsidTr="0058104D">
        <w:trPr>
          <w:trHeight w:val="225"/>
        </w:trPr>
        <w:tc>
          <w:tcPr>
            <w:tcW w:w="760" w:type="pct"/>
            <w:tcBorders>
              <w:top w:val="nil"/>
              <w:bottom w:val="nil"/>
            </w:tcBorders>
            <w:vAlign w:val="bottom"/>
          </w:tcPr>
          <w:p w:rsidR="0058104D" w:rsidRPr="0058104D" w:rsidRDefault="0058104D" w:rsidP="0058104D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sz w:val="20"/>
                <w:szCs w:val="20"/>
              </w:rPr>
              <w:t>Run Costs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DDDDDD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DDDDDD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8104D" w:rsidRPr="0058104D" w:rsidRDefault="0058104D" w:rsidP="0058104D">
            <w:pPr>
              <w:ind w:right="34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8104D" w:rsidRPr="0058104D" w:rsidRDefault="0058104D" w:rsidP="0058104D">
            <w:pPr>
              <w:ind w:right="284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color w:val="000000"/>
                <w:sz w:val="20"/>
                <w:szCs w:val="20"/>
              </w:rPr>
              <w:t>11.8</w:t>
            </w:r>
          </w:p>
        </w:tc>
      </w:tr>
      <w:tr w:rsidR="0058104D" w:rsidRPr="0058104D" w:rsidTr="0058104D">
        <w:trPr>
          <w:trHeight w:val="240"/>
        </w:trPr>
        <w:tc>
          <w:tcPr>
            <w:tcW w:w="760" w:type="pct"/>
            <w:tcBorders>
              <w:top w:val="nil"/>
            </w:tcBorders>
            <w:vAlign w:val="bottom"/>
          </w:tcPr>
          <w:p w:rsidR="0058104D" w:rsidRPr="0058104D" w:rsidRDefault="0058104D" w:rsidP="0058104D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sz w:val="20"/>
                <w:szCs w:val="20"/>
              </w:rPr>
              <w:t>Capital Costs</w:t>
            </w:r>
          </w:p>
        </w:tc>
        <w:tc>
          <w:tcPr>
            <w:tcW w:w="526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26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26" w:type="pct"/>
            <w:tcBorders>
              <w:top w:val="nil"/>
            </w:tcBorders>
            <w:shd w:val="clear" w:color="auto" w:fill="DDDDDD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26" w:type="pct"/>
            <w:tcBorders>
              <w:top w:val="nil"/>
            </w:tcBorders>
            <w:shd w:val="clear" w:color="auto" w:fill="DDDDDD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8104D" w:rsidRPr="0058104D" w:rsidRDefault="0058104D" w:rsidP="0058104D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8104D" w:rsidRPr="0058104D" w:rsidRDefault="0058104D" w:rsidP="0058104D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58104D" w:rsidRPr="0058104D" w:rsidTr="0058104D">
        <w:trPr>
          <w:trHeight w:hRule="exact" w:val="598"/>
        </w:trPr>
        <w:tc>
          <w:tcPr>
            <w:tcW w:w="760" w:type="pct"/>
            <w:shd w:val="pct15" w:color="auto" w:fill="FFFFFF"/>
            <w:vAlign w:val="center"/>
          </w:tcPr>
          <w:p w:rsidR="0058104D" w:rsidRPr="0058104D" w:rsidRDefault="0058104D" w:rsidP="0058104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sz w:val="20"/>
                <w:szCs w:val="20"/>
              </w:rPr>
              <w:t>Total Strat Dev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1,449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1,360</w:t>
            </w:r>
          </w:p>
        </w:tc>
        <w:tc>
          <w:tcPr>
            <w:tcW w:w="526" w:type="pct"/>
            <w:shd w:val="clear" w:color="auto" w:fill="DDDDDD"/>
            <w:vAlign w:val="center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1,338</w:t>
            </w:r>
          </w:p>
        </w:tc>
        <w:tc>
          <w:tcPr>
            <w:tcW w:w="526" w:type="pct"/>
            <w:shd w:val="clear" w:color="auto" w:fill="DDDDDD"/>
            <w:vAlign w:val="center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1,300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1,078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1,085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58104D" w:rsidRPr="0058104D" w:rsidRDefault="0058104D" w:rsidP="0058104D">
            <w:pPr>
              <w:ind w:right="34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58104D" w:rsidRPr="0058104D" w:rsidRDefault="0058104D" w:rsidP="0058104D">
            <w:pPr>
              <w:ind w:right="284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0.6</w:t>
            </w:r>
          </w:p>
        </w:tc>
      </w:tr>
      <w:tr w:rsidR="0058104D" w:rsidRPr="0058104D" w:rsidTr="0058104D">
        <w:trPr>
          <w:trHeight w:hRule="exact" w:val="422"/>
        </w:trPr>
        <w:tc>
          <w:tcPr>
            <w:tcW w:w="760" w:type="pct"/>
            <w:tcBorders>
              <w:bottom w:val="nil"/>
            </w:tcBorders>
            <w:vAlign w:val="bottom"/>
          </w:tcPr>
          <w:p w:rsidR="0058104D" w:rsidRPr="0058104D" w:rsidRDefault="0058104D" w:rsidP="0058104D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sz w:val="20"/>
                <w:szCs w:val="20"/>
              </w:rPr>
              <w:t>Staff Costs</w:t>
            </w:r>
          </w:p>
        </w:tc>
        <w:tc>
          <w:tcPr>
            <w:tcW w:w="526" w:type="pct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4,252</w:t>
            </w:r>
          </w:p>
        </w:tc>
        <w:tc>
          <w:tcPr>
            <w:tcW w:w="526" w:type="pct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4,133</w:t>
            </w:r>
          </w:p>
        </w:tc>
        <w:tc>
          <w:tcPr>
            <w:tcW w:w="526" w:type="pct"/>
            <w:tcBorders>
              <w:bottom w:val="nil"/>
            </w:tcBorders>
            <w:shd w:val="clear" w:color="auto" w:fill="DDDDDD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4,102</w:t>
            </w:r>
          </w:p>
        </w:tc>
        <w:tc>
          <w:tcPr>
            <w:tcW w:w="526" w:type="pct"/>
            <w:tcBorders>
              <w:bottom w:val="nil"/>
            </w:tcBorders>
            <w:shd w:val="clear" w:color="auto" w:fill="DDDDDD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4,078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color w:val="000000"/>
                <w:sz w:val="20"/>
                <w:szCs w:val="20"/>
              </w:rPr>
              <w:t>3,386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color w:val="000000"/>
                <w:sz w:val="20"/>
                <w:szCs w:val="20"/>
              </w:rPr>
              <w:t>3,386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8104D" w:rsidRPr="0058104D" w:rsidRDefault="0058104D" w:rsidP="0058104D">
            <w:pPr>
              <w:ind w:right="34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8104D" w:rsidRPr="0058104D" w:rsidRDefault="0058104D" w:rsidP="0058104D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58104D" w:rsidRPr="0058104D" w:rsidTr="0058104D">
        <w:trPr>
          <w:trHeight w:val="238"/>
        </w:trPr>
        <w:tc>
          <w:tcPr>
            <w:tcW w:w="760" w:type="pct"/>
            <w:tcBorders>
              <w:top w:val="nil"/>
              <w:bottom w:val="nil"/>
            </w:tcBorders>
            <w:vAlign w:val="bottom"/>
          </w:tcPr>
          <w:p w:rsidR="0058104D" w:rsidRPr="0058104D" w:rsidRDefault="0058104D" w:rsidP="0058104D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sz w:val="20"/>
                <w:szCs w:val="20"/>
                <w:vertAlign w:val="superscript"/>
              </w:rPr>
              <w:t>1</w:t>
            </w:r>
            <w:r w:rsidRPr="0058104D">
              <w:rPr>
                <w:rFonts w:eastAsia="Times New Roman" w:cs="Times New Roman"/>
                <w:sz w:val="20"/>
                <w:szCs w:val="20"/>
              </w:rPr>
              <w:t>Run Costs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1,377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1,260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DDDDDD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1,284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DDDDDD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1,689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color w:val="000000"/>
                <w:sz w:val="20"/>
                <w:szCs w:val="20"/>
              </w:rPr>
              <w:t>1,182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color w:val="000000"/>
                <w:sz w:val="20"/>
                <w:szCs w:val="20"/>
              </w:rPr>
              <w:t>1,332</w:t>
            </w:r>
          </w:p>
        </w:tc>
        <w:tc>
          <w:tcPr>
            <w:tcW w:w="5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8104D" w:rsidRPr="0058104D" w:rsidRDefault="0058104D" w:rsidP="0058104D">
            <w:pPr>
              <w:ind w:right="34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8104D" w:rsidRPr="0058104D" w:rsidRDefault="0058104D" w:rsidP="0058104D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sz w:val="20"/>
                <w:szCs w:val="20"/>
              </w:rPr>
              <w:t>11.3</w:t>
            </w:r>
          </w:p>
        </w:tc>
      </w:tr>
      <w:tr w:rsidR="0058104D" w:rsidRPr="0058104D" w:rsidTr="0058104D">
        <w:trPr>
          <w:trHeight w:val="284"/>
        </w:trPr>
        <w:tc>
          <w:tcPr>
            <w:tcW w:w="760" w:type="pct"/>
            <w:tcBorders>
              <w:top w:val="nil"/>
            </w:tcBorders>
            <w:vAlign w:val="bottom"/>
          </w:tcPr>
          <w:p w:rsidR="0058104D" w:rsidRPr="0058104D" w:rsidRDefault="0058104D" w:rsidP="0058104D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sz w:val="20"/>
                <w:szCs w:val="20"/>
              </w:rPr>
              <w:t>Capital Costs</w:t>
            </w:r>
          </w:p>
        </w:tc>
        <w:tc>
          <w:tcPr>
            <w:tcW w:w="526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6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26" w:type="pct"/>
            <w:tcBorders>
              <w:top w:val="nil"/>
            </w:tcBorders>
            <w:shd w:val="clear" w:color="auto" w:fill="DDDDDD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263</w:t>
            </w:r>
          </w:p>
        </w:tc>
        <w:tc>
          <w:tcPr>
            <w:tcW w:w="526" w:type="pct"/>
            <w:tcBorders>
              <w:top w:val="nil"/>
            </w:tcBorders>
            <w:shd w:val="clear" w:color="auto" w:fill="DDDDDD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263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5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104D" w:rsidRPr="0058104D" w:rsidRDefault="0058104D" w:rsidP="0058104D">
            <w:pPr>
              <w:ind w:right="34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104D" w:rsidRPr="0058104D" w:rsidRDefault="0058104D" w:rsidP="0058104D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sz w:val="20"/>
                <w:szCs w:val="20"/>
              </w:rPr>
              <w:t>13.3</w:t>
            </w:r>
          </w:p>
        </w:tc>
      </w:tr>
      <w:tr w:rsidR="0058104D" w:rsidRPr="0058104D" w:rsidTr="0058104D">
        <w:trPr>
          <w:trHeight w:hRule="exact" w:val="543"/>
        </w:trPr>
        <w:tc>
          <w:tcPr>
            <w:tcW w:w="760" w:type="pct"/>
            <w:shd w:val="pct15" w:color="auto" w:fill="FFFFFF"/>
            <w:vAlign w:val="center"/>
          </w:tcPr>
          <w:p w:rsidR="0058104D" w:rsidRPr="0058104D" w:rsidRDefault="0058104D" w:rsidP="0058104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sz w:val="20"/>
                <w:szCs w:val="20"/>
              </w:rPr>
              <w:t xml:space="preserve">Total Corp </w:t>
            </w:r>
            <w:proofErr w:type="spellStart"/>
            <w:r w:rsidRPr="0058104D">
              <w:rPr>
                <w:rFonts w:eastAsia="Times New Roman" w:cs="Times New Roman"/>
                <w:b/>
                <w:sz w:val="20"/>
                <w:szCs w:val="20"/>
              </w:rPr>
              <w:t>Serv</w:t>
            </w:r>
            <w:proofErr w:type="spellEnd"/>
            <w:r w:rsidRPr="0058104D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5,729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5,569</w:t>
            </w:r>
          </w:p>
        </w:tc>
        <w:tc>
          <w:tcPr>
            <w:tcW w:w="526" w:type="pct"/>
            <w:shd w:val="clear" w:color="auto" w:fill="DDDDDD"/>
            <w:vAlign w:val="center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5,649</w:t>
            </w:r>
          </w:p>
        </w:tc>
        <w:tc>
          <w:tcPr>
            <w:tcW w:w="526" w:type="pct"/>
            <w:shd w:val="clear" w:color="auto" w:fill="DDDDDD"/>
            <w:vAlign w:val="center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6,030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4,796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sz w:val="20"/>
                <w:szCs w:val="20"/>
              </w:rPr>
              <w:t>4,981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8104D" w:rsidRPr="0058104D" w:rsidRDefault="0058104D" w:rsidP="0058104D">
            <w:pPr>
              <w:ind w:right="34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sz w:val="20"/>
                <w:szCs w:val="20"/>
              </w:rPr>
              <w:t>185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8104D" w:rsidRPr="0058104D" w:rsidRDefault="0058104D" w:rsidP="0058104D">
            <w:pPr>
              <w:ind w:right="284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sz w:val="20"/>
                <w:szCs w:val="20"/>
              </w:rPr>
              <w:t>3.7</w:t>
            </w:r>
          </w:p>
        </w:tc>
      </w:tr>
      <w:tr w:rsidR="0058104D" w:rsidRPr="0058104D" w:rsidTr="0058104D">
        <w:trPr>
          <w:trHeight w:val="331"/>
        </w:trPr>
        <w:tc>
          <w:tcPr>
            <w:tcW w:w="760" w:type="pct"/>
            <w:tcBorders>
              <w:bottom w:val="nil"/>
            </w:tcBorders>
            <w:vAlign w:val="bottom"/>
          </w:tcPr>
          <w:p w:rsidR="0058104D" w:rsidRPr="0058104D" w:rsidRDefault="0058104D" w:rsidP="0058104D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sz w:val="20"/>
                <w:szCs w:val="20"/>
              </w:rPr>
              <w:t>Staff Costs</w:t>
            </w:r>
          </w:p>
        </w:tc>
        <w:tc>
          <w:tcPr>
            <w:tcW w:w="526" w:type="pct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3,704</w:t>
            </w:r>
          </w:p>
        </w:tc>
        <w:tc>
          <w:tcPr>
            <w:tcW w:w="526" w:type="pct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3,546</w:t>
            </w:r>
          </w:p>
        </w:tc>
        <w:tc>
          <w:tcPr>
            <w:tcW w:w="526" w:type="pct"/>
            <w:tcBorders>
              <w:bottom w:val="nil"/>
            </w:tcBorders>
            <w:shd w:val="clear" w:color="auto" w:fill="DDDDDD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3,477</w:t>
            </w:r>
          </w:p>
        </w:tc>
        <w:tc>
          <w:tcPr>
            <w:tcW w:w="526" w:type="pct"/>
            <w:tcBorders>
              <w:bottom w:val="nil"/>
            </w:tcBorders>
            <w:shd w:val="clear" w:color="auto" w:fill="DDDDDD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3,442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color w:val="000000"/>
                <w:sz w:val="20"/>
                <w:szCs w:val="20"/>
              </w:rPr>
              <w:t>2,874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color w:val="000000"/>
                <w:sz w:val="20"/>
                <w:szCs w:val="20"/>
              </w:rPr>
              <w:t>2,874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8104D" w:rsidRPr="0058104D" w:rsidRDefault="0058104D" w:rsidP="0058104D">
            <w:pPr>
              <w:tabs>
                <w:tab w:val="left" w:pos="895"/>
              </w:tabs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8104D" w:rsidRPr="0058104D" w:rsidRDefault="0058104D" w:rsidP="0058104D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58104D" w:rsidRPr="0058104D" w:rsidTr="0058104D">
        <w:trPr>
          <w:trHeight w:val="225"/>
        </w:trPr>
        <w:tc>
          <w:tcPr>
            <w:tcW w:w="760" w:type="pct"/>
            <w:tcBorders>
              <w:top w:val="nil"/>
              <w:bottom w:val="nil"/>
            </w:tcBorders>
            <w:vAlign w:val="bottom"/>
          </w:tcPr>
          <w:p w:rsidR="0058104D" w:rsidRPr="0058104D" w:rsidRDefault="0058104D" w:rsidP="0058104D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sz w:val="20"/>
                <w:szCs w:val="20"/>
              </w:rPr>
              <w:t>Run Costs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DDDDDD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DDDDDD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8104D" w:rsidRPr="0058104D" w:rsidRDefault="0058104D" w:rsidP="0058104D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8104D" w:rsidRPr="0058104D" w:rsidRDefault="0058104D" w:rsidP="0058104D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sz w:val="20"/>
                <w:szCs w:val="20"/>
              </w:rPr>
              <w:t>19.0</w:t>
            </w:r>
          </w:p>
        </w:tc>
      </w:tr>
      <w:tr w:rsidR="0058104D" w:rsidRPr="0058104D" w:rsidTr="0058104D">
        <w:trPr>
          <w:trHeight w:val="225"/>
        </w:trPr>
        <w:tc>
          <w:tcPr>
            <w:tcW w:w="760" w:type="pct"/>
            <w:tcBorders>
              <w:top w:val="nil"/>
              <w:bottom w:val="single" w:sz="4" w:space="0" w:color="auto"/>
            </w:tcBorders>
            <w:vAlign w:val="bottom"/>
          </w:tcPr>
          <w:p w:rsidR="0058104D" w:rsidRPr="0058104D" w:rsidRDefault="0058104D" w:rsidP="0058104D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sz w:val="20"/>
                <w:szCs w:val="20"/>
              </w:rPr>
              <w:t>Capital Costs</w:t>
            </w:r>
          </w:p>
        </w:tc>
        <w:tc>
          <w:tcPr>
            <w:tcW w:w="526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26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26" w:type="pct"/>
            <w:tcBorders>
              <w:top w:val="nil"/>
            </w:tcBorders>
            <w:shd w:val="clear" w:color="auto" w:fill="DDDDDD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26" w:type="pct"/>
            <w:tcBorders>
              <w:top w:val="nil"/>
            </w:tcBorders>
            <w:shd w:val="clear" w:color="auto" w:fill="DDDDDD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04D" w:rsidRPr="0058104D" w:rsidRDefault="0058104D" w:rsidP="0058104D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04D" w:rsidRPr="0058104D" w:rsidRDefault="0058104D" w:rsidP="0058104D">
            <w:pPr>
              <w:ind w:right="284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104D" w:rsidRPr="0058104D" w:rsidTr="0058104D">
        <w:trPr>
          <w:trHeight w:val="397"/>
        </w:trPr>
        <w:tc>
          <w:tcPr>
            <w:tcW w:w="76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8104D" w:rsidRPr="0058104D" w:rsidRDefault="0058104D" w:rsidP="0058104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sz w:val="20"/>
                <w:szCs w:val="20"/>
              </w:rPr>
              <w:t>Total Operations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3,813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3,647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3,530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3,474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2,891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2,895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104D" w:rsidRPr="0058104D" w:rsidRDefault="0058104D" w:rsidP="0058104D">
            <w:pPr>
              <w:ind w:right="34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8104D" w:rsidRPr="0058104D" w:rsidRDefault="0058104D" w:rsidP="0058104D">
            <w:pPr>
              <w:ind w:right="284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sz w:val="20"/>
                <w:szCs w:val="20"/>
              </w:rPr>
              <w:t>0.1</w:t>
            </w:r>
          </w:p>
        </w:tc>
      </w:tr>
      <w:tr w:rsidR="0058104D" w:rsidRPr="0058104D" w:rsidTr="0058104D">
        <w:trPr>
          <w:trHeight w:val="306"/>
        </w:trPr>
        <w:tc>
          <w:tcPr>
            <w:tcW w:w="760" w:type="pct"/>
            <w:tcBorders>
              <w:bottom w:val="nil"/>
            </w:tcBorders>
            <w:vAlign w:val="bottom"/>
          </w:tcPr>
          <w:p w:rsidR="0058104D" w:rsidRPr="0058104D" w:rsidRDefault="0058104D" w:rsidP="0058104D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sz w:val="20"/>
                <w:szCs w:val="20"/>
              </w:rPr>
              <w:t>Staff Costs</w:t>
            </w:r>
          </w:p>
        </w:tc>
        <w:tc>
          <w:tcPr>
            <w:tcW w:w="526" w:type="pct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278</w:t>
            </w:r>
          </w:p>
        </w:tc>
        <w:tc>
          <w:tcPr>
            <w:tcW w:w="526" w:type="pct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276</w:t>
            </w:r>
          </w:p>
        </w:tc>
        <w:tc>
          <w:tcPr>
            <w:tcW w:w="526" w:type="pct"/>
            <w:tcBorders>
              <w:bottom w:val="nil"/>
            </w:tcBorders>
            <w:shd w:val="clear" w:color="auto" w:fill="DDDDDD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276</w:t>
            </w:r>
          </w:p>
        </w:tc>
        <w:tc>
          <w:tcPr>
            <w:tcW w:w="526" w:type="pct"/>
            <w:tcBorders>
              <w:bottom w:val="nil"/>
            </w:tcBorders>
            <w:shd w:val="clear" w:color="auto" w:fill="DDDDDD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276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8104D" w:rsidRPr="0058104D" w:rsidRDefault="0058104D" w:rsidP="0058104D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8104D" w:rsidRPr="0058104D" w:rsidRDefault="0058104D" w:rsidP="0058104D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104D" w:rsidRPr="0058104D" w:rsidTr="0058104D">
        <w:trPr>
          <w:trHeight w:val="225"/>
        </w:trPr>
        <w:tc>
          <w:tcPr>
            <w:tcW w:w="760" w:type="pct"/>
            <w:tcBorders>
              <w:top w:val="nil"/>
              <w:bottom w:val="nil"/>
            </w:tcBorders>
            <w:vAlign w:val="bottom"/>
          </w:tcPr>
          <w:p w:rsidR="0058104D" w:rsidRPr="0058104D" w:rsidRDefault="0058104D" w:rsidP="0058104D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sz w:val="20"/>
                <w:szCs w:val="20"/>
              </w:rPr>
              <w:t>Run Costs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DDDDDD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DDDDDD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8104D" w:rsidRPr="0058104D" w:rsidRDefault="0058104D" w:rsidP="0058104D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8104D" w:rsidRPr="0058104D" w:rsidRDefault="0058104D" w:rsidP="0058104D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58104D" w:rsidRPr="0058104D" w:rsidTr="0058104D">
        <w:trPr>
          <w:trHeight w:val="225"/>
        </w:trPr>
        <w:tc>
          <w:tcPr>
            <w:tcW w:w="760" w:type="pct"/>
            <w:tcBorders>
              <w:top w:val="nil"/>
              <w:bottom w:val="single" w:sz="4" w:space="0" w:color="auto"/>
            </w:tcBorders>
            <w:vAlign w:val="bottom"/>
          </w:tcPr>
          <w:p w:rsidR="0058104D" w:rsidRPr="0058104D" w:rsidRDefault="0058104D" w:rsidP="0058104D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sz w:val="20"/>
                <w:szCs w:val="20"/>
              </w:rPr>
              <w:t>Capital Costs</w:t>
            </w:r>
          </w:p>
        </w:tc>
        <w:tc>
          <w:tcPr>
            <w:tcW w:w="526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26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26" w:type="pct"/>
            <w:tcBorders>
              <w:top w:val="nil"/>
            </w:tcBorders>
            <w:shd w:val="clear" w:color="auto" w:fill="DDDDDD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26" w:type="pct"/>
            <w:tcBorders>
              <w:top w:val="nil"/>
            </w:tcBorders>
            <w:shd w:val="clear" w:color="auto" w:fill="DDDDDD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04D" w:rsidRPr="0058104D" w:rsidRDefault="0058104D" w:rsidP="0058104D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04D" w:rsidRPr="0058104D" w:rsidRDefault="0058104D" w:rsidP="0058104D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58104D" w:rsidRPr="0058104D" w:rsidTr="0058104D">
        <w:trPr>
          <w:trHeight w:val="397"/>
        </w:trPr>
        <w:tc>
          <w:tcPr>
            <w:tcW w:w="760" w:type="pct"/>
            <w:tcBorders>
              <w:bottom w:val="nil"/>
            </w:tcBorders>
            <w:shd w:val="clear" w:color="auto" w:fill="D9D9D9"/>
            <w:vAlign w:val="center"/>
          </w:tcPr>
          <w:p w:rsidR="0058104D" w:rsidRPr="0058104D" w:rsidRDefault="0058104D" w:rsidP="0058104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sz w:val="20"/>
                <w:szCs w:val="20"/>
              </w:rPr>
              <w:t xml:space="preserve">Total Legal </w:t>
            </w:r>
            <w:proofErr w:type="spellStart"/>
            <w:r w:rsidRPr="0058104D">
              <w:rPr>
                <w:rFonts w:eastAsia="Times New Roman" w:cs="Times New Roman"/>
                <w:b/>
                <w:sz w:val="20"/>
                <w:szCs w:val="20"/>
              </w:rPr>
              <w:t>Serv</w:t>
            </w:r>
            <w:proofErr w:type="spellEnd"/>
          </w:p>
        </w:tc>
        <w:tc>
          <w:tcPr>
            <w:tcW w:w="526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288</w:t>
            </w:r>
          </w:p>
        </w:tc>
        <w:tc>
          <w:tcPr>
            <w:tcW w:w="526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286</w:t>
            </w:r>
          </w:p>
        </w:tc>
        <w:tc>
          <w:tcPr>
            <w:tcW w:w="526" w:type="pct"/>
            <w:tcBorders>
              <w:bottom w:val="nil"/>
            </w:tcBorders>
            <w:shd w:val="clear" w:color="auto" w:fill="DDDDDD"/>
            <w:vAlign w:val="center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305</w:t>
            </w:r>
          </w:p>
        </w:tc>
        <w:tc>
          <w:tcPr>
            <w:tcW w:w="526" w:type="pct"/>
            <w:tcBorders>
              <w:bottom w:val="nil"/>
            </w:tcBorders>
            <w:shd w:val="clear" w:color="auto" w:fill="DDDDDD"/>
            <w:vAlign w:val="center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296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sz w:val="20"/>
                <w:szCs w:val="20"/>
              </w:rPr>
              <w:t>296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58104D" w:rsidRPr="0058104D" w:rsidRDefault="0058104D" w:rsidP="0058104D">
            <w:pPr>
              <w:ind w:right="34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58104D" w:rsidRPr="0058104D" w:rsidRDefault="0058104D" w:rsidP="0058104D">
            <w:pPr>
              <w:ind w:right="284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</w:tr>
      <w:tr w:rsidR="0058104D" w:rsidRPr="0058104D" w:rsidTr="0058104D">
        <w:trPr>
          <w:trHeight w:val="420"/>
        </w:trPr>
        <w:tc>
          <w:tcPr>
            <w:tcW w:w="760" w:type="pct"/>
            <w:tcBorders>
              <w:bottom w:val="nil"/>
            </w:tcBorders>
            <w:vAlign w:val="bottom"/>
          </w:tcPr>
          <w:p w:rsidR="0058104D" w:rsidRPr="0058104D" w:rsidRDefault="0058104D" w:rsidP="0058104D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  <w:r w:rsidRPr="0058104D">
              <w:rPr>
                <w:rFonts w:eastAsia="Times New Roman" w:cs="Times New Roman"/>
                <w:sz w:val="20"/>
                <w:szCs w:val="20"/>
              </w:rPr>
              <w:t>Staff Costs</w:t>
            </w:r>
          </w:p>
        </w:tc>
        <w:tc>
          <w:tcPr>
            <w:tcW w:w="526" w:type="pct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(92)</w:t>
            </w:r>
          </w:p>
        </w:tc>
        <w:tc>
          <w:tcPr>
            <w:tcW w:w="526" w:type="pct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6" w:type="pct"/>
            <w:tcBorders>
              <w:bottom w:val="nil"/>
            </w:tcBorders>
            <w:shd w:val="clear" w:color="auto" w:fill="DDDDDD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26" w:type="pct"/>
            <w:tcBorders>
              <w:bottom w:val="nil"/>
            </w:tcBorders>
            <w:shd w:val="clear" w:color="auto" w:fill="DDDDDD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8104D" w:rsidRPr="0058104D" w:rsidRDefault="0058104D" w:rsidP="0058104D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8104D" w:rsidRPr="0058104D" w:rsidRDefault="0058104D" w:rsidP="0058104D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58104D" w:rsidRPr="0058104D" w:rsidTr="0058104D">
        <w:trPr>
          <w:trHeight w:val="141"/>
        </w:trPr>
        <w:tc>
          <w:tcPr>
            <w:tcW w:w="760" w:type="pct"/>
            <w:tcBorders>
              <w:top w:val="nil"/>
              <w:bottom w:val="nil"/>
            </w:tcBorders>
            <w:vAlign w:val="bottom"/>
          </w:tcPr>
          <w:p w:rsidR="0058104D" w:rsidRPr="0058104D" w:rsidRDefault="0058104D" w:rsidP="0058104D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sz w:val="20"/>
                <w:szCs w:val="20"/>
              </w:rPr>
              <w:t>Run Costs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DDDDDD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DDDDDD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8104D" w:rsidRPr="0058104D" w:rsidRDefault="0058104D" w:rsidP="0058104D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8104D" w:rsidRPr="0058104D" w:rsidRDefault="0058104D" w:rsidP="0058104D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58104D" w:rsidRPr="0058104D" w:rsidTr="0058104D">
        <w:trPr>
          <w:trHeight w:val="191"/>
        </w:trPr>
        <w:tc>
          <w:tcPr>
            <w:tcW w:w="760" w:type="pct"/>
            <w:tcBorders>
              <w:top w:val="nil"/>
              <w:bottom w:val="single" w:sz="4" w:space="0" w:color="auto"/>
            </w:tcBorders>
            <w:vAlign w:val="bottom"/>
          </w:tcPr>
          <w:p w:rsidR="0058104D" w:rsidRPr="0058104D" w:rsidRDefault="0058104D" w:rsidP="0058104D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sz w:val="20"/>
                <w:szCs w:val="20"/>
              </w:rPr>
              <w:t>Capital Costs</w:t>
            </w: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  <w:shd w:val="clear" w:color="auto" w:fill="DDDDDD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26" w:type="pct"/>
            <w:tcBorders>
              <w:top w:val="nil"/>
              <w:bottom w:val="single" w:sz="4" w:space="0" w:color="auto"/>
            </w:tcBorders>
            <w:shd w:val="clear" w:color="auto" w:fill="DDDDDD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8104D" w:rsidRPr="0058104D" w:rsidRDefault="0058104D" w:rsidP="0058104D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8104D" w:rsidRPr="0058104D" w:rsidRDefault="0058104D" w:rsidP="0058104D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58104D" w:rsidRPr="0058104D" w:rsidTr="0058104D">
        <w:trPr>
          <w:trHeight w:val="397"/>
        </w:trPr>
        <w:tc>
          <w:tcPr>
            <w:tcW w:w="7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104D" w:rsidRPr="0058104D" w:rsidRDefault="0058104D" w:rsidP="0058104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sz w:val="20"/>
                <w:szCs w:val="20"/>
              </w:rPr>
              <w:t>Total Vacancies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(92)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104D" w:rsidRPr="0058104D" w:rsidRDefault="0058104D" w:rsidP="0058104D">
            <w:pPr>
              <w:ind w:right="34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104D" w:rsidRPr="0058104D" w:rsidRDefault="0058104D" w:rsidP="0058104D">
            <w:pPr>
              <w:ind w:right="284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</w:tr>
      <w:tr w:rsidR="0058104D" w:rsidRPr="0058104D" w:rsidTr="0058104D">
        <w:trPr>
          <w:trHeight w:hRule="exact" w:val="453"/>
        </w:trPr>
        <w:tc>
          <w:tcPr>
            <w:tcW w:w="760" w:type="pct"/>
            <w:tcBorders>
              <w:top w:val="single" w:sz="4" w:space="0" w:color="auto"/>
              <w:bottom w:val="nil"/>
            </w:tcBorders>
            <w:vAlign w:val="bottom"/>
          </w:tcPr>
          <w:p w:rsidR="0058104D" w:rsidRPr="0058104D" w:rsidRDefault="0058104D" w:rsidP="0058104D">
            <w:pPr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sz w:val="20"/>
                <w:szCs w:val="20"/>
              </w:rPr>
              <w:t>Total Staff</w:t>
            </w:r>
          </w:p>
        </w:tc>
        <w:tc>
          <w:tcPr>
            <w:tcW w:w="526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9,510</w:t>
            </w:r>
          </w:p>
        </w:tc>
        <w:tc>
          <w:tcPr>
            <w:tcW w:w="526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9,292</w:t>
            </w:r>
          </w:p>
        </w:tc>
        <w:tc>
          <w:tcPr>
            <w:tcW w:w="526" w:type="pct"/>
            <w:tcBorders>
              <w:top w:val="single" w:sz="4" w:space="0" w:color="auto"/>
              <w:bottom w:val="nil"/>
            </w:tcBorders>
            <w:shd w:val="clear" w:color="auto" w:fill="DDDDDD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9,165</w:t>
            </w:r>
          </w:p>
        </w:tc>
        <w:tc>
          <w:tcPr>
            <w:tcW w:w="526" w:type="pct"/>
            <w:tcBorders>
              <w:top w:val="single" w:sz="4" w:space="0" w:color="auto"/>
              <w:bottom w:val="nil"/>
            </w:tcBorders>
            <w:shd w:val="clear" w:color="auto" w:fill="DDDDDD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9,066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color w:val="000000"/>
                <w:sz w:val="20"/>
                <w:szCs w:val="20"/>
              </w:rPr>
              <w:t>7,553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color w:val="000000"/>
                <w:sz w:val="20"/>
                <w:szCs w:val="20"/>
              </w:rPr>
              <w:t>7,558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8104D" w:rsidRPr="0058104D" w:rsidRDefault="0058104D" w:rsidP="0058104D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8104D" w:rsidRPr="0058104D" w:rsidRDefault="0058104D" w:rsidP="0058104D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sz w:val="20"/>
                <w:szCs w:val="20"/>
              </w:rPr>
              <w:t>0.1</w:t>
            </w:r>
          </w:p>
        </w:tc>
      </w:tr>
      <w:tr w:rsidR="0058104D" w:rsidRPr="0058104D" w:rsidTr="0058104D">
        <w:trPr>
          <w:trHeight w:hRule="exact" w:val="253"/>
        </w:trPr>
        <w:tc>
          <w:tcPr>
            <w:tcW w:w="760" w:type="pct"/>
            <w:tcBorders>
              <w:top w:val="nil"/>
              <w:bottom w:val="nil"/>
            </w:tcBorders>
            <w:vAlign w:val="bottom"/>
          </w:tcPr>
          <w:p w:rsidR="0058104D" w:rsidRPr="0058104D" w:rsidRDefault="0058104D" w:rsidP="0058104D">
            <w:pPr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sz w:val="20"/>
                <w:szCs w:val="20"/>
              </w:rPr>
              <w:t xml:space="preserve">Total Run 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1,577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1,417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DDDDDD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1,395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DDDDDD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1,806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color w:val="000000"/>
                <w:sz w:val="20"/>
                <w:szCs w:val="20"/>
              </w:rPr>
              <w:t>1,280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color w:val="000000"/>
                <w:sz w:val="20"/>
                <w:szCs w:val="20"/>
              </w:rPr>
              <w:t>1,436</w:t>
            </w:r>
          </w:p>
        </w:tc>
        <w:tc>
          <w:tcPr>
            <w:tcW w:w="5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8104D" w:rsidRPr="0058104D" w:rsidRDefault="0058104D" w:rsidP="0058104D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sz w:val="20"/>
                <w:szCs w:val="20"/>
              </w:rPr>
              <w:t>156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104D" w:rsidRPr="0058104D" w:rsidRDefault="0058104D" w:rsidP="0058104D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sz w:val="20"/>
                <w:szCs w:val="20"/>
              </w:rPr>
              <w:t>10.9</w:t>
            </w:r>
          </w:p>
        </w:tc>
      </w:tr>
      <w:tr w:rsidR="0058104D" w:rsidRPr="0058104D" w:rsidTr="0058104D">
        <w:trPr>
          <w:trHeight w:hRule="exact" w:val="271"/>
        </w:trPr>
        <w:tc>
          <w:tcPr>
            <w:tcW w:w="760" w:type="pct"/>
            <w:tcBorders>
              <w:top w:val="nil"/>
              <w:bottom w:val="single" w:sz="4" w:space="0" w:color="auto"/>
            </w:tcBorders>
            <w:vAlign w:val="bottom"/>
          </w:tcPr>
          <w:p w:rsidR="0058104D" w:rsidRPr="0058104D" w:rsidRDefault="0058104D" w:rsidP="0058104D">
            <w:pPr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sz w:val="20"/>
                <w:szCs w:val="20"/>
              </w:rPr>
              <w:t>Total Cap</w:t>
            </w:r>
          </w:p>
        </w:tc>
        <w:tc>
          <w:tcPr>
            <w:tcW w:w="526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6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26" w:type="pct"/>
            <w:tcBorders>
              <w:top w:val="nil"/>
            </w:tcBorders>
            <w:shd w:val="clear" w:color="auto" w:fill="DDDDDD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263</w:t>
            </w:r>
          </w:p>
        </w:tc>
        <w:tc>
          <w:tcPr>
            <w:tcW w:w="526" w:type="pct"/>
            <w:tcBorders>
              <w:top w:val="nil"/>
            </w:tcBorders>
            <w:shd w:val="clear" w:color="auto" w:fill="DDDDDD"/>
            <w:vAlign w:val="bottom"/>
          </w:tcPr>
          <w:p w:rsidR="0058104D" w:rsidRPr="0058104D" w:rsidRDefault="0058104D" w:rsidP="0058104D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263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5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8104D" w:rsidRPr="0058104D" w:rsidRDefault="0058104D" w:rsidP="0058104D">
            <w:pPr>
              <w:ind w:right="34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04D" w:rsidRPr="0058104D" w:rsidRDefault="0058104D" w:rsidP="0058104D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sz w:val="20"/>
                <w:szCs w:val="20"/>
              </w:rPr>
              <w:t>13.3</w:t>
            </w:r>
          </w:p>
        </w:tc>
      </w:tr>
      <w:tr w:rsidR="0058104D" w:rsidRPr="0058104D" w:rsidTr="0058104D">
        <w:trPr>
          <w:trHeight w:val="454"/>
        </w:trPr>
        <w:tc>
          <w:tcPr>
            <w:tcW w:w="760" w:type="pct"/>
            <w:shd w:val="pct15" w:color="auto" w:fill="auto"/>
            <w:vAlign w:val="center"/>
          </w:tcPr>
          <w:p w:rsidR="0058104D" w:rsidRPr="0058104D" w:rsidRDefault="0058104D" w:rsidP="0058104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sz w:val="20"/>
                <w:szCs w:val="20"/>
              </w:rPr>
              <w:t>TOTAL EXCL PENSIONS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:rsidR="0058104D" w:rsidRPr="0058104D" w:rsidRDefault="0058104D" w:rsidP="0058104D">
            <w:pPr>
              <w:ind w:left="-8"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11,187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:rsidR="0058104D" w:rsidRPr="0058104D" w:rsidRDefault="0058104D" w:rsidP="0058104D">
            <w:pPr>
              <w:ind w:left="-8"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10,885</w:t>
            </w:r>
          </w:p>
        </w:tc>
        <w:tc>
          <w:tcPr>
            <w:tcW w:w="526" w:type="pct"/>
            <w:shd w:val="clear" w:color="auto" w:fill="DDDDDD"/>
            <w:vAlign w:val="center"/>
          </w:tcPr>
          <w:p w:rsidR="0058104D" w:rsidRPr="0058104D" w:rsidRDefault="0058104D" w:rsidP="0058104D">
            <w:pPr>
              <w:ind w:left="-8"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10,823</w:t>
            </w:r>
          </w:p>
        </w:tc>
        <w:tc>
          <w:tcPr>
            <w:tcW w:w="526" w:type="pct"/>
            <w:shd w:val="clear" w:color="auto" w:fill="DDDDDD"/>
            <w:vAlign w:val="center"/>
          </w:tcPr>
          <w:p w:rsidR="0058104D" w:rsidRPr="0058104D" w:rsidRDefault="0058104D" w:rsidP="0058104D">
            <w:pPr>
              <w:ind w:left="-8"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11,135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9,061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9,257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8104D" w:rsidRPr="0058104D" w:rsidRDefault="0058104D" w:rsidP="0058104D">
            <w:pPr>
              <w:ind w:right="34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sz w:val="20"/>
                <w:szCs w:val="20"/>
              </w:rPr>
              <w:t>196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58104D" w:rsidRPr="0058104D" w:rsidRDefault="0058104D" w:rsidP="0058104D">
            <w:pPr>
              <w:ind w:right="284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sz w:val="20"/>
                <w:szCs w:val="20"/>
              </w:rPr>
              <w:t>2.1</w:t>
            </w:r>
          </w:p>
        </w:tc>
      </w:tr>
      <w:tr w:rsidR="0058104D" w:rsidRPr="0058104D" w:rsidTr="0058104D">
        <w:trPr>
          <w:trHeight w:val="28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04D" w:rsidRPr="0058104D" w:rsidRDefault="0058104D" w:rsidP="0058104D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sz w:val="20"/>
                <w:szCs w:val="20"/>
              </w:rPr>
              <w:t xml:space="preserve"> Pension Costs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104D" w:rsidRPr="0058104D" w:rsidRDefault="0058104D" w:rsidP="0058104D">
            <w:pPr>
              <w:ind w:left="-8"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104D" w:rsidRPr="0058104D" w:rsidRDefault="0058104D" w:rsidP="0058104D">
            <w:pPr>
              <w:ind w:left="-8"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bottom"/>
          </w:tcPr>
          <w:p w:rsidR="0058104D" w:rsidRPr="0058104D" w:rsidRDefault="0058104D" w:rsidP="0058104D">
            <w:pPr>
              <w:ind w:left="-8"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bottom"/>
          </w:tcPr>
          <w:p w:rsidR="0058104D" w:rsidRPr="0058104D" w:rsidRDefault="0058104D" w:rsidP="0058104D">
            <w:pPr>
              <w:ind w:left="-8"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color w:val="000000"/>
                <w:sz w:val="20"/>
                <w:szCs w:val="20"/>
              </w:rPr>
              <w:t>1,608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color w:val="000000"/>
                <w:sz w:val="20"/>
                <w:szCs w:val="20"/>
              </w:rPr>
              <w:t>1,608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8104D" w:rsidRPr="0058104D" w:rsidRDefault="0058104D" w:rsidP="0058104D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8104D" w:rsidRPr="0058104D" w:rsidRDefault="0058104D" w:rsidP="0058104D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104D" w:rsidRPr="0058104D" w:rsidTr="0058104D">
        <w:trPr>
          <w:trHeight w:val="454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8104D" w:rsidRPr="0058104D" w:rsidRDefault="0058104D" w:rsidP="0058104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sz w:val="20"/>
                <w:szCs w:val="20"/>
              </w:rPr>
              <w:t xml:space="preserve">TOTAL ADMIN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104D" w:rsidRPr="0058104D" w:rsidRDefault="0058104D" w:rsidP="0058104D">
            <w:pPr>
              <w:ind w:left="-8"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12,687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104D" w:rsidRPr="0058104D" w:rsidRDefault="0058104D" w:rsidP="0058104D">
            <w:pPr>
              <w:ind w:left="-8"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12,385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58104D" w:rsidRPr="0058104D" w:rsidRDefault="0058104D" w:rsidP="0058104D">
            <w:pPr>
              <w:ind w:left="-8"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12,823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58104D" w:rsidRPr="0058104D" w:rsidRDefault="0058104D" w:rsidP="0058104D">
            <w:pPr>
              <w:ind w:left="-8"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13,135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58104D" w:rsidRPr="0058104D" w:rsidRDefault="0058104D" w:rsidP="0058104D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10,668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58104D" w:rsidRPr="0058104D" w:rsidRDefault="0058104D" w:rsidP="0058104D">
            <w:pPr>
              <w:ind w:left="-67"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10,865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58104D" w:rsidRPr="0058104D" w:rsidRDefault="0058104D" w:rsidP="0058104D">
            <w:pPr>
              <w:ind w:right="34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sz w:val="20"/>
                <w:szCs w:val="20"/>
              </w:rPr>
              <w:t>197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58104D" w:rsidRPr="0058104D" w:rsidRDefault="0058104D" w:rsidP="0058104D">
            <w:pPr>
              <w:ind w:right="284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58104D">
              <w:rPr>
                <w:rFonts w:eastAsia="Times New Roman" w:cs="Times New Roman"/>
                <w:b/>
                <w:sz w:val="20"/>
                <w:szCs w:val="20"/>
              </w:rPr>
              <w:t>1.8</w:t>
            </w:r>
          </w:p>
        </w:tc>
      </w:tr>
    </w:tbl>
    <w:p w:rsidR="008E6349" w:rsidRPr="008E6349" w:rsidRDefault="008E6349" w:rsidP="008E6349">
      <w:pPr>
        <w:spacing w:before="60" w:after="60"/>
        <w:jc w:val="both"/>
        <w:rPr>
          <w:rFonts w:eastAsia="Times New Roman" w:cs="Times New Roman"/>
          <w:sz w:val="16"/>
          <w:szCs w:val="16"/>
        </w:rPr>
      </w:pPr>
      <w:r w:rsidRPr="008E6349">
        <w:rPr>
          <w:rFonts w:eastAsia="Times New Roman" w:cs="Times New Roman"/>
          <w:sz w:val="16"/>
          <w:szCs w:val="16"/>
          <w:vertAlign w:val="superscript"/>
        </w:rPr>
        <w:t xml:space="preserve">1 </w:t>
      </w:r>
      <w:r w:rsidRPr="008E6349">
        <w:rPr>
          <w:rFonts w:eastAsia="Times New Roman" w:cs="Times New Roman"/>
          <w:sz w:val="16"/>
          <w:szCs w:val="16"/>
        </w:rPr>
        <w:t xml:space="preserve">Corporate Services annual running costs budgets are net of </w:t>
      </w:r>
      <w:r w:rsidRPr="008E6349">
        <w:rPr>
          <w:rFonts w:eastAsia="Times New Roman" w:cs="Times New Roman"/>
          <w:color w:val="FF0000"/>
          <w:sz w:val="16"/>
          <w:szCs w:val="16"/>
        </w:rPr>
        <w:t xml:space="preserve">£-545k </w:t>
      </w:r>
      <w:r w:rsidRPr="008E6349">
        <w:rPr>
          <w:rFonts w:eastAsia="Times New Roman" w:cs="Times New Roman"/>
          <w:sz w:val="16"/>
          <w:szCs w:val="16"/>
        </w:rPr>
        <w:t>Thistle House sub-let income.</w:t>
      </w:r>
    </w:p>
    <w:p w:rsidR="008E6349" w:rsidRPr="008E6349" w:rsidRDefault="008E6349" w:rsidP="008E6349">
      <w:pPr>
        <w:spacing w:before="60" w:after="60"/>
        <w:jc w:val="both"/>
        <w:rPr>
          <w:rFonts w:eastAsia="Times New Roman" w:cs="Times New Roman"/>
          <w:sz w:val="16"/>
          <w:szCs w:val="16"/>
        </w:rPr>
      </w:pPr>
      <w:r w:rsidRPr="008E6349">
        <w:rPr>
          <w:rFonts w:eastAsia="Times New Roman" w:cs="Times New Roman"/>
          <w:sz w:val="16"/>
          <w:szCs w:val="16"/>
          <w:vertAlign w:val="superscript"/>
        </w:rPr>
        <w:t xml:space="preserve">2 </w:t>
      </w:r>
      <w:r w:rsidRPr="008E6349">
        <w:rPr>
          <w:rFonts w:eastAsia="Times New Roman" w:cs="Times New Roman"/>
          <w:sz w:val="16"/>
          <w:szCs w:val="16"/>
        </w:rPr>
        <w:t xml:space="preserve">Staff costs in this area are: £58k of vacancies and </w:t>
      </w:r>
      <w:r w:rsidRPr="008E6349">
        <w:rPr>
          <w:rFonts w:eastAsia="Times New Roman" w:cs="Times New Roman"/>
          <w:color w:val="FF0000"/>
          <w:sz w:val="16"/>
          <w:szCs w:val="16"/>
        </w:rPr>
        <w:t xml:space="preserve">£-150k </w:t>
      </w:r>
      <w:r w:rsidRPr="008E6349">
        <w:rPr>
          <w:rFonts w:eastAsia="Times New Roman" w:cs="Times New Roman"/>
          <w:sz w:val="16"/>
          <w:szCs w:val="16"/>
        </w:rPr>
        <w:t>vacancy gap allowance.</w:t>
      </w:r>
    </w:p>
    <w:p w:rsidR="008E6349" w:rsidRDefault="008E6349" w:rsidP="008E6349">
      <w:pPr>
        <w:spacing w:before="120" w:after="120"/>
        <w:jc w:val="both"/>
        <w:rPr>
          <w:rFonts w:eastAsia="Times New Roman" w:cs="Times New Roman"/>
          <w:sz w:val="24"/>
          <w:szCs w:val="24"/>
        </w:rPr>
      </w:pPr>
      <w:r w:rsidRPr="008E6349">
        <w:rPr>
          <w:rFonts w:eastAsia="Times New Roman" w:cs="Times New Roman"/>
          <w:sz w:val="24"/>
          <w:szCs w:val="24"/>
        </w:rPr>
        <w:t xml:space="preserve">Total cash spend to the end of </w:t>
      </w:r>
      <w:r w:rsidR="0058104D">
        <w:rPr>
          <w:rFonts w:eastAsia="Times New Roman" w:cs="Times New Roman"/>
          <w:sz w:val="24"/>
          <w:szCs w:val="24"/>
        </w:rPr>
        <w:t>January 2021 is £10,668k against a budget of £10,865k, an underspend of £197</w:t>
      </w:r>
      <w:r w:rsidRPr="008E6349">
        <w:rPr>
          <w:rFonts w:eastAsia="Times New Roman" w:cs="Times New Roman"/>
          <w:sz w:val="24"/>
          <w:szCs w:val="24"/>
        </w:rPr>
        <w:t>k</w:t>
      </w:r>
      <w:r w:rsidR="0058104D">
        <w:rPr>
          <w:rFonts w:eastAsia="Times New Roman" w:cs="Times New Roman"/>
          <w:sz w:val="24"/>
          <w:szCs w:val="24"/>
        </w:rPr>
        <w:t xml:space="preserve"> (1.8</w:t>
      </w:r>
      <w:r>
        <w:rPr>
          <w:rFonts w:eastAsia="Times New Roman" w:cs="Times New Roman"/>
          <w:sz w:val="24"/>
          <w:szCs w:val="24"/>
        </w:rPr>
        <w:t>%)</w:t>
      </w:r>
      <w:r w:rsidRPr="008E6349">
        <w:rPr>
          <w:rFonts w:eastAsia="Times New Roman" w:cs="Times New Roman"/>
          <w:sz w:val="24"/>
          <w:szCs w:val="24"/>
        </w:rPr>
        <w:t>.</w:t>
      </w:r>
    </w:p>
    <w:p w:rsidR="0058104D" w:rsidRPr="008E6349" w:rsidRDefault="0058104D" w:rsidP="008E6349">
      <w:pPr>
        <w:spacing w:before="120" w:after="120"/>
        <w:jc w:val="both"/>
        <w:rPr>
          <w:rFonts w:eastAsia="Times New Roman" w:cs="Times New Roman"/>
          <w:sz w:val="24"/>
          <w:szCs w:val="24"/>
        </w:rPr>
      </w:pPr>
    </w:p>
    <w:p w:rsidR="00AB5C5A" w:rsidRDefault="00AB5C5A" w:rsidP="00AB5C5A">
      <w:pPr>
        <w:spacing w:before="120" w:after="120"/>
        <w:jc w:val="both"/>
        <w:rPr>
          <w:rFonts w:eastAsia="Times New Roman" w:cs="Times New Roman"/>
          <w:sz w:val="24"/>
          <w:szCs w:val="24"/>
        </w:rPr>
      </w:pPr>
    </w:p>
    <w:p w:rsidR="00AB5C5A" w:rsidRPr="008E6349" w:rsidRDefault="00674957" w:rsidP="00AB5C5A">
      <w:pPr>
        <w:spacing w:before="120" w:after="120"/>
        <w:jc w:val="both"/>
        <w:rPr>
          <w:rFonts w:eastAsia="Times New Roman" w:cs="Times New Roman"/>
          <w:sz w:val="24"/>
          <w:szCs w:val="24"/>
        </w:rPr>
      </w:pPr>
      <w:r w:rsidRPr="008E6349">
        <w:rPr>
          <w:rFonts w:eastAsia="Times New Roman" w:cs="Times New Roman"/>
          <w:b/>
          <w:sz w:val="24"/>
          <w:szCs w:val="24"/>
        </w:rPr>
        <w:lastRenderedPageBreak/>
        <w:t>3. Variances to</w:t>
      </w:r>
      <w:r w:rsidR="00C31055" w:rsidRPr="008E6349">
        <w:rPr>
          <w:rFonts w:eastAsia="Times New Roman" w:cs="Times New Roman"/>
          <w:b/>
          <w:sz w:val="24"/>
          <w:szCs w:val="24"/>
        </w:rPr>
        <w:t xml:space="preserve"> </w:t>
      </w:r>
      <w:r w:rsidR="00CF07F8" w:rsidRPr="008E6349">
        <w:rPr>
          <w:rFonts w:eastAsia="Times New Roman" w:cs="Times New Roman"/>
          <w:b/>
          <w:sz w:val="24"/>
          <w:szCs w:val="24"/>
        </w:rPr>
        <w:t>budget</w:t>
      </w:r>
    </w:p>
    <w:p w:rsidR="0058104D" w:rsidRDefault="0058104D" w:rsidP="0058104D">
      <w:pPr>
        <w:spacing w:before="24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Although</w:t>
      </w:r>
      <w:r w:rsidRPr="0058104D">
        <w:rPr>
          <w:rFonts w:eastAsia="Times New Roman" w:cs="Times New Roman"/>
          <w:sz w:val="24"/>
          <w:szCs w:val="24"/>
        </w:rPr>
        <w:t xml:space="preserve"> there is a small varian</w:t>
      </w:r>
      <w:r w:rsidR="004D0FFC">
        <w:rPr>
          <w:rFonts w:eastAsia="Times New Roman" w:cs="Times New Roman"/>
          <w:sz w:val="24"/>
          <w:szCs w:val="24"/>
        </w:rPr>
        <w:t>ce due to vacancies</w:t>
      </w:r>
      <w:r w:rsidRPr="0058104D">
        <w:rPr>
          <w:rFonts w:eastAsia="Times New Roman" w:cs="Times New Roman"/>
          <w:sz w:val="24"/>
          <w:szCs w:val="24"/>
        </w:rPr>
        <w:t xml:space="preserve">, staff costs are pretty much in line with budget (0.1% underspent).  Running costs are currently underspent but this is largely timing.  IS </w:t>
      </w:r>
      <w:r w:rsidR="002B1B5C">
        <w:rPr>
          <w:rFonts w:eastAsia="Times New Roman" w:cs="Times New Roman"/>
          <w:sz w:val="24"/>
          <w:szCs w:val="24"/>
        </w:rPr>
        <w:t xml:space="preserve">and Finance </w:t>
      </w:r>
      <w:r w:rsidRPr="0058104D">
        <w:rPr>
          <w:rFonts w:eastAsia="Times New Roman" w:cs="Times New Roman"/>
          <w:sz w:val="24"/>
          <w:szCs w:val="24"/>
        </w:rPr>
        <w:t>are working hard to ensure all bills are received before year end.</w:t>
      </w:r>
      <w:r w:rsidR="00AA7C9A">
        <w:rPr>
          <w:rFonts w:eastAsia="Times New Roman" w:cs="Times New Roman"/>
          <w:sz w:val="24"/>
          <w:szCs w:val="24"/>
        </w:rPr>
        <w:t xml:space="preserve">  </w:t>
      </w:r>
      <w:r w:rsidRPr="0058104D">
        <w:rPr>
          <w:rFonts w:eastAsia="Times New Roman" w:cs="Times New Roman"/>
          <w:sz w:val="24"/>
          <w:szCs w:val="24"/>
        </w:rPr>
        <w:t xml:space="preserve">The Capital </w:t>
      </w:r>
      <w:r w:rsidR="002B1B5C" w:rsidRPr="0058104D">
        <w:rPr>
          <w:rFonts w:eastAsia="Times New Roman" w:cs="Times New Roman"/>
          <w:sz w:val="24"/>
          <w:szCs w:val="24"/>
        </w:rPr>
        <w:t xml:space="preserve">underspend </w:t>
      </w:r>
      <w:r w:rsidR="002B1B5C">
        <w:rPr>
          <w:rFonts w:eastAsia="Times New Roman" w:cs="Times New Roman"/>
          <w:sz w:val="24"/>
          <w:szCs w:val="24"/>
        </w:rPr>
        <w:t xml:space="preserve">is also </w:t>
      </w:r>
      <w:r w:rsidR="00E82497">
        <w:rPr>
          <w:rFonts w:eastAsia="Times New Roman" w:cs="Times New Roman"/>
          <w:sz w:val="24"/>
          <w:szCs w:val="24"/>
        </w:rPr>
        <w:t xml:space="preserve">due to </w:t>
      </w:r>
      <w:r w:rsidR="002B1B5C">
        <w:rPr>
          <w:rFonts w:eastAsia="Times New Roman" w:cs="Times New Roman"/>
          <w:sz w:val="24"/>
          <w:szCs w:val="24"/>
        </w:rPr>
        <w:t>timing</w:t>
      </w:r>
      <w:r w:rsidR="00E82497">
        <w:rPr>
          <w:rFonts w:eastAsia="Times New Roman" w:cs="Times New Roman"/>
          <w:sz w:val="24"/>
          <w:szCs w:val="24"/>
        </w:rPr>
        <w:t>, the</w:t>
      </w:r>
      <w:r w:rsidRPr="0058104D">
        <w:rPr>
          <w:rFonts w:eastAsia="Times New Roman" w:cs="Times New Roman"/>
          <w:sz w:val="24"/>
          <w:szCs w:val="24"/>
        </w:rPr>
        <w:t xml:space="preserve"> </w:t>
      </w:r>
      <w:r w:rsidR="00E82497">
        <w:rPr>
          <w:rFonts w:eastAsia="Times New Roman" w:cs="Times New Roman"/>
          <w:sz w:val="24"/>
          <w:szCs w:val="24"/>
        </w:rPr>
        <w:t xml:space="preserve">outstanding </w:t>
      </w:r>
      <w:r w:rsidRPr="0058104D">
        <w:rPr>
          <w:rFonts w:eastAsia="Times New Roman" w:cs="Times New Roman"/>
          <w:sz w:val="24"/>
          <w:szCs w:val="24"/>
        </w:rPr>
        <w:t xml:space="preserve">15.8” laptops </w:t>
      </w:r>
      <w:r w:rsidR="00E82497">
        <w:rPr>
          <w:rFonts w:eastAsia="Times New Roman" w:cs="Times New Roman"/>
          <w:sz w:val="24"/>
          <w:szCs w:val="24"/>
        </w:rPr>
        <w:t>are due to arrive before the end of March.</w:t>
      </w:r>
      <w:r w:rsidRPr="0058104D">
        <w:rPr>
          <w:rFonts w:eastAsia="Times New Roman" w:cs="Times New Roman"/>
          <w:sz w:val="24"/>
          <w:szCs w:val="24"/>
        </w:rPr>
        <w:t xml:space="preserve">  </w:t>
      </w:r>
    </w:p>
    <w:p w:rsidR="00AA7C9A" w:rsidRPr="0058104D" w:rsidRDefault="00AA7C9A" w:rsidP="00AA7C9A">
      <w:pPr>
        <w:jc w:val="both"/>
        <w:rPr>
          <w:rFonts w:eastAsia="Times New Roman" w:cs="Times New Roman"/>
          <w:sz w:val="24"/>
          <w:szCs w:val="24"/>
        </w:rPr>
      </w:pPr>
    </w:p>
    <w:p w:rsidR="00AA7C9A" w:rsidRPr="008E6349" w:rsidRDefault="00AA7C9A" w:rsidP="00AA7C9A">
      <w:pPr>
        <w:spacing w:after="1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4</w:t>
      </w:r>
      <w:r w:rsidRPr="008E6349">
        <w:rPr>
          <w:rFonts w:eastAsia="Times New Roman" w:cs="Times New Roman"/>
          <w:b/>
          <w:sz w:val="24"/>
          <w:szCs w:val="24"/>
        </w:rPr>
        <w:t xml:space="preserve">. </w:t>
      </w:r>
      <w:r>
        <w:rPr>
          <w:rFonts w:eastAsia="Times New Roman" w:cs="Times New Roman"/>
          <w:b/>
          <w:sz w:val="24"/>
          <w:szCs w:val="24"/>
        </w:rPr>
        <w:t>Pensions</w:t>
      </w:r>
    </w:p>
    <w:p w:rsidR="0058104D" w:rsidRDefault="0058104D" w:rsidP="0058104D">
      <w:pPr>
        <w:spacing w:before="240"/>
        <w:jc w:val="both"/>
        <w:rPr>
          <w:rFonts w:eastAsia="Times New Roman" w:cs="Times New Roman"/>
          <w:sz w:val="24"/>
          <w:szCs w:val="24"/>
        </w:rPr>
      </w:pPr>
      <w:r w:rsidRPr="0058104D">
        <w:rPr>
          <w:rFonts w:eastAsia="Times New Roman" w:cs="Times New Roman"/>
          <w:sz w:val="24"/>
          <w:szCs w:val="24"/>
        </w:rPr>
        <w:t>Whilst pensions spend is currently on track, we know there will be an underspend by year end of up to £200k.  This is caused by retirements we had forecast for March now occurring in early April.</w:t>
      </w:r>
    </w:p>
    <w:p w:rsidR="008E6349" w:rsidRPr="008E6349" w:rsidRDefault="00AA7C9A" w:rsidP="0058104D">
      <w:pPr>
        <w:spacing w:before="240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5</w:t>
      </w:r>
      <w:r w:rsidR="008E6349">
        <w:rPr>
          <w:rFonts w:eastAsia="Times New Roman" w:cs="Times New Roman"/>
          <w:b/>
          <w:bCs/>
          <w:sz w:val="24"/>
          <w:szCs w:val="24"/>
        </w:rPr>
        <w:t xml:space="preserve">. </w:t>
      </w:r>
      <w:r w:rsidR="008E6349" w:rsidRPr="008E6349">
        <w:rPr>
          <w:rFonts w:eastAsia="Times New Roman" w:cs="Times New Roman"/>
          <w:b/>
          <w:bCs/>
          <w:sz w:val="24"/>
          <w:szCs w:val="24"/>
        </w:rPr>
        <w:t>Full year position</w:t>
      </w:r>
    </w:p>
    <w:p w:rsidR="0058104D" w:rsidRPr="0058104D" w:rsidRDefault="0058104D" w:rsidP="0058104D">
      <w:pPr>
        <w:spacing w:before="240"/>
        <w:jc w:val="both"/>
        <w:rPr>
          <w:rFonts w:eastAsia="Times New Roman" w:cs="Times New Roman"/>
          <w:sz w:val="24"/>
          <w:szCs w:val="24"/>
        </w:rPr>
      </w:pPr>
      <w:r w:rsidRPr="0058104D">
        <w:rPr>
          <w:rFonts w:eastAsia="Times New Roman" w:cs="Times New Roman"/>
          <w:sz w:val="24"/>
          <w:szCs w:val="24"/>
        </w:rPr>
        <w:t xml:space="preserve">As at quarter 3 we are on track to slightly overspend against in year funding by £31k.  IS and Finance are working to ensure all relevant bills arrive before year end. </w:t>
      </w:r>
    </w:p>
    <w:p w:rsidR="00255D5A" w:rsidRPr="009B6916" w:rsidRDefault="0006116D" w:rsidP="00DF4BD1">
      <w:pPr>
        <w:keepNext/>
        <w:numPr>
          <w:ilvl w:val="1"/>
          <w:numId w:val="0"/>
        </w:numPr>
        <w:tabs>
          <w:tab w:val="num" w:pos="576"/>
        </w:tabs>
        <w:spacing w:before="360" w:after="120"/>
        <w:ind w:left="578" w:hanging="578"/>
        <w:outlineLvl w:val="1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6</w:t>
      </w:r>
      <w:r w:rsidR="004E430C" w:rsidRPr="009B6916">
        <w:rPr>
          <w:rFonts w:eastAsia="Times New Roman" w:cs="Times New Roman"/>
          <w:b/>
          <w:sz w:val="24"/>
          <w:szCs w:val="24"/>
        </w:rPr>
        <w:t xml:space="preserve">. </w:t>
      </w:r>
      <w:r w:rsidR="00D5384D" w:rsidRPr="009B6916">
        <w:rPr>
          <w:rFonts w:eastAsia="Times New Roman" w:cs="Times New Roman"/>
          <w:b/>
          <w:sz w:val="24"/>
          <w:szCs w:val="24"/>
        </w:rPr>
        <w:t xml:space="preserve">Invoice Turnaround Times </w:t>
      </w:r>
    </w:p>
    <w:p w:rsidR="0058104D" w:rsidRPr="0058104D" w:rsidRDefault="0058104D" w:rsidP="0058104D">
      <w:pPr>
        <w:jc w:val="both"/>
        <w:rPr>
          <w:sz w:val="24"/>
          <w:szCs w:val="24"/>
        </w:rPr>
      </w:pPr>
      <w:r w:rsidRPr="0058104D">
        <w:rPr>
          <w:sz w:val="24"/>
          <w:szCs w:val="24"/>
        </w:rPr>
        <w:t>The table below shows invoice payment performance to 31</w:t>
      </w:r>
      <w:r w:rsidRPr="0058104D">
        <w:rPr>
          <w:sz w:val="24"/>
          <w:szCs w:val="24"/>
          <w:vertAlign w:val="superscript"/>
        </w:rPr>
        <w:t>st</w:t>
      </w:r>
      <w:r w:rsidRPr="0058104D">
        <w:rPr>
          <w:sz w:val="24"/>
          <w:szCs w:val="24"/>
        </w:rPr>
        <w:t xml:space="preserve"> January 2021.  This is reported for both 10 and 30 days, the former being our operational target and the latter being our normal contractual payment term.  Current performance is 93</w:t>
      </w:r>
      <w:r w:rsidR="004D0FFC">
        <w:rPr>
          <w:sz w:val="24"/>
          <w:szCs w:val="24"/>
        </w:rPr>
        <w:t>.7% of invoices paid in 10 days, which is in line with last year.</w:t>
      </w:r>
    </w:p>
    <w:p w:rsidR="00866129" w:rsidRPr="006736F0" w:rsidRDefault="00866129" w:rsidP="00866129">
      <w:pPr>
        <w:jc w:val="both"/>
        <w:rPr>
          <w:sz w:val="24"/>
          <w:szCs w:val="24"/>
        </w:rPr>
      </w:pPr>
    </w:p>
    <w:tbl>
      <w:tblPr>
        <w:tblW w:w="863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3"/>
        <w:gridCol w:w="1559"/>
        <w:gridCol w:w="1701"/>
        <w:gridCol w:w="1701"/>
        <w:gridCol w:w="1701"/>
      </w:tblGrid>
      <w:tr w:rsidR="0058104D" w:rsidRPr="0058104D" w:rsidTr="0058104D">
        <w:trPr>
          <w:trHeight w:val="345"/>
        </w:trPr>
        <w:tc>
          <w:tcPr>
            <w:tcW w:w="86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04D" w:rsidRPr="0058104D" w:rsidRDefault="0058104D" w:rsidP="0058104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8104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            For the Period to 31-01-2021</w:t>
            </w:r>
          </w:p>
        </w:tc>
      </w:tr>
      <w:tr w:rsidR="0058104D" w:rsidRPr="0058104D" w:rsidTr="0058104D">
        <w:trPr>
          <w:trHeight w:val="343"/>
        </w:trPr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04D" w:rsidRPr="0058104D" w:rsidRDefault="0058104D" w:rsidP="0058104D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8104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Group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04D" w:rsidRPr="0058104D" w:rsidRDefault="0058104D" w:rsidP="0058104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8104D">
              <w:rPr>
                <w:rFonts w:eastAsia="Times New Roman" w:cs="Times New Roman"/>
                <w:b/>
                <w:bCs/>
                <w:sz w:val="22"/>
                <w:szCs w:val="22"/>
              </w:rPr>
              <w:t>YTD % paid within 10 days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04D" w:rsidRPr="0058104D" w:rsidRDefault="0058104D" w:rsidP="0058104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8104D">
              <w:rPr>
                <w:rFonts w:eastAsia="Times New Roman" w:cs="Times New Roman"/>
                <w:b/>
                <w:bCs/>
                <w:sz w:val="22"/>
                <w:szCs w:val="22"/>
              </w:rPr>
              <w:t>YTD % paid within 30 days</w:t>
            </w:r>
          </w:p>
        </w:tc>
      </w:tr>
      <w:tr w:rsidR="0058104D" w:rsidRPr="0058104D" w:rsidTr="0058104D">
        <w:trPr>
          <w:trHeight w:val="395"/>
        </w:trPr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04D" w:rsidRPr="0058104D" w:rsidRDefault="0058104D" w:rsidP="0058104D">
            <w:pPr>
              <w:rPr>
                <w:rFonts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04D" w:rsidRPr="0058104D" w:rsidRDefault="0058104D" w:rsidP="0058104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8104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2020-21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04D" w:rsidRPr="0058104D" w:rsidRDefault="0058104D" w:rsidP="0058104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8104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2019-20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04D" w:rsidRPr="0058104D" w:rsidRDefault="0058104D" w:rsidP="0058104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8104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2020-21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04D" w:rsidRPr="0058104D" w:rsidRDefault="0058104D" w:rsidP="0058104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8104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2019-20</w:t>
            </w:r>
          </w:p>
        </w:tc>
      </w:tr>
      <w:tr w:rsidR="0058104D" w:rsidRPr="0058104D" w:rsidTr="0058104D">
        <w:trPr>
          <w:trHeight w:val="315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04D" w:rsidRPr="0058104D" w:rsidRDefault="0058104D" w:rsidP="0058104D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8104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Admin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04D" w:rsidRPr="0058104D" w:rsidRDefault="0058104D" w:rsidP="0058104D">
            <w:pPr>
              <w:spacing w:before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8104D">
              <w:rPr>
                <w:rFonts w:eastAsia="Times New Roman" w:cs="Times New Roman"/>
                <w:sz w:val="22"/>
                <w:szCs w:val="22"/>
              </w:rPr>
              <w:t>93.9%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04D" w:rsidRPr="0058104D" w:rsidRDefault="0058104D" w:rsidP="0058104D">
            <w:pPr>
              <w:spacing w:before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8104D">
              <w:rPr>
                <w:rFonts w:eastAsia="Times New Roman" w:cs="Times New Roman"/>
                <w:sz w:val="22"/>
                <w:szCs w:val="22"/>
              </w:rPr>
              <w:t>94.4%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104D" w:rsidRPr="0058104D" w:rsidRDefault="0058104D" w:rsidP="0058104D">
            <w:pPr>
              <w:spacing w:before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8104D">
              <w:rPr>
                <w:rFonts w:eastAsia="Times New Roman" w:cs="Times New Roman"/>
                <w:sz w:val="22"/>
                <w:szCs w:val="22"/>
              </w:rPr>
              <w:t>96.6%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104D" w:rsidRPr="0058104D" w:rsidRDefault="0058104D" w:rsidP="0058104D">
            <w:pPr>
              <w:spacing w:before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8104D">
              <w:rPr>
                <w:rFonts w:eastAsia="Times New Roman" w:cs="Times New Roman"/>
                <w:sz w:val="22"/>
                <w:szCs w:val="22"/>
              </w:rPr>
              <w:t>98.1%</w:t>
            </w:r>
          </w:p>
        </w:tc>
      </w:tr>
      <w:tr w:rsidR="0058104D" w:rsidRPr="0058104D" w:rsidTr="0058104D">
        <w:trPr>
          <w:trHeight w:val="315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04D" w:rsidRPr="0058104D" w:rsidRDefault="0058104D" w:rsidP="0058104D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8104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CLAO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04D" w:rsidRPr="0058104D" w:rsidRDefault="0058104D" w:rsidP="0058104D">
            <w:pPr>
              <w:spacing w:before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8104D">
              <w:rPr>
                <w:rFonts w:eastAsia="Times New Roman" w:cs="Times New Roman"/>
                <w:sz w:val="22"/>
                <w:szCs w:val="22"/>
              </w:rPr>
              <w:t>93.8%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04D" w:rsidRPr="0058104D" w:rsidRDefault="0058104D" w:rsidP="0058104D">
            <w:pPr>
              <w:spacing w:before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8104D">
              <w:rPr>
                <w:rFonts w:eastAsia="Times New Roman" w:cs="Times New Roman"/>
                <w:sz w:val="22"/>
                <w:szCs w:val="22"/>
              </w:rPr>
              <w:t>92.6%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104D" w:rsidRPr="0058104D" w:rsidRDefault="0058104D" w:rsidP="0058104D">
            <w:pPr>
              <w:spacing w:before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8104D">
              <w:rPr>
                <w:rFonts w:eastAsia="Times New Roman" w:cs="Times New Roman"/>
                <w:sz w:val="22"/>
                <w:szCs w:val="22"/>
              </w:rPr>
              <w:t>97.4%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104D" w:rsidRPr="0058104D" w:rsidRDefault="0058104D" w:rsidP="0058104D">
            <w:pPr>
              <w:spacing w:before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8104D">
              <w:rPr>
                <w:rFonts w:eastAsia="Times New Roman" w:cs="Times New Roman"/>
                <w:sz w:val="22"/>
                <w:szCs w:val="22"/>
              </w:rPr>
              <w:t>97.4%</w:t>
            </w:r>
          </w:p>
        </w:tc>
      </w:tr>
      <w:tr w:rsidR="0058104D" w:rsidRPr="0058104D" w:rsidTr="0058104D">
        <w:trPr>
          <w:trHeight w:val="315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04D" w:rsidRPr="0058104D" w:rsidRDefault="0058104D" w:rsidP="0058104D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8104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PDSO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04D" w:rsidRPr="0058104D" w:rsidRDefault="0058104D" w:rsidP="0058104D">
            <w:pPr>
              <w:spacing w:before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8104D">
              <w:rPr>
                <w:rFonts w:eastAsia="Times New Roman" w:cs="Times New Roman"/>
                <w:sz w:val="22"/>
                <w:szCs w:val="22"/>
              </w:rPr>
              <w:t>93.4%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04D" w:rsidRPr="0058104D" w:rsidRDefault="0058104D" w:rsidP="0058104D">
            <w:pPr>
              <w:spacing w:before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8104D">
              <w:rPr>
                <w:rFonts w:eastAsia="Times New Roman" w:cs="Times New Roman"/>
                <w:sz w:val="22"/>
                <w:szCs w:val="22"/>
              </w:rPr>
              <w:t>94.1%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104D" w:rsidRPr="0058104D" w:rsidRDefault="0058104D" w:rsidP="0058104D">
            <w:pPr>
              <w:spacing w:before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8104D">
              <w:rPr>
                <w:rFonts w:eastAsia="Times New Roman" w:cs="Times New Roman"/>
                <w:sz w:val="22"/>
                <w:szCs w:val="22"/>
              </w:rPr>
              <w:t>97.5%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104D" w:rsidRPr="0058104D" w:rsidRDefault="0058104D" w:rsidP="0058104D">
            <w:pPr>
              <w:spacing w:before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8104D">
              <w:rPr>
                <w:rFonts w:eastAsia="Times New Roman" w:cs="Times New Roman"/>
                <w:sz w:val="22"/>
                <w:szCs w:val="22"/>
              </w:rPr>
              <w:t>98.2%</w:t>
            </w:r>
          </w:p>
        </w:tc>
      </w:tr>
      <w:tr w:rsidR="0058104D" w:rsidRPr="0058104D" w:rsidTr="0058104D">
        <w:trPr>
          <w:trHeight w:val="315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04D" w:rsidRPr="0058104D" w:rsidRDefault="0058104D" w:rsidP="0058104D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8104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04D" w:rsidRPr="0058104D" w:rsidRDefault="0058104D" w:rsidP="0058104D">
            <w:pPr>
              <w:spacing w:before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8104D">
              <w:rPr>
                <w:rFonts w:eastAsia="Times New Roman" w:cs="Times New Roman"/>
                <w:sz w:val="22"/>
                <w:szCs w:val="22"/>
              </w:rPr>
              <w:t>93.7%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04D" w:rsidRPr="0058104D" w:rsidRDefault="0058104D" w:rsidP="0058104D">
            <w:pPr>
              <w:spacing w:before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8104D">
              <w:rPr>
                <w:rFonts w:eastAsia="Times New Roman" w:cs="Times New Roman"/>
                <w:sz w:val="22"/>
                <w:szCs w:val="22"/>
              </w:rPr>
              <w:t>93.7%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104D" w:rsidRPr="0058104D" w:rsidRDefault="0058104D" w:rsidP="0058104D">
            <w:pPr>
              <w:spacing w:before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8104D">
              <w:rPr>
                <w:rFonts w:eastAsia="Times New Roman" w:cs="Times New Roman"/>
                <w:sz w:val="22"/>
                <w:szCs w:val="22"/>
              </w:rPr>
              <w:t>97.1%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104D" w:rsidRPr="0058104D" w:rsidRDefault="0058104D" w:rsidP="0058104D">
            <w:pPr>
              <w:spacing w:before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8104D">
              <w:rPr>
                <w:rFonts w:eastAsia="Times New Roman" w:cs="Times New Roman"/>
                <w:sz w:val="22"/>
                <w:szCs w:val="22"/>
              </w:rPr>
              <w:t>97.9%</w:t>
            </w:r>
          </w:p>
        </w:tc>
      </w:tr>
    </w:tbl>
    <w:p w:rsidR="00866129" w:rsidRDefault="00866129" w:rsidP="004C5E2C">
      <w:pPr>
        <w:keepNext/>
        <w:outlineLvl w:val="0"/>
        <w:rPr>
          <w:rFonts w:eastAsia="Times New Roman" w:cstheme="minorHAnsi"/>
          <w:b/>
          <w:bCs/>
          <w:caps/>
          <w:sz w:val="24"/>
          <w:szCs w:val="24"/>
        </w:rPr>
      </w:pPr>
    </w:p>
    <w:p w:rsidR="00866129" w:rsidRDefault="00866129" w:rsidP="004C5E2C">
      <w:pPr>
        <w:keepNext/>
        <w:outlineLvl w:val="0"/>
        <w:rPr>
          <w:rFonts w:eastAsia="Times New Roman" w:cstheme="minorHAnsi"/>
          <w:b/>
          <w:bCs/>
          <w:caps/>
          <w:sz w:val="24"/>
          <w:szCs w:val="24"/>
        </w:rPr>
      </w:pPr>
    </w:p>
    <w:p w:rsidR="00866129" w:rsidRDefault="00866129">
      <w:pPr>
        <w:rPr>
          <w:rFonts w:eastAsia="Times New Roman" w:cstheme="minorHAnsi"/>
          <w:b/>
          <w:bCs/>
          <w:caps/>
          <w:sz w:val="24"/>
          <w:szCs w:val="24"/>
          <w:highlight w:val="yellow"/>
        </w:rPr>
      </w:pPr>
      <w:r>
        <w:rPr>
          <w:rFonts w:eastAsia="Times New Roman" w:cstheme="minorHAnsi"/>
          <w:b/>
          <w:bCs/>
          <w:caps/>
          <w:sz w:val="24"/>
          <w:szCs w:val="24"/>
          <w:highlight w:val="yellow"/>
        </w:rPr>
        <w:br w:type="page"/>
      </w:r>
    </w:p>
    <w:p w:rsidR="00FB2A57" w:rsidRPr="00A8323F" w:rsidRDefault="00FB2A57" w:rsidP="00FB2A57">
      <w:pPr>
        <w:keepNext/>
        <w:outlineLvl w:val="0"/>
        <w:rPr>
          <w:rFonts w:eastAsia="Times New Roman" w:cstheme="minorHAnsi"/>
          <w:b/>
          <w:bCs/>
          <w:caps/>
          <w:sz w:val="24"/>
          <w:szCs w:val="24"/>
        </w:rPr>
      </w:pPr>
      <w:r w:rsidRPr="00A8323F">
        <w:rPr>
          <w:rFonts w:eastAsia="Times New Roman" w:cstheme="minorHAnsi"/>
          <w:b/>
          <w:bCs/>
          <w:caps/>
          <w:sz w:val="24"/>
          <w:szCs w:val="24"/>
        </w:rPr>
        <w:lastRenderedPageBreak/>
        <w:t>Human resources</w:t>
      </w:r>
    </w:p>
    <w:p w:rsidR="00FB2A57" w:rsidRPr="00A8323F" w:rsidRDefault="00FB2A57" w:rsidP="00FB2A57">
      <w:pPr>
        <w:keepNext/>
        <w:numPr>
          <w:ilvl w:val="1"/>
          <w:numId w:val="0"/>
        </w:numPr>
        <w:tabs>
          <w:tab w:val="num" w:pos="576"/>
        </w:tabs>
        <w:spacing w:before="120" w:after="120"/>
        <w:ind w:left="578" w:hanging="578"/>
        <w:outlineLvl w:val="1"/>
        <w:rPr>
          <w:rFonts w:eastAsia="Times New Roman" w:cs="Times New Roman"/>
          <w:b/>
          <w:sz w:val="24"/>
          <w:szCs w:val="24"/>
        </w:rPr>
      </w:pPr>
      <w:r w:rsidRPr="00A8323F">
        <w:rPr>
          <w:rFonts w:eastAsia="Times New Roman" w:cs="Times New Roman"/>
          <w:b/>
          <w:sz w:val="24"/>
          <w:szCs w:val="24"/>
        </w:rPr>
        <w:t xml:space="preserve">7. Sickness Absence </w:t>
      </w:r>
    </w:p>
    <w:p w:rsidR="00A8323F" w:rsidRPr="00A8323F" w:rsidRDefault="00A8323F" w:rsidP="00A8323F">
      <w:pPr>
        <w:spacing w:after="120"/>
        <w:jc w:val="both"/>
        <w:rPr>
          <w:rFonts w:eastAsia="Times New Roman" w:cs="Times New Roman"/>
          <w:sz w:val="24"/>
          <w:szCs w:val="24"/>
        </w:rPr>
      </w:pPr>
      <w:r w:rsidRPr="003D19C8">
        <w:rPr>
          <w:rFonts w:eastAsia="Times New Roman" w:cs="Times New Roman"/>
          <w:sz w:val="24"/>
          <w:szCs w:val="24"/>
        </w:rPr>
        <w:t>The table below provides information relating to employee sickness absence for Quarters 1 to 3 (Apr to Dec 20):</w:t>
      </w:r>
    </w:p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134"/>
        <w:gridCol w:w="1134"/>
        <w:gridCol w:w="1275"/>
      </w:tblGrid>
      <w:tr w:rsidR="00A8323F" w:rsidRPr="003D19C8" w:rsidTr="00134B8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23F" w:rsidRPr="003D19C8" w:rsidRDefault="00A8323F" w:rsidP="0013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5B9BD5"/>
            <w:vAlign w:val="center"/>
            <w:hideMark/>
          </w:tcPr>
          <w:p w:rsidR="00A8323F" w:rsidRPr="003D19C8" w:rsidRDefault="00A8323F" w:rsidP="00134B8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Actual 1 Apr to 31 Dec</w:t>
            </w:r>
            <w:r w:rsidRPr="003D19C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 xml:space="preserve"> 20 Q1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to Q3</w:t>
            </w:r>
          </w:p>
        </w:tc>
        <w:tc>
          <w:tcPr>
            <w:tcW w:w="2268" w:type="dxa"/>
            <w:gridSpan w:val="2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5B9BD5"/>
            <w:vAlign w:val="center"/>
            <w:hideMark/>
          </w:tcPr>
          <w:p w:rsidR="00A8323F" w:rsidRPr="003D19C8" w:rsidRDefault="00A8323F" w:rsidP="00134B8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3D19C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Last Year 1 Apr to 3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1 Dec 19 Q1 to Q3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5B9BD5" w:fill="FFFFFF"/>
            <w:vAlign w:val="bottom"/>
            <w:hideMark/>
          </w:tcPr>
          <w:p w:rsidR="00A8323F" w:rsidRPr="003D19C8" w:rsidRDefault="00A8323F" w:rsidP="00134B8E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3D19C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 </w:t>
            </w:r>
          </w:p>
        </w:tc>
      </w:tr>
      <w:tr w:rsidR="00A8323F" w:rsidRPr="003D19C8" w:rsidTr="00134B8E">
        <w:trPr>
          <w:gridAfter w:val="1"/>
          <w:wAfter w:w="1275" w:type="dxa"/>
          <w:trHeight w:val="12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23F" w:rsidRPr="003D19C8" w:rsidRDefault="00A8323F" w:rsidP="00134B8E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5B9BD5"/>
            <w:vAlign w:val="center"/>
            <w:hideMark/>
          </w:tcPr>
          <w:p w:rsidR="00A8323F" w:rsidRPr="003D19C8" w:rsidRDefault="00A8323F" w:rsidP="00134B8E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3D19C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Days lost per WTE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5B9BD5"/>
            <w:vAlign w:val="center"/>
            <w:hideMark/>
          </w:tcPr>
          <w:p w:rsidR="00A8323F" w:rsidRPr="003D19C8" w:rsidRDefault="00A8323F" w:rsidP="00134B8E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3D19C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Percentage of WTE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5B9BD5"/>
            <w:vAlign w:val="center"/>
            <w:hideMark/>
          </w:tcPr>
          <w:p w:rsidR="00A8323F" w:rsidRPr="003D19C8" w:rsidRDefault="00A8323F" w:rsidP="00134B8E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3D19C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Days lost per WTE</w:t>
            </w:r>
          </w:p>
        </w:tc>
        <w:tc>
          <w:tcPr>
            <w:tcW w:w="113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5B9BD5" w:fill="5B9BD5"/>
            <w:vAlign w:val="bottom"/>
            <w:hideMark/>
          </w:tcPr>
          <w:p w:rsidR="00A8323F" w:rsidRPr="003D19C8" w:rsidRDefault="00A8323F" w:rsidP="00134B8E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3D19C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Variance in days lost per WTE</w:t>
            </w:r>
          </w:p>
        </w:tc>
      </w:tr>
      <w:tr w:rsidR="00A8323F" w:rsidRPr="003D19C8" w:rsidTr="00134B8E">
        <w:trPr>
          <w:gridAfter w:val="1"/>
          <w:wAfter w:w="1275" w:type="dxa"/>
          <w:trHeight w:val="300"/>
        </w:trPr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A8323F" w:rsidRPr="003D19C8" w:rsidRDefault="00A8323F" w:rsidP="00134B8E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D19C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Self-Certified Sickness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A8323F" w:rsidRPr="003D19C8" w:rsidRDefault="00A8323F" w:rsidP="00134B8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A8323F" w:rsidRPr="003D19C8" w:rsidRDefault="00A8323F" w:rsidP="00134B8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D19C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6</w:t>
            </w:r>
            <w:r w:rsidRPr="003D19C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A8323F" w:rsidRPr="003D19C8" w:rsidRDefault="00A8323F" w:rsidP="00134B8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A8323F" w:rsidRPr="003D19C8" w:rsidRDefault="00A8323F" w:rsidP="00134B8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-1.1</w:t>
            </w:r>
          </w:p>
        </w:tc>
      </w:tr>
      <w:tr w:rsidR="00A8323F" w:rsidRPr="003D19C8" w:rsidTr="00134B8E">
        <w:trPr>
          <w:gridAfter w:val="1"/>
          <w:wAfter w:w="1275" w:type="dxa"/>
          <w:trHeight w:val="600"/>
        </w:trPr>
        <w:tc>
          <w:tcPr>
            <w:tcW w:w="241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A8323F" w:rsidRPr="003D19C8" w:rsidRDefault="00A8323F" w:rsidP="00134B8E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D19C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Certified Sickness and Phased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A8323F" w:rsidRPr="003D19C8" w:rsidRDefault="00A8323F" w:rsidP="00134B8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A8323F" w:rsidRPr="003D19C8" w:rsidRDefault="00A8323F" w:rsidP="00134B8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D19C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</w:t>
            </w:r>
            <w:r w:rsidRPr="003D19C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A8323F" w:rsidRPr="003D19C8" w:rsidRDefault="00A8323F" w:rsidP="00134B8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A8323F" w:rsidRPr="003D19C8" w:rsidRDefault="00A8323F" w:rsidP="00134B8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-3.3</w:t>
            </w:r>
          </w:p>
        </w:tc>
      </w:tr>
      <w:tr w:rsidR="00A8323F" w:rsidRPr="003D19C8" w:rsidTr="00134B8E">
        <w:trPr>
          <w:gridAfter w:val="1"/>
          <w:wAfter w:w="1275" w:type="dxa"/>
          <w:trHeight w:val="300"/>
        </w:trPr>
        <w:tc>
          <w:tcPr>
            <w:tcW w:w="241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A8323F" w:rsidRPr="003D19C8" w:rsidRDefault="00A8323F" w:rsidP="00134B8E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D19C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Total Sickness Absence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A8323F" w:rsidRPr="003D19C8" w:rsidRDefault="00A8323F" w:rsidP="00134B8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A8323F" w:rsidRPr="003D19C8" w:rsidRDefault="00A8323F" w:rsidP="00134B8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D19C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8</w:t>
            </w:r>
            <w:r w:rsidRPr="003D19C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A8323F" w:rsidRPr="003D19C8" w:rsidRDefault="00A8323F" w:rsidP="00134B8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A8323F" w:rsidRPr="003D19C8" w:rsidRDefault="00A8323F" w:rsidP="00134B8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-4.5</w:t>
            </w:r>
          </w:p>
        </w:tc>
      </w:tr>
      <w:tr w:rsidR="00A8323F" w:rsidRPr="003D19C8" w:rsidTr="00134B8E">
        <w:trPr>
          <w:gridAfter w:val="1"/>
          <w:wAfter w:w="1275" w:type="dxa"/>
          <w:trHeight w:val="300"/>
        </w:trPr>
        <w:tc>
          <w:tcPr>
            <w:tcW w:w="241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A8323F" w:rsidRPr="003D19C8" w:rsidRDefault="00A8323F" w:rsidP="00134B8E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proofErr w:type="spellStart"/>
            <w:r w:rsidRPr="003D19C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Covid</w:t>
            </w:r>
            <w:proofErr w:type="spellEnd"/>
            <w:r w:rsidRPr="003D19C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Sickness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A8323F" w:rsidRPr="003D19C8" w:rsidRDefault="00A8323F" w:rsidP="00134B8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D19C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A8323F" w:rsidRPr="003D19C8" w:rsidRDefault="00A8323F" w:rsidP="00134B8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0.1</w:t>
            </w:r>
            <w:r w:rsidRPr="003D19C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A8323F" w:rsidRPr="003D19C8" w:rsidRDefault="00A8323F" w:rsidP="00134B8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D19C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A8323F" w:rsidRPr="003D19C8" w:rsidRDefault="00A8323F" w:rsidP="00134B8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D19C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n/a</w:t>
            </w:r>
          </w:p>
        </w:tc>
      </w:tr>
      <w:tr w:rsidR="00A8323F" w:rsidRPr="003D19C8" w:rsidTr="00134B8E">
        <w:trPr>
          <w:gridAfter w:val="1"/>
          <w:wAfter w:w="1275" w:type="dxa"/>
          <w:trHeight w:val="300"/>
        </w:trPr>
        <w:tc>
          <w:tcPr>
            <w:tcW w:w="241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A8323F" w:rsidRPr="003D19C8" w:rsidRDefault="00A8323F" w:rsidP="00134B8E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D19C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Overall Sickness Total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A8323F" w:rsidRPr="003D19C8" w:rsidRDefault="00A8323F" w:rsidP="00134B8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A8323F" w:rsidRPr="003D19C8" w:rsidRDefault="00A8323F" w:rsidP="00134B8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D19C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9</w:t>
            </w:r>
            <w:r w:rsidRPr="003D19C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A8323F" w:rsidRPr="003D19C8" w:rsidRDefault="00A8323F" w:rsidP="00134B8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D19C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A8323F" w:rsidRPr="003D19C8" w:rsidRDefault="00A8323F" w:rsidP="00134B8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D19C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n/a</w:t>
            </w:r>
          </w:p>
        </w:tc>
      </w:tr>
    </w:tbl>
    <w:p w:rsidR="00A8323F" w:rsidRPr="003D19C8" w:rsidRDefault="00A8323F" w:rsidP="00A8323F">
      <w:pPr>
        <w:spacing w:after="120"/>
        <w:jc w:val="both"/>
        <w:rPr>
          <w:rFonts w:eastAsia="Times New Roman" w:cs="Times New Roman"/>
          <w:sz w:val="24"/>
          <w:szCs w:val="24"/>
        </w:rPr>
      </w:pPr>
    </w:p>
    <w:p w:rsidR="00A8323F" w:rsidRPr="00E36F32" w:rsidRDefault="00A8323F" w:rsidP="00A8323F">
      <w:pPr>
        <w:spacing w:after="120"/>
        <w:jc w:val="both"/>
        <w:rPr>
          <w:rFonts w:eastAsia="Times New Roman" w:cs="Times New Roman"/>
          <w:sz w:val="24"/>
          <w:szCs w:val="24"/>
          <w:highlight w:val="yellow"/>
        </w:rPr>
      </w:pPr>
      <w:r w:rsidRPr="006E3E41">
        <w:rPr>
          <w:rFonts w:eastAsia="Times New Roman" w:cs="Times New Roman"/>
          <w:sz w:val="24"/>
          <w:szCs w:val="24"/>
        </w:rPr>
        <w:t>As reported last time to date SLAB has been fortunate to experience very low levels of Covid-19 related sickness absence. During Q1 and Q2</w:t>
      </w:r>
      <w:r>
        <w:rPr>
          <w:rFonts w:eastAsia="Times New Roman" w:cs="Times New Roman"/>
          <w:sz w:val="24"/>
          <w:szCs w:val="24"/>
        </w:rPr>
        <w:t>,</w:t>
      </w:r>
      <w:r w:rsidRPr="006E3E41">
        <w:rPr>
          <w:rFonts w:eastAsia="Times New Roman" w:cs="Times New Roman"/>
          <w:sz w:val="24"/>
          <w:szCs w:val="24"/>
        </w:rPr>
        <w:t xml:space="preserve"> encompassing the initial lockdown, compared to last year SLAB experienced significantly lower levels of both self-certified and certified sickness.  </w:t>
      </w:r>
      <w:r>
        <w:rPr>
          <w:rFonts w:eastAsia="Times New Roman" w:cs="Times New Roman"/>
          <w:sz w:val="24"/>
          <w:szCs w:val="24"/>
        </w:rPr>
        <w:t xml:space="preserve">This has continued into Q3.  </w:t>
      </w:r>
    </w:p>
    <w:p w:rsidR="00A8323F" w:rsidRPr="00A93009" w:rsidRDefault="00A8323F" w:rsidP="00A8323F">
      <w:pPr>
        <w:spacing w:after="120"/>
        <w:jc w:val="both"/>
        <w:rPr>
          <w:rFonts w:eastAsia="Times New Roman" w:cs="Times New Roman"/>
          <w:sz w:val="24"/>
          <w:szCs w:val="24"/>
        </w:rPr>
      </w:pPr>
      <w:r w:rsidRPr="00A93009">
        <w:rPr>
          <w:rFonts w:eastAsia="Times New Roman" w:cs="Times New Roman"/>
          <w:sz w:val="24"/>
          <w:szCs w:val="24"/>
        </w:rPr>
        <w:t>The table below provides information relating to employee sickness absence and Covid-19 related absence for the rolling 12 month periods since April 2019:</w:t>
      </w:r>
    </w:p>
    <w:tbl>
      <w:tblPr>
        <w:tblW w:w="8612" w:type="dxa"/>
        <w:tblLook w:val="04A0" w:firstRow="1" w:lastRow="0" w:firstColumn="1" w:lastColumn="0" w:noHBand="0" w:noVBand="1"/>
      </w:tblPr>
      <w:tblGrid>
        <w:gridCol w:w="2404"/>
        <w:gridCol w:w="1280"/>
        <w:gridCol w:w="1419"/>
        <w:gridCol w:w="993"/>
        <w:gridCol w:w="1273"/>
        <w:gridCol w:w="1243"/>
      </w:tblGrid>
      <w:tr w:rsidR="00A8323F" w:rsidRPr="00A93009" w:rsidTr="00134B8E">
        <w:trPr>
          <w:trHeight w:val="30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23F" w:rsidRPr="00A93009" w:rsidRDefault="00A8323F" w:rsidP="0013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gridSpan w:val="4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5B9BD5"/>
            <w:vAlign w:val="bottom"/>
            <w:hideMark/>
          </w:tcPr>
          <w:p w:rsidR="00A8323F" w:rsidRPr="00A93009" w:rsidRDefault="00A8323F" w:rsidP="00134B8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A93009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Days lost per WTE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323F" w:rsidRPr="00A93009" w:rsidRDefault="00A8323F" w:rsidP="00134B8E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A93009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 </w:t>
            </w:r>
          </w:p>
        </w:tc>
      </w:tr>
      <w:tr w:rsidR="00A8323F" w:rsidRPr="00A93009" w:rsidTr="00134B8E">
        <w:trPr>
          <w:trHeight w:val="300"/>
        </w:trPr>
        <w:tc>
          <w:tcPr>
            <w:tcW w:w="240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5B9BD5"/>
            <w:noWrap/>
            <w:vAlign w:val="bottom"/>
            <w:hideMark/>
          </w:tcPr>
          <w:p w:rsidR="00A8323F" w:rsidRPr="00A93009" w:rsidRDefault="00A8323F" w:rsidP="00134B8E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A93009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Rolling 12 months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5B9BD5"/>
            <w:noWrap/>
            <w:vAlign w:val="center"/>
            <w:hideMark/>
          </w:tcPr>
          <w:p w:rsidR="00A8323F" w:rsidRPr="00A93009" w:rsidRDefault="00A8323F" w:rsidP="00134B8E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proofErr w:type="spellStart"/>
            <w:r w:rsidRPr="00A93009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Self Certified</w:t>
            </w:r>
            <w:proofErr w:type="spellEnd"/>
            <w:r w:rsidRPr="00A93009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 xml:space="preserve"> Sickness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5B9BD5"/>
            <w:noWrap/>
            <w:vAlign w:val="center"/>
            <w:hideMark/>
          </w:tcPr>
          <w:p w:rsidR="00A8323F" w:rsidRPr="00A93009" w:rsidRDefault="00A8323F" w:rsidP="00134B8E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A93009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Certified Sickness and Phased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5B9BD5"/>
            <w:noWrap/>
            <w:vAlign w:val="center"/>
            <w:hideMark/>
          </w:tcPr>
          <w:p w:rsidR="00A8323F" w:rsidRPr="00A93009" w:rsidRDefault="00A8323F" w:rsidP="00134B8E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A93009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Sickness Total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5B9BD5"/>
            <w:noWrap/>
            <w:vAlign w:val="center"/>
            <w:hideMark/>
          </w:tcPr>
          <w:p w:rsidR="00A8323F" w:rsidRPr="00A93009" w:rsidRDefault="00A8323F" w:rsidP="00134B8E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proofErr w:type="spellStart"/>
            <w:r w:rsidRPr="00A93009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Covid</w:t>
            </w:r>
            <w:proofErr w:type="spellEnd"/>
            <w:r w:rsidRPr="00A93009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 xml:space="preserve">  Sickness Absence</w:t>
            </w:r>
          </w:p>
        </w:tc>
        <w:tc>
          <w:tcPr>
            <w:tcW w:w="1243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5B9BD5"/>
            <w:noWrap/>
            <w:vAlign w:val="bottom"/>
            <w:hideMark/>
          </w:tcPr>
          <w:p w:rsidR="00A8323F" w:rsidRPr="00A93009" w:rsidRDefault="00A8323F" w:rsidP="00134B8E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A93009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Percentage total  absence of WTE</w:t>
            </w:r>
          </w:p>
        </w:tc>
      </w:tr>
      <w:tr w:rsidR="00A8323F" w:rsidRPr="00A93009" w:rsidTr="00134B8E">
        <w:trPr>
          <w:trHeight w:val="300"/>
        </w:trPr>
        <w:tc>
          <w:tcPr>
            <w:tcW w:w="24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8323F" w:rsidRPr="00A93009" w:rsidRDefault="00A8323F" w:rsidP="00134B8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A9300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1 Apr 19 to 31 Mar 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A8323F" w:rsidRPr="00A93009" w:rsidRDefault="00A8323F" w:rsidP="00134B8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93009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2.8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A8323F" w:rsidRPr="00A93009" w:rsidRDefault="00A8323F" w:rsidP="00134B8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93009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7.3</w:t>
            </w:r>
            <w:r w:rsidRPr="00A93009">
              <w:rPr>
                <w:rStyle w:val="FootnoteReference"/>
                <w:rFonts w:ascii="Calibri" w:eastAsia="Times New Roman" w:hAnsi="Calibri" w:cs="Calibri"/>
                <w:sz w:val="22"/>
                <w:szCs w:val="22"/>
                <w:lang w:eastAsia="en-GB"/>
              </w:rPr>
              <w:footnoteReference w:id="2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A8323F" w:rsidRPr="00A93009" w:rsidRDefault="00A8323F" w:rsidP="00134B8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93009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</w:tcPr>
          <w:p w:rsidR="00A8323F" w:rsidRPr="00A93009" w:rsidRDefault="00A8323F" w:rsidP="00134B8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93009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0.08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A8323F" w:rsidRPr="00A93009" w:rsidRDefault="00A8323F" w:rsidP="00134B8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93009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4%</w:t>
            </w:r>
          </w:p>
        </w:tc>
      </w:tr>
      <w:tr w:rsidR="00A8323F" w:rsidRPr="00A93009" w:rsidTr="00134B8E">
        <w:trPr>
          <w:trHeight w:val="300"/>
        </w:trPr>
        <w:tc>
          <w:tcPr>
            <w:tcW w:w="2404" w:type="dxa"/>
            <w:tcBorders>
              <w:top w:val="nil"/>
              <w:left w:val="single" w:sz="4" w:space="0" w:color="5B9BD5"/>
              <w:bottom w:val="single" w:sz="4" w:space="0" w:color="4F81BD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8323F" w:rsidRPr="00A93009" w:rsidRDefault="00A8323F" w:rsidP="00134B8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A9300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1 Jul 19 to 30 Jun 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8323F" w:rsidRPr="00A93009" w:rsidRDefault="00A8323F" w:rsidP="00134B8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93009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2.8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8323F" w:rsidRPr="00A93009" w:rsidRDefault="00A8323F" w:rsidP="00134B8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93009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8323F" w:rsidRPr="00A93009" w:rsidRDefault="00A8323F" w:rsidP="00134B8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93009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9.1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A8323F" w:rsidRPr="00A93009" w:rsidRDefault="00A8323F" w:rsidP="00134B8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93009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A8323F" w:rsidRPr="00A93009" w:rsidRDefault="00A8323F" w:rsidP="00134B8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93009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3.6%</w:t>
            </w:r>
          </w:p>
        </w:tc>
      </w:tr>
      <w:tr w:rsidR="00A8323F" w:rsidRPr="00A93009" w:rsidTr="00134B8E">
        <w:trPr>
          <w:trHeight w:val="300"/>
        </w:trPr>
        <w:tc>
          <w:tcPr>
            <w:tcW w:w="2404" w:type="dxa"/>
            <w:tcBorders>
              <w:top w:val="single" w:sz="4" w:space="0" w:color="4F81BD" w:themeColor="accent1"/>
              <w:left w:val="single" w:sz="4" w:space="0" w:color="5B9BD5"/>
              <w:bottom w:val="single" w:sz="4" w:space="0" w:color="4F81BD" w:themeColor="accent1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A8323F" w:rsidRPr="00A93009" w:rsidRDefault="00A8323F" w:rsidP="00134B8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A9300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1 Oct 19 to 30 Sep 20</w:t>
            </w:r>
          </w:p>
        </w:tc>
        <w:tc>
          <w:tcPr>
            <w:tcW w:w="128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A8323F" w:rsidRPr="00A93009" w:rsidRDefault="00A8323F" w:rsidP="00134B8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93009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2.5</w:t>
            </w:r>
          </w:p>
        </w:tc>
        <w:tc>
          <w:tcPr>
            <w:tcW w:w="141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A8323F" w:rsidRPr="00A93009" w:rsidRDefault="00A8323F" w:rsidP="00134B8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93009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4.6</w:t>
            </w:r>
          </w:p>
        </w:tc>
        <w:tc>
          <w:tcPr>
            <w:tcW w:w="993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A8323F" w:rsidRPr="00A93009" w:rsidRDefault="00A8323F" w:rsidP="00134B8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93009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7.0</w:t>
            </w:r>
          </w:p>
        </w:tc>
        <w:tc>
          <w:tcPr>
            <w:tcW w:w="1273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A8323F" w:rsidRPr="00A93009" w:rsidRDefault="00A8323F" w:rsidP="00134B8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93009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0.2</w:t>
            </w:r>
          </w:p>
        </w:tc>
        <w:tc>
          <w:tcPr>
            <w:tcW w:w="1243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A8323F" w:rsidRPr="00A93009" w:rsidRDefault="00A8323F" w:rsidP="00134B8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93009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2.8%</w:t>
            </w:r>
          </w:p>
        </w:tc>
      </w:tr>
      <w:tr w:rsidR="00A8323F" w:rsidRPr="00A93009" w:rsidTr="00134B8E">
        <w:trPr>
          <w:trHeight w:val="300"/>
        </w:trPr>
        <w:tc>
          <w:tcPr>
            <w:tcW w:w="2404" w:type="dxa"/>
            <w:tcBorders>
              <w:top w:val="single" w:sz="4" w:space="0" w:color="4F81BD" w:themeColor="accent1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A8323F" w:rsidRPr="00A93009" w:rsidRDefault="00A8323F" w:rsidP="00134B8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1 Jan 20 to 31 Dec 20</w:t>
            </w:r>
          </w:p>
        </w:tc>
        <w:tc>
          <w:tcPr>
            <w:tcW w:w="1280" w:type="dxa"/>
            <w:tcBorders>
              <w:top w:val="single" w:sz="4" w:space="0" w:color="4F81BD" w:themeColor="accent1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A8323F" w:rsidRPr="00A93009" w:rsidRDefault="00A8323F" w:rsidP="00134B8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2.0</w:t>
            </w:r>
          </w:p>
        </w:tc>
        <w:tc>
          <w:tcPr>
            <w:tcW w:w="1419" w:type="dxa"/>
            <w:tcBorders>
              <w:top w:val="single" w:sz="4" w:space="0" w:color="4F81BD" w:themeColor="accent1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A8323F" w:rsidRPr="00A93009" w:rsidRDefault="00A8323F" w:rsidP="00134B8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3.7</w:t>
            </w:r>
          </w:p>
        </w:tc>
        <w:tc>
          <w:tcPr>
            <w:tcW w:w="993" w:type="dxa"/>
            <w:tcBorders>
              <w:top w:val="single" w:sz="4" w:space="0" w:color="4F81BD" w:themeColor="accent1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A8323F" w:rsidRPr="00A93009" w:rsidRDefault="00A8323F" w:rsidP="00134B8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5.7</w:t>
            </w:r>
          </w:p>
        </w:tc>
        <w:tc>
          <w:tcPr>
            <w:tcW w:w="1273" w:type="dxa"/>
            <w:tcBorders>
              <w:top w:val="single" w:sz="4" w:space="0" w:color="4F81BD" w:themeColor="accent1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A8323F" w:rsidRPr="00A93009" w:rsidRDefault="00A8323F" w:rsidP="00134B8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0.2</w:t>
            </w:r>
          </w:p>
        </w:tc>
        <w:tc>
          <w:tcPr>
            <w:tcW w:w="1243" w:type="dxa"/>
            <w:tcBorders>
              <w:top w:val="single" w:sz="4" w:space="0" w:color="4F81BD" w:themeColor="accent1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A8323F" w:rsidRPr="00A93009" w:rsidRDefault="00A8323F" w:rsidP="00134B8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2.3%</w:t>
            </w:r>
          </w:p>
        </w:tc>
      </w:tr>
    </w:tbl>
    <w:p w:rsidR="00A8323F" w:rsidRDefault="00A8323F" w:rsidP="00A8323F">
      <w:pPr>
        <w:spacing w:after="120"/>
        <w:jc w:val="both"/>
        <w:rPr>
          <w:rFonts w:cs="Calibri"/>
          <w:sz w:val="22"/>
          <w:szCs w:val="22"/>
        </w:rPr>
      </w:pPr>
    </w:p>
    <w:p w:rsidR="00A8323F" w:rsidRPr="006B5A88" w:rsidRDefault="00A8323F" w:rsidP="00A8323F">
      <w:pPr>
        <w:spacing w:after="120"/>
        <w:jc w:val="both"/>
        <w:rPr>
          <w:rFonts w:cs="Calibri"/>
          <w:sz w:val="24"/>
          <w:szCs w:val="24"/>
        </w:rPr>
      </w:pPr>
      <w:r w:rsidRPr="006B5A88">
        <w:rPr>
          <w:rFonts w:cs="Calibri"/>
          <w:sz w:val="24"/>
          <w:szCs w:val="24"/>
        </w:rPr>
        <w:t xml:space="preserve">As a comparator, Scottish Government’s latest cumulative quarterly figures show the average working days lost </w:t>
      </w:r>
      <w:r w:rsidRPr="006B5A88">
        <w:rPr>
          <w:rFonts w:eastAsia="Times New Roman" w:cs="Gotham-Bold"/>
          <w:bCs/>
          <w:sz w:val="24"/>
          <w:szCs w:val="24"/>
        </w:rPr>
        <w:t>due to sickness per staff year as 6.8</w:t>
      </w:r>
      <w:r>
        <w:rPr>
          <w:rFonts w:cs="Calibri"/>
          <w:sz w:val="24"/>
          <w:szCs w:val="24"/>
        </w:rPr>
        <w:t xml:space="preserve"> days (3</w:t>
      </w:r>
      <w:r w:rsidRPr="006B5A88">
        <w:rPr>
          <w:rFonts w:cs="Calibri"/>
          <w:sz w:val="24"/>
          <w:szCs w:val="24"/>
        </w:rPr>
        <w:t xml:space="preserve">%) for the rolling 12 month period up to 30 September 2020. </w:t>
      </w:r>
    </w:p>
    <w:p w:rsidR="00A8323F" w:rsidRPr="00E36F32" w:rsidRDefault="00A8323F" w:rsidP="00A8323F">
      <w:pPr>
        <w:spacing w:after="120"/>
        <w:jc w:val="both"/>
        <w:rPr>
          <w:rFonts w:eastAsia="Times New Roman" w:cs="Times New Roman"/>
          <w:sz w:val="24"/>
          <w:szCs w:val="24"/>
          <w:highlight w:val="yellow"/>
        </w:rPr>
      </w:pPr>
    </w:p>
    <w:p w:rsidR="00A8323F" w:rsidRPr="00E36F32" w:rsidRDefault="00A8323F" w:rsidP="00A8323F">
      <w:pPr>
        <w:spacing w:after="120"/>
        <w:jc w:val="both"/>
        <w:rPr>
          <w:rFonts w:eastAsia="Times New Roman" w:cs="Times New Roman"/>
          <w:sz w:val="24"/>
          <w:szCs w:val="24"/>
          <w:highlight w:val="yellow"/>
        </w:rPr>
      </w:pPr>
      <w:r w:rsidRPr="009736F6">
        <w:rPr>
          <w:rFonts w:eastAsia="Times New Roman" w:cs="Times New Roman"/>
          <w:sz w:val="24"/>
          <w:szCs w:val="24"/>
        </w:rPr>
        <w:t xml:space="preserve">SLAB’s self-certified sickness target is 3.0 days per </w:t>
      </w:r>
      <w:proofErr w:type="spellStart"/>
      <w:r w:rsidRPr="009736F6">
        <w:rPr>
          <w:rFonts w:eastAsia="Times New Roman" w:cs="Times New Roman"/>
          <w:sz w:val="24"/>
          <w:szCs w:val="24"/>
        </w:rPr>
        <w:t>wte</w:t>
      </w:r>
      <w:proofErr w:type="spellEnd"/>
      <w:r w:rsidRPr="009736F6">
        <w:rPr>
          <w:rFonts w:eastAsia="Times New Roman" w:cs="Times New Roman"/>
          <w:sz w:val="24"/>
          <w:szCs w:val="24"/>
        </w:rPr>
        <w:t xml:space="preserve"> in a 12 month period and at 2 days per </w:t>
      </w:r>
      <w:proofErr w:type="spellStart"/>
      <w:r w:rsidRPr="009736F6">
        <w:rPr>
          <w:rFonts w:eastAsia="Times New Roman" w:cs="Times New Roman"/>
          <w:sz w:val="24"/>
          <w:szCs w:val="24"/>
        </w:rPr>
        <w:t>wte</w:t>
      </w:r>
      <w:proofErr w:type="spellEnd"/>
      <w:r w:rsidRPr="009736F6">
        <w:rPr>
          <w:rFonts w:eastAsia="Times New Roman" w:cs="Times New Roman"/>
          <w:sz w:val="24"/>
          <w:szCs w:val="24"/>
        </w:rPr>
        <w:t xml:space="preserve"> in the rolling 12 month period to 31 December, we are </w:t>
      </w:r>
      <w:r w:rsidR="00E82497">
        <w:rPr>
          <w:rFonts w:eastAsia="Times New Roman" w:cs="Times New Roman"/>
          <w:sz w:val="24"/>
          <w:szCs w:val="24"/>
        </w:rPr>
        <w:t>performing better than</w:t>
      </w:r>
      <w:r w:rsidRPr="009736F6">
        <w:rPr>
          <w:rFonts w:eastAsia="Times New Roman" w:cs="Times New Roman"/>
          <w:sz w:val="24"/>
          <w:szCs w:val="24"/>
        </w:rPr>
        <w:t xml:space="preserve"> target.</w:t>
      </w:r>
      <w:r w:rsidRPr="006E3E41">
        <w:rPr>
          <w:sz w:val="24"/>
          <w:szCs w:val="24"/>
        </w:rPr>
        <w:t xml:space="preserve">  </w:t>
      </w:r>
      <w:r w:rsidRPr="006E3E41">
        <w:rPr>
          <w:rFonts w:eastAsia="Times New Roman" w:cs="Times New Roman"/>
          <w:sz w:val="24"/>
          <w:szCs w:val="24"/>
        </w:rPr>
        <w:t xml:space="preserve"> Overall the Sickness Total has fallen due to a reduction in both self-certified and certified absence.  </w:t>
      </w:r>
    </w:p>
    <w:p w:rsidR="00A8323F" w:rsidRPr="00E36F32" w:rsidRDefault="00A8323F" w:rsidP="00A8323F">
      <w:pPr>
        <w:spacing w:after="120"/>
        <w:jc w:val="both"/>
        <w:rPr>
          <w:rFonts w:eastAsia="Times New Roman" w:cs="Times New Roman"/>
          <w:sz w:val="24"/>
          <w:szCs w:val="24"/>
          <w:highlight w:val="yellow"/>
        </w:rPr>
      </w:pPr>
    </w:p>
    <w:p w:rsidR="00A8323F" w:rsidRPr="009736F6" w:rsidRDefault="00A8323F" w:rsidP="00A8323F">
      <w:pPr>
        <w:spacing w:after="120"/>
        <w:jc w:val="both"/>
        <w:rPr>
          <w:rFonts w:eastAsia="Times New Roman" w:cs="Times New Roman"/>
          <w:sz w:val="24"/>
          <w:szCs w:val="24"/>
        </w:rPr>
      </w:pPr>
      <w:r w:rsidRPr="009736F6">
        <w:rPr>
          <w:rFonts w:eastAsia="Times New Roman" w:cs="Times New Roman"/>
          <w:sz w:val="24"/>
          <w:szCs w:val="24"/>
        </w:rPr>
        <w:lastRenderedPageBreak/>
        <w:t xml:space="preserve">The table below shows a breakdown of sickness absences (excluding Covid19 absence) based on their working day duration over the period April to </w:t>
      </w:r>
      <w:r>
        <w:rPr>
          <w:rFonts w:eastAsia="Times New Roman" w:cs="Times New Roman"/>
          <w:sz w:val="24"/>
          <w:szCs w:val="24"/>
        </w:rPr>
        <w:t>December</w:t>
      </w:r>
      <w:r w:rsidRPr="009736F6">
        <w:rPr>
          <w:rFonts w:eastAsia="Times New Roman" w:cs="Times New Roman"/>
          <w:sz w:val="24"/>
          <w:szCs w:val="24"/>
        </w:rPr>
        <w:t xml:space="preserve"> 2020. </w:t>
      </w:r>
    </w:p>
    <w:p w:rsidR="00A8323F" w:rsidRPr="00E36F32" w:rsidRDefault="00A8323F" w:rsidP="00A8323F">
      <w:pPr>
        <w:spacing w:after="120"/>
        <w:jc w:val="both"/>
        <w:rPr>
          <w:rFonts w:eastAsia="Times New Roman" w:cs="Times New Roman"/>
          <w:sz w:val="24"/>
          <w:szCs w:val="24"/>
          <w:highlight w:val="yellow"/>
        </w:rPr>
      </w:pPr>
    </w:p>
    <w:tbl>
      <w:tblPr>
        <w:tblW w:w="9860" w:type="dxa"/>
        <w:tblLook w:val="04A0" w:firstRow="1" w:lastRow="0" w:firstColumn="1" w:lastColumn="0" w:noHBand="0" w:noVBand="1"/>
      </w:tblPr>
      <w:tblGrid>
        <w:gridCol w:w="1620"/>
        <w:gridCol w:w="1540"/>
        <w:gridCol w:w="1400"/>
        <w:gridCol w:w="1500"/>
        <w:gridCol w:w="1860"/>
        <w:gridCol w:w="1000"/>
        <w:gridCol w:w="940"/>
      </w:tblGrid>
      <w:tr w:rsidR="00A8323F" w:rsidRPr="009736F6" w:rsidTr="00134B8E">
        <w:trPr>
          <w:trHeight w:val="300"/>
        </w:trPr>
        <w:tc>
          <w:tcPr>
            <w:tcW w:w="1620" w:type="dxa"/>
            <w:tcBorders>
              <w:top w:val="single" w:sz="4" w:space="0" w:color="5B9BD5"/>
              <w:left w:val="single" w:sz="4" w:space="0" w:color="5B9BD5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A8323F" w:rsidRPr="009736F6" w:rsidRDefault="00A8323F" w:rsidP="00134B8E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  <w:t>Apr – Dec</w:t>
            </w:r>
            <w:r w:rsidRPr="009736F6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  <w:t xml:space="preserve"> 20</w:t>
            </w:r>
          </w:p>
        </w:tc>
        <w:tc>
          <w:tcPr>
            <w:tcW w:w="1540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A8323F" w:rsidRPr="009736F6" w:rsidRDefault="00A8323F" w:rsidP="00134B8E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9736F6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  <w:t>5 days or less</w:t>
            </w:r>
          </w:p>
        </w:tc>
        <w:tc>
          <w:tcPr>
            <w:tcW w:w="1400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A8323F" w:rsidRPr="009736F6" w:rsidRDefault="00A8323F" w:rsidP="00134B8E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9736F6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  <w:t>6 to 20 days</w:t>
            </w:r>
          </w:p>
        </w:tc>
        <w:tc>
          <w:tcPr>
            <w:tcW w:w="1500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A8323F" w:rsidRPr="009736F6" w:rsidRDefault="00A8323F" w:rsidP="00134B8E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9736F6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  <w:t>21 to 40 days</w:t>
            </w:r>
          </w:p>
        </w:tc>
        <w:tc>
          <w:tcPr>
            <w:tcW w:w="1860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A8323F" w:rsidRPr="009736F6" w:rsidRDefault="00A8323F" w:rsidP="00134B8E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9736F6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  <w:t>41 days and over</w:t>
            </w:r>
          </w:p>
        </w:tc>
        <w:tc>
          <w:tcPr>
            <w:tcW w:w="1000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5B9BD5" w:fill="5B9BD5"/>
            <w:noWrap/>
            <w:vAlign w:val="bottom"/>
            <w:hideMark/>
          </w:tcPr>
          <w:p w:rsidR="00A8323F" w:rsidRPr="009736F6" w:rsidRDefault="00A8323F" w:rsidP="00134B8E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9736F6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  <w:t>Phased</w:t>
            </w:r>
          </w:p>
        </w:tc>
        <w:tc>
          <w:tcPr>
            <w:tcW w:w="940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5B9BD5" w:fill="5B9BD5"/>
            <w:noWrap/>
            <w:vAlign w:val="bottom"/>
            <w:hideMark/>
          </w:tcPr>
          <w:p w:rsidR="00A8323F" w:rsidRPr="009736F6" w:rsidRDefault="00A8323F" w:rsidP="00134B8E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9736F6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  <w:t>Total</w:t>
            </w:r>
          </w:p>
        </w:tc>
      </w:tr>
      <w:tr w:rsidR="00A8323F" w:rsidRPr="009736F6" w:rsidTr="00134B8E">
        <w:trPr>
          <w:trHeight w:val="600"/>
        </w:trPr>
        <w:tc>
          <w:tcPr>
            <w:tcW w:w="16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A8323F" w:rsidRPr="009736F6" w:rsidRDefault="00A8323F" w:rsidP="00134B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736F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Percentage of WTE</w:t>
            </w:r>
          </w:p>
        </w:tc>
        <w:tc>
          <w:tcPr>
            <w:tcW w:w="15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8323F" w:rsidRPr="009736F6" w:rsidRDefault="00A8323F" w:rsidP="00134B8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736F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6</w:t>
            </w:r>
            <w:r w:rsidRPr="009736F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%</w:t>
            </w:r>
          </w:p>
        </w:tc>
        <w:tc>
          <w:tcPr>
            <w:tcW w:w="140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8323F" w:rsidRPr="009736F6" w:rsidRDefault="00A8323F" w:rsidP="00134B8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736F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</w:t>
            </w:r>
            <w:r w:rsidRPr="009736F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%</w:t>
            </w:r>
          </w:p>
        </w:tc>
        <w:tc>
          <w:tcPr>
            <w:tcW w:w="150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8323F" w:rsidRPr="009736F6" w:rsidRDefault="00A8323F" w:rsidP="00134B8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736F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0.4%</w:t>
            </w:r>
          </w:p>
        </w:tc>
        <w:tc>
          <w:tcPr>
            <w:tcW w:w="186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8323F" w:rsidRPr="009736F6" w:rsidRDefault="00A8323F" w:rsidP="00134B8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736F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  <w:r w:rsidRPr="009736F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%</w:t>
            </w:r>
          </w:p>
        </w:tc>
        <w:tc>
          <w:tcPr>
            <w:tcW w:w="100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8323F" w:rsidRPr="009736F6" w:rsidRDefault="00A8323F" w:rsidP="00134B8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736F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0.2%</w:t>
            </w:r>
          </w:p>
        </w:tc>
        <w:tc>
          <w:tcPr>
            <w:tcW w:w="9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8323F" w:rsidRPr="009736F6" w:rsidRDefault="00A8323F" w:rsidP="00134B8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736F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</w:t>
            </w:r>
            <w:r w:rsidRPr="009736F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%</w:t>
            </w:r>
          </w:p>
        </w:tc>
      </w:tr>
      <w:tr w:rsidR="00A8323F" w:rsidRPr="009736F6" w:rsidTr="00134B8E">
        <w:trPr>
          <w:trHeight w:val="300"/>
        </w:trPr>
        <w:tc>
          <w:tcPr>
            <w:tcW w:w="16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8323F" w:rsidRPr="009736F6" w:rsidRDefault="00A8323F" w:rsidP="00134B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736F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WTE sickness absence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8323F" w:rsidRPr="009736F6" w:rsidRDefault="00A8323F" w:rsidP="00134B8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1.2</w:t>
            </w:r>
          </w:p>
        </w:tc>
        <w:tc>
          <w:tcPr>
            <w:tcW w:w="14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8323F" w:rsidRPr="009736F6" w:rsidRDefault="00A8323F" w:rsidP="00134B8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736F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5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8323F" w:rsidRPr="009736F6" w:rsidRDefault="00A8323F" w:rsidP="00134B8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736F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8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8323F" w:rsidRPr="009736F6" w:rsidRDefault="00A8323F" w:rsidP="00134B8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736F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0.1</w:t>
            </w:r>
          </w:p>
        </w:tc>
        <w:tc>
          <w:tcPr>
            <w:tcW w:w="10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8323F" w:rsidRPr="009736F6" w:rsidRDefault="00A8323F" w:rsidP="00134B8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9736F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8323F" w:rsidRPr="009736F6" w:rsidRDefault="00A8323F" w:rsidP="00134B8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3.3</w:t>
            </w:r>
          </w:p>
        </w:tc>
      </w:tr>
    </w:tbl>
    <w:p w:rsidR="00A8323F" w:rsidRPr="00E36F32" w:rsidRDefault="00A8323F" w:rsidP="00A8323F">
      <w:pPr>
        <w:spacing w:after="120"/>
        <w:jc w:val="both"/>
        <w:rPr>
          <w:rFonts w:eastAsia="Times New Roman" w:cs="Times New Roman"/>
          <w:sz w:val="24"/>
          <w:szCs w:val="24"/>
          <w:highlight w:val="yellow"/>
        </w:rPr>
      </w:pPr>
    </w:p>
    <w:p w:rsidR="00A8323F" w:rsidRPr="009736F6" w:rsidRDefault="00A8323F" w:rsidP="00A8323F">
      <w:pPr>
        <w:jc w:val="both"/>
        <w:rPr>
          <w:sz w:val="24"/>
          <w:szCs w:val="24"/>
        </w:rPr>
      </w:pPr>
      <w:r w:rsidRPr="009736F6">
        <w:rPr>
          <w:sz w:val="24"/>
          <w:szCs w:val="24"/>
        </w:rPr>
        <w:t>Analysis of data</w:t>
      </w:r>
      <w:r>
        <w:rPr>
          <w:sz w:val="24"/>
          <w:szCs w:val="24"/>
        </w:rPr>
        <w:t>,</w:t>
      </w:r>
      <w:r w:rsidRPr="009736F6">
        <w:rPr>
          <w:sz w:val="24"/>
          <w:szCs w:val="24"/>
        </w:rPr>
        <w:t xml:space="preserve"> in comparison with last year </w:t>
      </w:r>
      <w:r>
        <w:rPr>
          <w:sz w:val="24"/>
          <w:szCs w:val="24"/>
        </w:rPr>
        <w:t xml:space="preserve">and identifying </w:t>
      </w:r>
      <w:r w:rsidRPr="006E3E41">
        <w:rPr>
          <w:sz w:val="24"/>
          <w:szCs w:val="24"/>
        </w:rPr>
        <w:t>any particular trend in relation to absences</w:t>
      </w:r>
      <w:r>
        <w:rPr>
          <w:sz w:val="24"/>
          <w:szCs w:val="24"/>
        </w:rPr>
        <w:t xml:space="preserve">, will be provided at the next half yearly update for the period </w:t>
      </w:r>
      <w:r w:rsidRPr="009736F6">
        <w:rPr>
          <w:sz w:val="24"/>
          <w:szCs w:val="24"/>
        </w:rPr>
        <w:t xml:space="preserve">April </w:t>
      </w:r>
      <w:r>
        <w:rPr>
          <w:sz w:val="24"/>
          <w:szCs w:val="24"/>
        </w:rPr>
        <w:t xml:space="preserve">2020 </w:t>
      </w:r>
      <w:r w:rsidRPr="009736F6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March 2021. </w:t>
      </w:r>
      <w:r w:rsidRPr="009736F6">
        <w:rPr>
          <w:sz w:val="24"/>
          <w:szCs w:val="24"/>
        </w:rPr>
        <w:t xml:space="preserve"> </w:t>
      </w:r>
    </w:p>
    <w:p w:rsidR="00A8323F" w:rsidRPr="00E36F32" w:rsidRDefault="00A8323F" w:rsidP="00A8323F">
      <w:pPr>
        <w:jc w:val="both"/>
        <w:rPr>
          <w:sz w:val="24"/>
          <w:szCs w:val="24"/>
          <w:highlight w:val="yellow"/>
        </w:rPr>
      </w:pPr>
    </w:p>
    <w:p w:rsidR="00A8323F" w:rsidRPr="00E36F32" w:rsidRDefault="00A8323F" w:rsidP="00A8323F">
      <w:pPr>
        <w:rPr>
          <w:sz w:val="24"/>
          <w:szCs w:val="24"/>
          <w:highlight w:val="yellow"/>
        </w:rPr>
      </w:pPr>
    </w:p>
    <w:p w:rsidR="00A8323F" w:rsidRPr="00357FBA" w:rsidRDefault="00A8323F" w:rsidP="00A8323F">
      <w:pPr>
        <w:keepNext/>
        <w:numPr>
          <w:ilvl w:val="1"/>
          <w:numId w:val="0"/>
        </w:numPr>
        <w:tabs>
          <w:tab w:val="left" w:pos="0"/>
        </w:tabs>
        <w:spacing w:after="120"/>
        <w:outlineLvl w:val="1"/>
        <w:rPr>
          <w:rFonts w:eastAsia="Times New Roman" w:cs="Arial"/>
          <w:b/>
          <w:bCs/>
          <w:iCs/>
          <w:noProof/>
          <w:snapToGrid w:val="0"/>
          <w:sz w:val="24"/>
          <w:szCs w:val="24"/>
          <w:lang w:val="en-US"/>
        </w:rPr>
      </w:pPr>
      <w:r w:rsidRPr="00357FBA">
        <w:rPr>
          <w:rFonts w:eastAsia="Times New Roman" w:cs="Arial"/>
          <w:b/>
          <w:bCs/>
          <w:iCs/>
          <w:noProof/>
          <w:snapToGrid w:val="0"/>
          <w:sz w:val="24"/>
          <w:szCs w:val="24"/>
          <w:lang w:val="en-US"/>
        </w:rPr>
        <w:t xml:space="preserve">8. Leavers </w:t>
      </w:r>
    </w:p>
    <w:p w:rsidR="00A8323F" w:rsidRPr="00357FBA" w:rsidRDefault="00A8323F" w:rsidP="00A8323F">
      <w:pPr>
        <w:rPr>
          <w:sz w:val="24"/>
          <w:szCs w:val="24"/>
        </w:rPr>
      </w:pPr>
    </w:p>
    <w:p w:rsidR="00A8323F" w:rsidRPr="00357FBA" w:rsidRDefault="00A8323F" w:rsidP="00A8323F">
      <w:pPr>
        <w:jc w:val="both"/>
        <w:rPr>
          <w:rFonts w:cs="Times New Roman"/>
          <w:sz w:val="24"/>
          <w:szCs w:val="24"/>
        </w:rPr>
      </w:pPr>
      <w:r w:rsidRPr="00357FBA">
        <w:rPr>
          <w:rFonts w:cs="Times New Roman"/>
          <w:sz w:val="24"/>
          <w:szCs w:val="24"/>
          <w:lang w:val="en-US"/>
        </w:rPr>
        <w:t>The total number of leavers, including PDSO, CLAO, seasonal staff, or staff with contracts of less than 12 months, employed between 1 April 2020 and 31 January 2021  was 14  (3.9% of the average total number of staff)(L</w:t>
      </w:r>
      <w:r w:rsidR="00E82497">
        <w:rPr>
          <w:rFonts w:cs="Times New Roman"/>
          <w:sz w:val="24"/>
          <w:szCs w:val="24"/>
          <w:lang w:val="en-US"/>
        </w:rPr>
        <w:t xml:space="preserve">ast </w:t>
      </w:r>
      <w:r w:rsidRPr="00357FBA">
        <w:rPr>
          <w:rFonts w:cs="Times New Roman"/>
          <w:sz w:val="24"/>
          <w:szCs w:val="24"/>
          <w:lang w:val="en-US"/>
        </w:rPr>
        <w:t>Y</w:t>
      </w:r>
      <w:r w:rsidR="00E82497">
        <w:rPr>
          <w:rFonts w:cs="Times New Roman"/>
          <w:sz w:val="24"/>
          <w:szCs w:val="24"/>
          <w:lang w:val="en-US"/>
        </w:rPr>
        <w:t>ear</w:t>
      </w:r>
      <w:r w:rsidRPr="00357FBA">
        <w:rPr>
          <w:rFonts w:cs="Times New Roman"/>
          <w:sz w:val="24"/>
          <w:szCs w:val="24"/>
          <w:lang w:val="en-US"/>
        </w:rPr>
        <w:t xml:space="preserve"> 24– 6.9%</w:t>
      </w:r>
      <w:r w:rsidRPr="00357FBA">
        <w:rPr>
          <w:rFonts w:cs="Times New Roman"/>
          <w:sz w:val="24"/>
          <w:szCs w:val="24"/>
        </w:rPr>
        <w:t xml:space="preserve">). </w:t>
      </w:r>
    </w:p>
    <w:p w:rsidR="00A8323F" w:rsidRPr="00357FBA" w:rsidRDefault="00A8323F" w:rsidP="00A8323F">
      <w:pPr>
        <w:jc w:val="both"/>
        <w:rPr>
          <w:rFonts w:cs="Times New Roman"/>
          <w:color w:val="FF0000"/>
          <w:sz w:val="24"/>
          <w:szCs w:val="24"/>
        </w:rPr>
      </w:pPr>
    </w:p>
    <w:p w:rsidR="00A8323F" w:rsidRPr="00357FBA" w:rsidRDefault="00E82497" w:rsidP="00A8323F">
      <w:pPr>
        <w:jc w:val="both"/>
        <w:rPr>
          <w:sz w:val="24"/>
          <w:szCs w:val="24"/>
        </w:rPr>
      </w:pPr>
      <w:r>
        <w:rPr>
          <w:sz w:val="24"/>
          <w:szCs w:val="24"/>
        </w:rPr>
        <w:t>Of the 14</w:t>
      </w:r>
      <w:r w:rsidR="00A8323F" w:rsidRPr="00357FBA">
        <w:rPr>
          <w:sz w:val="24"/>
          <w:szCs w:val="24"/>
        </w:rPr>
        <w:t xml:space="preserve"> leavers</w:t>
      </w:r>
      <w:r>
        <w:rPr>
          <w:sz w:val="24"/>
          <w:szCs w:val="24"/>
        </w:rPr>
        <w:t xml:space="preserve">, 9 were </w:t>
      </w:r>
      <w:r w:rsidR="00A8323F" w:rsidRPr="00357FBA">
        <w:rPr>
          <w:sz w:val="24"/>
          <w:szCs w:val="24"/>
        </w:rPr>
        <w:t xml:space="preserve">retirements and </w:t>
      </w:r>
      <w:r>
        <w:rPr>
          <w:sz w:val="24"/>
          <w:szCs w:val="24"/>
        </w:rPr>
        <w:t>5</w:t>
      </w:r>
      <w:r w:rsidR="00A8323F" w:rsidRPr="00357FBA">
        <w:rPr>
          <w:sz w:val="24"/>
          <w:szCs w:val="24"/>
        </w:rPr>
        <w:t xml:space="preserve"> voluntary resignations</w:t>
      </w:r>
      <w:r>
        <w:rPr>
          <w:sz w:val="24"/>
          <w:szCs w:val="24"/>
        </w:rPr>
        <w:t>.</w:t>
      </w:r>
      <w:r w:rsidR="00A8323F" w:rsidRPr="00357FBA">
        <w:rPr>
          <w:sz w:val="24"/>
          <w:szCs w:val="24"/>
        </w:rPr>
        <w:t xml:space="preserve"> </w:t>
      </w:r>
      <w:r w:rsidR="00A8323F">
        <w:rPr>
          <w:sz w:val="24"/>
          <w:szCs w:val="24"/>
        </w:rPr>
        <w:t xml:space="preserve">This gives </w:t>
      </w:r>
      <w:r w:rsidR="00A8323F" w:rsidRPr="00357FBA">
        <w:rPr>
          <w:rFonts w:cs="Times New Roman"/>
          <w:sz w:val="24"/>
          <w:szCs w:val="24"/>
        </w:rPr>
        <w:t xml:space="preserve">an overall staff turnover figure of 3.9% voluntary </w:t>
      </w:r>
      <w:r w:rsidR="00A8323F">
        <w:rPr>
          <w:rFonts w:cs="Times New Roman"/>
          <w:sz w:val="24"/>
          <w:szCs w:val="24"/>
        </w:rPr>
        <w:t>and 0.0</w:t>
      </w:r>
      <w:r w:rsidR="00A8323F" w:rsidRPr="00357FBA">
        <w:rPr>
          <w:rFonts w:cs="Times New Roman"/>
          <w:sz w:val="24"/>
          <w:szCs w:val="24"/>
        </w:rPr>
        <w:t>% non-voluntary compared to 6.6% and 0.3% respectively in last year’s figures</w:t>
      </w:r>
      <w:r w:rsidR="00A8323F" w:rsidRPr="00357FBA">
        <w:rPr>
          <w:rFonts w:cs="Times New Roman"/>
          <w:sz w:val="24"/>
          <w:szCs w:val="24"/>
          <w:lang w:val="en-US"/>
        </w:rPr>
        <w:t xml:space="preserve"> up to </w:t>
      </w:r>
      <w:r w:rsidR="00A8323F" w:rsidRPr="00357FBA">
        <w:rPr>
          <w:rFonts w:cs="Times New Roman"/>
          <w:sz w:val="24"/>
          <w:szCs w:val="24"/>
        </w:rPr>
        <w:t>31 January 20</w:t>
      </w:r>
      <w:r w:rsidR="00A8323F">
        <w:rPr>
          <w:rFonts w:cs="Times New Roman"/>
          <w:sz w:val="24"/>
          <w:szCs w:val="24"/>
        </w:rPr>
        <w:t>20</w:t>
      </w:r>
      <w:r w:rsidR="00A8323F" w:rsidRPr="00357FBA">
        <w:rPr>
          <w:rFonts w:cs="Times New Roman"/>
          <w:sz w:val="24"/>
          <w:szCs w:val="24"/>
        </w:rPr>
        <w:t>.</w:t>
      </w:r>
    </w:p>
    <w:p w:rsidR="00B512B9" w:rsidRDefault="00B512B9" w:rsidP="00FB2A57">
      <w:pPr>
        <w:jc w:val="both"/>
        <w:rPr>
          <w:sz w:val="22"/>
          <w:szCs w:val="22"/>
        </w:rPr>
      </w:pPr>
    </w:p>
    <w:p w:rsidR="00B512B9" w:rsidRDefault="00B512B9" w:rsidP="00FB2A57">
      <w:pPr>
        <w:jc w:val="both"/>
        <w:rPr>
          <w:sz w:val="22"/>
          <w:szCs w:val="22"/>
        </w:rPr>
      </w:pPr>
    </w:p>
    <w:p w:rsidR="00B512B9" w:rsidRDefault="00B512B9" w:rsidP="00FB2A57">
      <w:pPr>
        <w:jc w:val="both"/>
        <w:rPr>
          <w:sz w:val="22"/>
          <w:szCs w:val="22"/>
        </w:rPr>
      </w:pPr>
    </w:p>
    <w:p w:rsidR="00A8323F" w:rsidRDefault="00A8323F" w:rsidP="00FB2A57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B26F64" w:rsidRPr="00AF721D" w:rsidTr="00B86375">
        <w:tc>
          <w:tcPr>
            <w:tcW w:w="846" w:type="dxa"/>
            <w:shd w:val="clear" w:color="auto" w:fill="D9D9D9" w:themeFill="background1" w:themeFillShade="D9"/>
          </w:tcPr>
          <w:p w:rsidR="00B26F64" w:rsidRPr="00AF721D" w:rsidRDefault="00B26F64" w:rsidP="00B86375">
            <w:pPr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</w:tcPr>
          <w:p w:rsidR="00B26F64" w:rsidRPr="00AF721D" w:rsidRDefault="002265D6" w:rsidP="00DA7163">
            <w:pPr>
              <w:rPr>
                <w:b/>
                <w:sz w:val="24"/>
                <w:szCs w:val="24"/>
              </w:rPr>
            </w:pPr>
            <w:r w:rsidRPr="00AF721D">
              <w:rPr>
                <w:b/>
                <w:sz w:val="24"/>
                <w:szCs w:val="24"/>
              </w:rPr>
              <w:t xml:space="preserve">Governance Links </w:t>
            </w:r>
          </w:p>
        </w:tc>
      </w:tr>
      <w:tr w:rsidR="00B26F64" w:rsidRPr="00AF721D" w:rsidTr="00B86375">
        <w:tc>
          <w:tcPr>
            <w:tcW w:w="846" w:type="dxa"/>
          </w:tcPr>
          <w:p w:rsidR="00B26F64" w:rsidRPr="00AF721D" w:rsidRDefault="00B26F64" w:rsidP="0076103C">
            <w:pPr>
              <w:spacing w:before="120"/>
              <w:rPr>
                <w:sz w:val="24"/>
                <w:szCs w:val="24"/>
              </w:rPr>
            </w:pPr>
            <w:r w:rsidRPr="00AF721D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76103C" w:rsidRPr="00AF721D" w:rsidRDefault="0098730C" w:rsidP="0076103C">
            <w:pPr>
              <w:spacing w:before="120" w:after="120"/>
              <w:rPr>
                <w:b/>
                <w:sz w:val="24"/>
                <w:szCs w:val="24"/>
              </w:rPr>
            </w:pPr>
            <w:r w:rsidRPr="00AF721D">
              <w:rPr>
                <w:b/>
                <w:sz w:val="24"/>
                <w:szCs w:val="24"/>
              </w:rPr>
              <w:t>Finance and Resources</w:t>
            </w:r>
          </w:p>
          <w:p w:rsidR="001B6D84" w:rsidRPr="00AF721D" w:rsidRDefault="00AA3B49" w:rsidP="00B86375">
            <w:pPr>
              <w:rPr>
                <w:sz w:val="24"/>
                <w:szCs w:val="24"/>
              </w:rPr>
            </w:pPr>
            <w:r w:rsidRPr="00AF721D">
              <w:rPr>
                <w:sz w:val="24"/>
                <w:szCs w:val="24"/>
              </w:rPr>
              <w:t>No additional issues of note to report.</w:t>
            </w:r>
          </w:p>
          <w:p w:rsidR="00B26F64" w:rsidRPr="00AF721D" w:rsidRDefault="00B26F64" w:rsidP="00777096">
            <w:pPr>
              <w:rPr>
                <w:sz w:val="24"/>
                <w:szCs w:val="24"/>
              </w:rPr>
            </w:pPr>
          </w:p>
        </w:tc>
      </w:tr>
      <w:tr w:rsidR="0098730C" w:rsidRPr="00AF721D" w:rsidTr="00B86375">
        <w:tc>
          <w:tcPr>
            <w:tcW w:w="846" w:type="dxa"/>
          </w:tcPr>
          <w:p w:rsidR="0098730C" w:rsidRPr="00AF721D" w:rsidRDefault="0098730C" w:rsidP="0076103C">
            <w:pPr>
              <w:spacing w:before="120"/>
              <w:rPr>
                <w:sz w:val="24"/>
                <w:szCs w:val="24"/>
              </w:rPr>
            </w:pPr>
            <w:r w:rsidRPr="00AF721D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76103C" w:rsidRPr="00AF721D" w:rsidRDefault="0098730C" w:rsidP="0076103C">
            <w:pPr>
              <w:spacing w:before="120" w:after="120"/>
              <w:rPr>
                <w:b/>
                <w:sz w:val="24"/>
                <w:szCs w:val="24"/>
              </w:rPr>
            </w:pPr>
            <w:r w:rsidRPr="00AF721D">
              <w:rPr>
                <w:b/>
                <w:sz w:val="24"/>
                <w:szCs w:val="24"/>
              </w:rPr>
              <w:t xml:space="preserve">Risk </w:t>
            </w:r>
          </w:p>
          <w:p w:rsidR="009D1D56" w:rsidRPr="00AF721D" w:rsidRDefault="009D1D56" w:rsidP="009D1D56">
            <w:pPr>
              <w:rPr>
                <w:sz w:val="24"/>
                <w:szCs w:val="24"/>
              </w:rPr>
            </w:pPr>
            <w:r w:rsidRPr="00AF721D">
              <w:rPr>
                <w:sz w:val="24"/>
                <w:szCs w:val="24"/>
              </w:rPr>
              <w:t>Our work to monito</w:t>
            </w:r>
            <w:r w:rsidR="006E4647" w:rsidRPr="00AF721D">
              <w:rPr>
                <w:sz w:val="24"/>
                <w:szCs w:val="24"/>
              </w:rPr>
              <w:t>r</w:t>
            </w:r>
            <w:r w:rsidRPr="00AF721D">
              <w:rPr>
                <w:sz w:val="24"/>
                <w:szCs w:val="24"/>
              </w:rPr>
              <w:t xml:space="preserve"> adm</w:t>
            </w:r>
            <w:r w:rsidR="006E4647" w:rsidRPr="00AF721D">
              <w:rPr>
                <w:sz w:val="24"/>
                <w:szCs w:val="24"/>
              </w:rPr>
              <w:t>inistrative expenditure</w:t>
            </w:r>
            <w:r w:rsidRPr="00AF721D">
              <w:rPr>
                <w:sz w:val="24"/>
                <w:szCs w:val="24"/>
              </w:rPr>
              <w:t xml:space="preserve"> enables </w:t>
            </w:r>
            <w:r w:rsidR="00555C33" w:rsidRPr="00AF721D">
              <w:rPr>
                <w:sz w:val="24"/>
                <w:szCs w:val="24"/>
              </w:rPr>
              <w:t xml:space="preserve">us </w:t>
            </w:r>
            <w:r w:rsidR="00DD5E82" w:rsidRPr="00AF721D">
              <w:rPr>
                <w:sz w:val="24"/>
                <w:szCs w:val="24"/>
              </w:rPr>
              <w:t xml:space="preserve">to mitigate </w:t>
            </w:r>
            <w:r w:rsidRPr="00AF721D">
              <w:rPr>
                <w:sz w:val="24"/>
                <w:szCs w:val="24"/>
              </w:rPr>
              <w:t>corporate risk:</w:t>
            </w:r>
          </w:p>
          <w:p w:rsidR="009D1D56" w:rsidRPr="00AF721D" w:rsidRDefault="009D1D56" w:rsidP="009D1D56">
            <w:pPr>
              <w:rPr>
                <w:sz w:val="24"/>
                <w:szCs w:val="24"/>
              </w:rPr>
            </w:pPr>
          </w:p>
          <w:p w:rsidR="009D1D56" w:rsidRPr="00AF721D" w:rsidRDefault="009D1D56" w:rsidP="009D1D56">
            <w:pPr>
              <w:rPr>
                <w:sz w:val="24"/>
                <w:szCs w:val="24"/>
              </w:rPr>
            </w:pPr>
            <w:r w:rsidRPr="00AF721D">
              <w:rPr>
                <w:sz w:val="24"/>
                <w:szCs w:val="24"/>
              </w:rPr>
              <w:t>Risk 8: Pressure on the administration budget and being unable to manage within the budget.</w:t>
            </w:r>
          </w:p>
          <w:p w:rsidR="0098730C" w:rsidRPr="00AF721D" w:rsidRDefault="0098730C" w:rsidP="009D1D56">
            <w:pPr>
              <w:rPr>
                <w:sz w:val="24"/>
                <w:szCs w:val="24"/>
              </w:rPr>
            </w:pPr>
          </w:p>
        </w:tc>
      </w:tr>
      <w:tr w:rsidR="00B26F64" w:rsidRPr="00AF721D" w:rsidTr="00B86375">
        <w:tc>
          <w:tcPr>
            <w:tcW w:w="846" w:type="dxa"/>
          </w:tcPr>
          <w:p w:rsidR="00B26F64" w:rsidRPr="00AF721D" w:rsidRDefault="0098730C" w:rsidP="0076103C">
            <w:pPr>
              <w:spacing w:before="120"/>
              <w:rPr>
                <w:sz w:val="24"/>
                <w:szCs w:val="24"/>
              </w:rPr>
            </w:pPr>
            <w:r w:rsidRPr="00AF721D">
              <w:rPr>
                <w:sz w:val="24"/>
                <w:szCs w:val="24"/>
              </w:rPr>
              <w:t>3</w:t>
            </w:r>
          </w:p>
          <w:p w:rsidR="00B26F64" w:rsidRPr="00AF721D" w:rsidRDefault="00B26F64" w:rsidP="00B86375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9962F8" w:rsidRPr="00AF721D" w:rsidRDefault="00B26F64" w:rsidP="0076103C">
            <w:pPr>
              <w:spacing w:before="120" w:after="120"/>
              <w:rPr>
                <w:b/>
                <w:sz w:val="24"/>
                <w:szCs w:val="24"/>
              </w:rPr>
            </w:pPr>
            <w:r w:rsidRPr="00AF721D">
              <w:rPr>
                <w:b/>
                <w:sz w:val="24"/>
                <w:szCs w:val="24"/>
              </w:rPr>
              <w:t>Legal</w:t>
            </w:r>
            <w:r w:rsidR="0098730C" w:rsidRPr="00AF721D">
              <w:rPr>
                <w:b/>
                <w:sz w:val="24"/>
                <w:szCs w:val="24"/>
              </w:rPr>
              <w:t xml:space="preserve"> and Compliance</w:t>
            </w:r>
          </w:p>
          <w:p w:rsidR="002C77DC" w:rsidRPr="00AF721D" w:rsidRDefault="00AA3B49" w:rsidP="00B86375">
            <w:pPr>
              <w:rPr>
                <w:sz w:val="24"/>
                <w:szCs w:val="24"/>
              </w:rPr>
            </w:pPr>
            <w:r w:rsidRPr="00AF721D">
              <w:rPr>
                <w:sz w:val="24"/>
                <w:szCs w:val="24"/>
              </w:rPr>
              <w:t>No issues of note to report.</w:t>
            </w:r>
          </w:p>
          <w:p w:rsidR="001B6D84" w:rsidRPr="00AF721D" w:rsidRDefault="001B6D84" w:rsidP="00777096">
            <w:pPr>
              <w:rPr>
                <w:sz w:val="24"/>
                <w:szCs w:val="24"/>
              </w:rPr>
            </w:pPr>
          </w:p>
        </w:tc>
      </w:tr>
      <w:tr w:rsidR="0098730C" w:rsidRPr="00AF721D" w:rsidTr="00B86375">
        <w:tc>
          <w:tcPr>
            <w:tcW w:w="846" w:type="dxa"/>
          </w:tcPr>
          <w:p w:rsidR="0098730C" w:rsidRPr="00AF721D" w:rsidRDefault="0098730C" w:rsidP="0076103C">
            <w:pPr>
              <w:spacing w:before="120"/>
              <w:rPr>
                <w:sz w:val="24"/>
                <w:szCs w:val="24"/>
              </w:rPr>
            </w:pPr>
            <w:r w:rsidRPr="00AF721D"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98730C" w:rsidRPr="00AF721D" w:rsidRDefault="0098730C" w:rsidP="0076103C">
            <w:pPr>
              <w:spacing w:before="120" w:after="120"/>
              <w:rPr>
                <w:b/>
                <w:sz w:val="24"/>
                <w:szCs w:val="24"/>
              </w:rPr>
            </w:pPr>
            <w:r w:rsidRPr="00AF721D">
              <w:rPr>
                <w:b/>
                <w:sz w:val="24"/>
                <w:szCs w:val="24"/>
              </w:rPr>
              <w:t>Performance</w:t>
            </w:r>
          </w:p>
          <w:p w:rsidR="001B6D84" w:rsidRPr="00AF721D" w:rsidRDefault="00AA3B49" w:rsidP="00BD7A3C">
            <w:pPr>
              <w:rPr>
                <w:sz w:val="24"/>
                <w:szCs w:val="24"/>
              </w:rPr>
            </w:pPr>
            <w:r w:rsidRPr="00AF721D">
              <w:rPr>
                <w:sz w:val="24"/>
                <w:szCs w:val="24"/>
              </w:rPr>
              <w:t>No issues of note to report.</w:t>
            </w:r>
          </w:p>
          <w:p w:rsidR="002C77DC" w:rsidRPr="00AF721D" w:rsidRDefault="002C77DC" w:rsidP="00BD7A3C">
            <w:pPr>
              <w:rPr>
                <w:sz w:val="24"/>
                <w:szCs w:val="24"/>
              </w:rPr>
            </w:pPr>
          </w:p>
        </w:tc>
      </w:tr>
      <w:tr w:rsidR="0098730C" w:rsidRPr="00AF721D" w:rsidTr="00B86375">
        <w:tc>
          <w:tcPr>
            <w:tcW w:w="846" w:type="dxa"/>
          </w:tcPr>
          <w:p w:rsidR="0098730C" w:rsidRPr="00AF721D" w:rsidRDefault="0098730C" w:rsidP="0076103C">
            <w:pPr>
              <w:spacing w:before="120"/>
              <w:rPr>
                <w:sz w:val="24"/>
                <w:szCs w:val="24"/>
              </w:rPr>
            </w:pPr>
            <w:r w:rsidRPr="00AF721D"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98730C" w:rsidRPr="00AF721D" w:rsidRDefault="0098730C" w:rsidP="0076103C">
            <w:pPr>
              <w:spacing w:before="120" w:after="120"/>
              <w:rPr>
                <w:b/>
                <w:sz w:val="24"/>
                <w:szCs w:val="24"/>
              </w:rPr>
            </w:pPr>
            <w:r w:rsidRPr="00AF721D">
              <w:rPr>
                <w:b/>
                <w:sz w:val="24"/>
                <w:szCs w:val="24"/>
              </w:rPr>
              <w:t>Equalities</w:t>
            </w:r>
            <w:r w:rsidR="009962F8" w:rsidRPr="00AF721D">
              <w:rPr>
                <w:b/>
                <w:sz w:val="24"/>
                <w:szCs w:val="24"/>
              </w:rPr>
              <w:t xml:space="preserve"> Impact</w:t>
            </w:r>
          </w:p>
          <w:p w:rsidR="007453A1" w:rsidRPr="00AF721D" w:rsidRDefault="00D42BF5" w:rsidP="00BD7A3C">
            <w:pPr>
              <w:rPr>
                <w:sz w:val="24"/>
                <w:szCs w:val="24"/>
              </w:rPr>
            </w:pPr>
            <w:r w:rsidRPr="00AF721D">
              <w:rPr>
                <w:sz w:val="24"/>
                <w:szCs w:val="24"/>
              </w:rPr>
              <w:t>An Equality Impact Assessment is not required for this paper.</w:t>
            </w:r>
          </w:p>
          <w:p w:rsidR="0076103C" w:rsidRPr="00AF721D" w:rsidRDefault="0076103C" w:rsidP="00BD7A3C">
            <w:pPr>
              <w:rPr>
                <w:sz w:val="24"/>
                <w:szCs w:val="24"/>
              </w:rPr>
            </w:pPr>
          </w:p>
        </w:tc>
      </w:tr>
      <w:tr w:rsidR="0098730C" w:rsidRPr="00AF721D" w:rsidTr="00B86375">
        <w:tc>
          <w:tcPr>
            <w:tcW w:w="846" w:type="dxa"/>
          </w:tcPr>
          <w:p w:rsidR="0098730C" w:rsidRPr="00AF721D" w:rsidRDefault="0098730C" w:rsidP="0076103C">
            <w:pPr>
              <w:spacing w:before="120"/>
              <w:rPr>
                <w:sz w:val="24"/>
                <w:szCs w:val="24"/>
              </w:rPr>
            </w:pPr>
            <w:r w:rsidRPr="00AF721D"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98730C" w:rsidRPr="00AF721D" w:rsidRDefault="0098730C" w:rsidP="0076103C">
            <w:pPr>
              <w:spacing w:before="120" w:after="120"/>
              <w:rPr>
                <w:b/>
                <w:sz w:val="24"/>
                <w:szCs w:val="24"/>
              </w:rPr>
            </w:pPr>
            <w:r w:rsidRPr="00AF721D">
              <w:rPr>
                <w:b/>
                <w:sz w:val="24"/>
                <w:szCs w:val="24"/>
              </w:rPr>
              <w:t>Privacy Impact and Data Protection</w:t>
            </w:r>
          </w:p>
          <w:p w:rsidR="00F14B91" w:rsidRPr="00AF721D" w:rsidRDefault="00331BF0" w:rsidP="000100DD">
            <w:pPr>
              <w:rPr>
                <w:sz w:val="24"/>
                <w:szCs w:val="24"/>
              </w:rPr>
            </w:pPr>
            <w:r w:rsidRPr="00AF721D">
              <w:rPr>
                <w:sz w:val="24"/>
                <w:szCs w:val="24"/>
              </w:rPr>
              <w:t>No</w:t>
            </w:r>
            <w:r w:rsidR="002C77DC" w:rsidRPr="00AF721D">
              <w:rPr>
                <w:sz w:val="24"/>
                <w:szCs w:val="24"/>
              </w:rPr>
              <w:t xml:space="preserve"> privacy or data protection issues identified.</w:t>
            </w:r>
          </w:p>
          <w:p w:rsidR="0076103C" w:rsidRPr="00AF721D" w:rsidRDefault="0076103C" w:rsidP="000100DD">
            <w:pPr>
              <w:rPr>
                <w:sz w:val="24"/>
                <w:szCs w:val="24"/>
              </w:rPr>
            </w:pPr>
          </w:p>
        </w:tc>
      </w:tr>
      <w:tr w:rsidR="0098730C" w:rsidRPr="00AF721D" w:rsidTr="00B86375">
        <w:tc>
          <w:tcPr>
            <w:tcW w:w="846" w:type="dxa"/>
          </w:tcPr>
          <w:p w:rsidR="0098730C" w:rsidRPr="00AF721D" w:rsidRDefault="0098730C" w:rsidP="0076103C">
            <w:pPr>
              <w:spacing w:before="120"/>
              <w:rPr>
                <w:sz w:val="24"/>
                <w:szCs w:val="24"/>
              </w:rPr>
            </w:pPr>
            <w:r w:rsidRPr="00AF721D"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98730C" w:rsidRPr="00AF721D" w:rsidRDefault="0098730C" w:rsidP="0076103C">
            <w:pPr>
              <w:spacing w:before="120" w:after="120"/>
              <w:rPr>
                <w:b/>
                <w:sz w:val="24"/>
                <w:szCs w:val="24"/>
              </w:rPr>
            </w:pPr>
            <w:r w:rsidRPr="00AF721D">
              <w:rPr>
                <w:b/>
                <w:sz w:val="24"/>
                <w:szCs w:val="24"/>
              </w:rPr>
              <w:t>Communications and Engagement</w:t>
            </w:r>
          </w:p>
          <w:p w:rsidR="002C77DC" w:rsidRPr="00AF721D" w:rsidRDefault="00331BF0" w:rsidP="002C77DC">
            <w:pPr>
              <w:rPr>
                <w:sz w:val="24"/>
                <w:szCs w:val="24"/>
              </w:rPr>
            </w:pPr>
            <w:r w:rsidRPr="00AF721D">
              <w:rPr>
                <w:sz w:val="24"/>
                <w:szCs w:val="24"/>
              </w:rPr>
              <w:t xml:space="preserve">It has previously been agreed that </w:t>
            </w:r>
            <w:r w:rsidR="00350201" w:rsidRPr="00AF721D">
              <w:rPr>
                <w:sz w:val="24"/>
                <w:szCs w:val="24"/>
              </w:rPr>
              <w:t>t</w:t>
            </w:r>
            <w:r w:rsidR="002C77DC" w:rsidRPr="00AF721D">
              <w:rPr>
                <w:sz w:val="24"/>
                <w:szCs w:val="24"/>
              </w:rPr>
              <w:t xml:space="preserve">his paper </w:t>
            </w:r>
            <w:r w:rsidR="003E6C49" w:rsidRPr="00AF721D">
              <w:rPr>
                <w:sz w:val="24"/>
                <w:szCs w:val="24"/>
              </w:rPr>
              <w:t xml:space="preserve">should </w:t>
            </w:r>
            <w:r w:rsidR="0076103C" w:rsidRPr="00AF721D">
              <w:rPr>
                <w:sz w:val="24"/>
                <w:szCs w:val="24"/>
              </w:rPr>
              <w:t>be published</w:t>
            </w:r>
            <w:r w:rsidR="006E4647" w:rsidRPr="00AF721D">
              <w:rPr>
                <w:sz w:val="24"/>
                <w:szCs w:val="24"/>
              </w:rPr>
              <w:t>.</w:t>
            </w:r>
          </w:p>
          <w:p w:rsidR="007453A1" w:rsidRPr="00AF721D" w:rsidRDefault="007453A1" w:rsidP="0098730C">
            <w:pPr>
              <w:rPr>
                <w:sz w:val="24"/>
                <w:szCs w:val="24"/>
              </w:rPr>
            </w:pPr>
          </w:p>
        </w:tc>
      </w:tr>
    </w:tbl>
    <w:p w:rsidR="00390110" w:rsidRPr="00A06493" w:rsidRDefault="00390110" w:rsidP="00A06493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1266"/>
        <w:tblW w:w="949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DA7163" w:rsidRPr="00D06ED4" w:rsidTr="00A06493">
        <w:tc>
          <w:tcPr>
            <w:tcW w:w="9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163" w:rsidRPr="00D06ED4" w:rsidRDefault="00DA7163" w:rsidP="00DA7163">
            <w:pPr>
              <w:rPr>
                <w:b/>
                <w:sz w:val="24"/>
                <w:szCs w:val="24"/>
              </w:rPr>
            </w:pPr>
            <w:r w:rsidRPr="00D06ED4">
              <w:rPr>
                <w:b/>
                <w:sz w:val="24"/>
                <w:szCs w:val="24"/>
              </w:rPr>
              <w:t>Conclusion and next steps</w:t>
            </w:r>
          </w:p>
        </w:tc>
      </w:tr>
      <w:tr w:rsidR="00DA7163" w:rsidRPr="00D06ED4" w:rsidTr="00A06493">
        <w:tc>
          <w:tcPr>
            <w:tcW w:w="9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163" w:rsidRPr="00D06ED4" w:rsidRDefault="00AA3B49" w:rsidP="00DA7163">
            <w:pPr>
              <w:rPr>
                <w:sz w:val="24"/>
                <w:szCs w:val="24"/>
              </w:rPr>
            </w:pPr>
            <w:r w:rsidRPr="00D06ED4">
              <w:rPr>
                <w:sz w:val="24"/>
                <w:szCs w:val="24"/>
              </w:rPr>
              <w:t>The Board is asked to note and comment on the report as necessary.</w:t>
            </w:r>
          </w:p>
          <w:p w:rsidR="00AA3B49" w:rsidRPr="00D06ED4" w:rsidRDefault="00AA3B49" w:rsidP="00DA7163">
            <w:pPr>
              <w:rPr>
                <w:sz w:val="24"/>
                <w:szCs w:val="24"/>
              </w:rPr>
            </w:pPr>
          </w:p>
          <w:p w:rsidR="008E6349" w:rsidRDefault="0008597E" w:rsidP="00D06ED4">
            <w:pPr>
              <w:rPr>
                <w:sz w:val="24"/>
                <w:szCs w:val="24"/>
              </w:rPr>
            </w:pPr>
            <w:r w:rsidRPr="00D06ED4">
              <w:rPr>
                <w:sz w:val="24"/>
                <w:szCs w:val="24"/>
              </w:rPr>
              <w:t xml:space="preserve">The </w:t>
            </w:r>
            <w:r w:rsidR="0058104D">
              <w:rPr>
                <w:sz w:val="24"/>
                <w:szCs w:val="24"/>
              </w:rPr>
              <w:t>January</w:t>
            </w:r>
            <w:r w:rsidR="003D3E9A" w:rsidRPr="00D06ED4">
              <w:rPr>
                <w:sz w:val="24"/>
                <w:szCs w:val="24"/>
              </w:rPr>
              <w:t xml:space="preserve"> </w:t>
            </w:r>
            <w:r w:rsidR="003D3E9A">
              <w:rPr>
                <w:sz w:val="24"/>
                <w:szCs w:val="24"/>
              </w:rPr>
              <w:t>YTD spend</w:t>
            </w:r>
            <w:r w:rsidR="006226D8" w:rsidRPr="00D06ED4">
              <w:rPr>
                <w:sz w:val="24"/>
                <w:szCs w:val="24"/>
              </w:rPr>
              <w:t xml:space="preserve"> is</w:t>
            </w:r>
            <w:r w:rsidR="003D3E9A">
              <w:rPr>
                <w:sz w:val="24"/>
                <w:szCs w:val="24"/>
              </w:rPr>
              <w:t xml:space="preserve"> £0.2m under</w:t>
            </w:r>
            <w:r w:rsidR="006226D8" w:rsidRPr="00D06ED4">
              <w:rPr>
                <w:sz w:val="24"/>
                <w:szCs w:val="24"/>
              </w:rPr>
              <w:t xml:space="preserve"> budget</w:t>
            </w:r>
            <w:r w:rsidR="008E6349">
              <w:rPr>
                <w:sz w:val="24"/>
                <w:szCs w:val="24"/>
              </w:rPr>
              <w:t xml:space="preserve"> </w:t>
            </w:r>
            <w:r w:rsidR="00974529">
              <w:rPr>
                <w:sz w:val="24"/>
                <w:szCs w:val="24"/>
              </w:rPr>
              <w:t xml:space="preserve">although </w:t>
            </w:r>
            <w:r w:rsidR="008E6349">
              <w:rPr>
                <w:sz w:val="24"/>
                <w:szCs w:val="24"/>
              </w:rPr>
              <w:t>this is largely timing of bills</w:t>
            </w:r>
            <w:r w:rsidR="00AA7C9A">
              <w:rPr>
                <w:sz w:val="24"/>
                <w:szCs w:val="24"/>
              </w:rPr>
              <w:t xml:space="preserve"> and we expect to spend our full budget by year end.  Pensions costs above £327k are funded separately by SG and the </w:t>
            </w:r>
            <w:r w:rsidR="002B1B5C">
              <w:rPr>
                <w:sz w:val="24"/>
                <w:szCs w:val="24"/>
              </w:rPr>
              <w:t xml:space="preserve">pensions </w:t>
            </w:r>
            <w:r w:rsidR="00AA7C9A">
              <w:rPr>
                <w:sz w:val="24"/>
                <w:szCs w:val="24"/>
              </w:rPr>
              <w:t>un</w:t>
            </w:r>
            <w:r w:rsidR="002B1B5C">
              <w:rPr>
                <w:sz w:val="24"/>
                <w:szCs w:val="24"/>
              </w:rPr>
              <w:t>derspend noted above will</w:t>
            </w:r>
            <w:r w:rsidR="00AA7C9A">
              <w:rPr>
                <w:sz w:val="24"/>
                <w:szCs w:val="24"/>
              </w:rPr>
              <w:t xml:space="preserve"> reduce </w:t>
            </w:r>
            <w:r w:rsidR="002B1B5C">
              <w:rPr>
                <w:sz w:val="24"/>
                <w:szCs w:val="24"/>
              </w:rPr>
              <w:t>that element of our SG funding drawdown</w:t>
            </w:r>
            <w:r w:rsidR="00AA7C9A">
              <w:rPr>
                <w:sz w:val="24"/>
                <w:szCs w:val="24"/>
              </w:rPr>
              <w:t xml:space="preserve">.  </w:t>
            </w:r>
          </w:p>
          <w:p w:rsidR="008E6349" w:rsidRDefault="008E6349" w:rsidP="00D06ED4">
            <w:pPr>
              <w:rPr>
                <w:sz w:val="24"/>
                <w:szCs w:val="24"/>
              </w:rPr>
            </w:pPr>
          </w:p>
          <w:p w:rsidR="00D06ED4" w:rsidRPr="00D06ED4" w:rsidRDefault="00D06ED4" w:rsidP="00AA7C9A">
            <w:pPr>
              <w:rPr>
                <w:b/>
                <w:sz w:val="24"/>
                <w:szCs w:val="24"/>
              </w:rPr>
            </w:pPr>
          </w:p>
        </w:tc>
      </w:tr>
      <w:tr w:rsidR="00A06493" w:rsidRPr="00D06ED4" w:rsidTr="00A06493">
        <w:tc>
          <w:tcPr>
            <w:tcW w:w="94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06493" w:rsidRPr="00D06ED4" w:rsidRDefault="00A06493" w:rsidP="00DA7163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A3B49" w:rsidRPr="00D70672" w:rsidTr="003C48BC">
        <w:tc>
          <w:tcPr>
            <w:tcW w:w="9493" w:type="dxa"/>
            <w:shd w:val="clear" w:color="auto" w:fill="D9D9D9" w:themeFill="background1" w:themeFillShade="D9"/>
          </w:tcPr>
          <w:p w:rsidR="00AA3B49" w:rsidRPr="00AF721D" w:rsidRDefault="00AA3B49" w:rsidP="003C48BC">
            <w:pPr>
              <w:rPr>
                <w:b/>
                <w:sz w:val="24"/>
                <w:szCs w:val="24"/>
              </w:rPr>
            </w:pPr>
            <w:r w:rsidRPr="00AF721D">
              <w:rPr>
                <w:b/>
                <w:sz w:val="24"/>
                <w:szCs w:val="24"/>
              </w:rPr>
              <w:t>Appendices/Further Reading</w:t>
            </w:r>
          </w:p>
        </w:tc>
      </w:tr>
      <w:tr w:rsidR="00AA3B49" w:rsidTr="003C48BC">
        <w:tc>
          <w:tcPr>
            <w:tcW w:w="9493" w:type="dxa"/>
            <w:tcBorders>
              <w:right w:val="single" w:sz="4" w:space="0" w:color="auto"/>
            </w:tcBorders>
          </w:tcPr>
          <w:p w:rsidR="00AA3B49" w:rsidRPr="00AF721D" w:rsidRDefault="00AA3B49" w:rsidP="003C48BC">
            <w:pPr>
              <w:spacing w:before="120" w:after="120"/>
              <w:rPr>
                <w:sz w:val="24"/>
                <w:szCs w:val="24"/>
              </w:rPr>
            </w:pPr>
            <w:r w:rsidRPr="00AF721D">
              <w:rPr>
                <w:sz w:val="24"/>
                <w:szCs w:val="24"/>
              </w:rPr>
              <w:t>N/A</w:t>
            </w:r>
          </w:p>
        </w:tc>
      </w:tr>
    </w:tbl>
    <w:p w:rsidR="00AA3B49" w:rsidRPr="00AA3B49" w:rsidRDefault="00AA3B49" w:rsidP="00AA3B49">
      <w:pPr>
        <w:tabs>
          <w:tab w:val="left" w:pos="6495"/>
        </w:tabs>
      </w:pPr>
    </w:p>
    <w:p w:rsidR="00AA3B49" w:rsidRPr="00AA3B49" w:rsidRDefault="00AA3B49" w:rsidP="00AA3B49"/>
    <w:p w:rsidR="00204CF6" w:rsidRPr="00AA3B49" w:rsidRDefault="00204CF6" w:rsidP="00AA3B49"/>
    <w:sectPr w:rsidR="00204CF6" w:rsidRPr="00AA3B49" w:rsidSect="00DF4BD1">
      <w:headerReference w:type="first" r:id="rId9"/>
      <w:pgSz w:w="11906" w:h="16838"/>
      <w:pgMar w:top="1361" w:right="1440" w:bottom="1247" w:left="1134" w:header="680" w:footer="624" w:gutter="0"/>
      <w:cols w:sep="1"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D2B" w16cex:dateUtc="2020-12-06T18:10:00Z"/>
  <w16cex:commentExtensible w16cex:durableId="23779DB4" w16cex:dateUtc="2020-12-06T18:13:00Z"/>
  <w16cex:commentExtensible w16cex:durableId="2377A3EE" w16cex:dateUtc="2020-12-06T18:39:00Z"/>
  <w16cex:commentExtensible w16cex:durableId="2377CBC4" w16cex:dateUtc="2020-12-06T21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EBDEB6" w16cid:durableId="23779D2B"/>
  <w16cid:commentId w16cid:paraId="5BCB26C3" w16cid:durableId="23779DB4"/>
  <w16cid:commentId w16cid:paraId="58D7B29A" w16cid:durableId="23779BDF"/>
  <w16cid:commentId w16cid:paraId="633B1C22" w16cid:durableId="2377A3EE"/>
  <w16cid:commentId w16cid:paraId="65EBA246" w16cid:durableId="23779BE0"/>
  <w16cid:commentId w16cid:paraId="1BBD3997" w16cid:durableId="23779BE1"/>
  <w16cid:commentId w16cid:paraId="631F7DB5" w16cid:durableId="2377CB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08D" w:rsidRDefault="0038408D" w:rsidP="00EB61A3">
      <w:r>
        <w:separator/>
      </w:r>
    </w:p>
  </w:endnote>
  <w:endnote w:type="continuationSeparator" w:id="0">
    <w:p w:rsidR="0038408D" w:rsidRDefault="0038408D" w:rsidP="00EB61A3">
      <w:r>
        <w:continuationSeparator/>
      </w:r>
    </w:p>
  </w:endnote>
  <w:endnote w:type="continuationNotice" w:id="1">
    <w:p w:rsidR="0038408D" w:rsidRDefault="003840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tham-Bold">
    <w:charset w:val="00"/>
    <w:family w:val="swiss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08D" w:rsidRDefault="0038408D" w:rsidP="00EB61A3">
      <w:r>
        <w:separator/>
      </w:r>
    </w:p>
  </w:footnote>
  <w:footnote w:type="continuationSeparator" w:id="0">
    <w:p w:rsidR="0038408D" w:rsidRDefault="0038408D" w:rsidP="00EB61A3">
      <w:r>
        <w:continuationSeparator/>
      </w:r>
    </w:p>
  </w:footnote>
  <w:footnote w:type="continuationNotice" w:id="1">
    <w:p w:rsidR="0038408D" w:rsidRDefault="0038408D"/>
  </w:footnote>
  <w:footnote w:id="2">
    <w:p w:rsidR="00A8323F" w:rsidRDefault="00A8323F" w:rsidP="00A8323F">
      <w:pPr>
        <w:pStyle w:val="FootnoteText"/>
      </w:pPr>
      <w:r>
        <w:rPr>
          <w:rStyle w:val="FootnoteReference"/>
        </w:rPr>
        <w:footnoteRef/>
      </w:r>
      <w:r>
        <w:t xml:space="preserve"> Previously reported as 7.0 and sickness total as 9.8 but have now captured all sickness absence post Covid-19 lockdown which was previously unavailable.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2FC" w:rsidRDefault="00A0649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61F556EE" wp14:editId="1C14CCA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66850" cy="155120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2BD8">
      <w:rPr>
        <w:rStyle w:val="legamendingtext"/>
        <w:noProof/>
        <w:sz w:val="40"/>
        <w:szCs w:val="40"/>
        <w:lang w:eastAsia="en-GB"/>
      </w:rPr>
      <w:drawing>
        <wp:anchor distT="0" distB="0" distL="114300" distR="114300" simplePos="0" relativeHeight="251673600" behindDoc="0" locked="0" layoutInCell="1" allowOverlap="1" wp14:anchorId="7663C4A3" wp14:editId="6C7B9520">
          <wp:simplePos x="0" y="0"/>
          <wp:positionH relativeFrom="column">
            <wp:posOffset>3810</wp:posOffset>
          </wp:positionH>
          <wp:positionV relativeFrom="paragraph">
            <wp:posOffset>-3175</wp:posOffset>
          </wp:positionV>
          <wp:extent cx="647700" cy="855255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ardLOGOcolourhi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443" cy="864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3E3"/>
    <w:multiLevelType w:val="hybridMultilevel"/>
    <w:tmpl w:val="A970E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A45F3"/>
    <w:multiLevelType w:val="hybridMultilevel"/>
    <w:tmpl w:val="58B68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05E3B"/>
    <w:multiLevelType w:val="hybridMultilevel"/>
    <w:tmpl w:val="AFD62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06012"/>
    <w:multiLevelType w:val="hybridMultilevel"/>
    <w:tmpl w:val="47561DDE"/>
    <w:lvl w:ilvl="0" w:tplc="B2E6BEF6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1A0EC0"/>
    <w:multiLevelType w:val="hybridMultilevel"/>
    <w:tmpl w:val="2C60D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70DB5"/>
    <w:multiLevelType w:val="hybridMultilevel"/>
    <w:tmpl w:val="F4A02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516C7"/>
    <w:multiLevelType w:val="hybridMultilevel"/>
    <w:tmpl w:val="F600E3AA"/>
    <w:lvl w:ilvl="0" w:tplc="11429330">
      <w:start w:val="1"/>
      <w:numFmt w:val="decimal"/>
      <w:pStyle w:val="numberedpar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1DC5534"/>
    <w:multiLevelType w:val="hybridMultilevel"/>
    <w:tmpl w:val="F702B5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523EF"/>
    <w:multiLevelType w:val="hybridMultilevel"/>
    <w:tmpl w:val="A5CAC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E2290"/>
    <w:multiLevelType w:val="hybridMultilevel"/>
    <w:tmpl w:val="67662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C520D"/>
    <w:multiLevelType w:val="hybridMultilevel"/>
    <w:tmpl w:val="2C1800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8"/>
  </w:num>
  <w:num w:numId="10">
    <w:abstractNumId w:val="5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ED"/>
    <w:rsid w:val="00000D87"/>
    <w:rsid w:val="000013CE"/>
    <w:rsid w:val="00001AA3"/>
    <w:rsid w:val="00003E7F"/>
    <w:rsid w:val="00004164"/>
    <w:rsid w:val="000100DD"/>
    <w:rsid w:val="000143B5"/>
    <w:rsid w:val="00016211"/>
    <w:rsid w:val="00017824"/>
    <w:rsid w:val="00024D0A"/>
    <w:rsid w:val="0002640A"/>
    <w:rsid w:val="000271E7"/>
    <w:rsid w:val="0002748C"/>
    <w:rsid w:val="00033D05"/>
    <w:rsid w:val="000345B0"/>
    <w:rsid w:val="00041B39"/>
    <w:rsid w:val="00042E2C"/>
    <w:rsid w:val="000470D4"/>
    <w:rsid w:val="00050C19"/>
    <w:rsid w:val="00052506"/>
    <w:rsid w:val="0006116D"/>
    <w:rsid w:val="00061F2B"/>
    <w:rsid w:val="00062336"/>
    <w:rsid w:val="0006484C"/>
    <w:rsid w:val="00067EF5"/>
    <w:rsid w:val="00074279"/>
    <w:rsid w:val="00084CDD"/>
    <w:rsid w:val="00084F44"/>
    <w:rsid w:val="0008597E"/>
    <w:rsid w:val="00086215"/>
    <w:rsid w:val="00090CA4"/>
    <w:rsid w:val="000919A9"/>
    <w:rsid w:val="00093759"/>
    <w:rsid w:val="00093873"/>
    <w:rsid w:val="000938DC"/>
    <w:rsid w:val="00094CB8"/>
    <w:rsid w:val="000A50C8"/>
    <w:rsid w:val="000B2DF9"/>
    <w:rsid w:val="000B534B"/>
    <w:rsid w:val="000B69BF"/>
    <w:rsid w:val="000C1B2A"/>
    <w:rsid w:val="000C29D0"/>
    <w:rsid w:val="000C3B44"/>
    <w:rsid w:val="000C3F30"/>
    <w:rsid w:val="000C4431"/>
    <w:rsid w:val="000C71CE"/>
    <w:rsid w:val="000D1D5B"/>
    <w:rsid w:val="000D22DF"/>
    <w:rsid w:val="000D34F2"/>
    <w:rsid w:val="000D43A6"/>
    <w:rsid w:val="000D6EA3"/>
    <w:rsid w:val="000D705C"/>
    <w:rsid w:val="000E093E"/>
    <w:rsid w:val="000E0BD1"/>
    <w:rsid w:val="000E1F56"/>
    <w:rsid w:val="000E200B"/>
    <w:rsid w:val="000E3B51"/>
    <w:rsid w:val="000E3FF8"/>
    <w:rsid w:val="000E4149"/>
    <w:rsid w:val="000E459A"/>
    <w:rsid w:val="000E5213"/>
    <w:rsid w:val="000E563A"/>
    <w:rsid w:val="000E664A"/>
    <w:rsid w:val="000F002D"/>
    <w:rsid w:val="000F0580"/>
    <w:rsid w:val="000F26CC"/>
    <w:rsid w:val="000F5604"/>
    <w:rsid w:val="000F7A82"/>
    <w:rsid w:val="000F7D29"/>
    <w:rsid w:val="00101A53"/>
    <w:rsid w:val="00101DF4"/>
    <w:rsid w:val="001022B1"/>
    <w:rsid w:val="00102A77"/>
    <w:rsid w:val="00102FC6"/>
    <w:rsid w:val="00103C07"/>
    <w:rsid w:val="00106F16"/>
    <w:rsid w:val="0010701D"/>
    <w:rsid w:val="00111FF3"/>
    <w:rsid w:val="001162B9"/>
    <w:rsid w:val="0011683E"/>
    <w:rsid w:val="00117C91"/>
    <w:rsid w:val="00122BE7"/>
    <w:rsid w:val="0012446B"/>
    <w:rsid w:val="00126ADB"/>
    <w:rsid w:val="00127B2F"/>
    <w:rsid w:val="0013016F"/>
    <w:rsid w:val="00130654"/>
    <w:rsid w:val="001313ED"/>
    <w:rsid w:val="00132CEF"/>
    <w:rsid w:val="001341C3"/>
    <w:rsid w:val="00136C9F"/>
    <w:rsid w:val="00136EB5"/>
    <w:rsid w:val="00136FB3"/>
    <w:rsid w:val="00137856"/>
    <w:rsid w:val="00140A9C"/>
    <w:rsid w:val="00143A6A"/>
    <w:rsid w:val="00144FFE"/>
    <w:rsid w:val="00152C88"/>
    <w:rsid w:val="00154704"/>
    <w:rsid w:val="00154B8A"/>
    <w:rsid w:val="00155E1F"/>
    <w:rsid w:val="001566AC"/>
    <w:rsid w:val="00157102"/>
    <w:rsid w:val="00160698"/>
    <w:rsid w:val="00161856"/>
    <w:rsid w:val="00161E76"/>
    <w:rsid w:val="001626D3"/>
    <w:rsid w:val="00163646"/>
    <w:rsid w:val="001655F5"/>
    <w:rsid w:val="00165D87"/>
    <w:rsid w:val="00170992"/>
    <w:rsid w:val="00173523"/>
    <w:rsid w:val="00174A5C"/>
    <w:rsid w:val="00175255"/>
    <w:rsid w:val="001773F2"/>
    <w:rsid w:val="00182C27"/>
    <w:rsid w:val="00182FA7"/>
    <w:rsid w:val="00183523"/>
    <w:rsid w:val="0018575F"/>
    <w:rsid w:val="00190C39"/>
    <w:rsid w:val="00191EC1"/>
    <w:rsid w:val="00194F68"/>
    <w:rsid w:val="00195F8C"/>
    <w:rsid w:val="001A18FB"/>
    <w:rsid w:val="001A4218"/>
    <w:rsid w:val="001A4E7F"/>
    <w:rsid w:val="001A5F3C"/>
    <w:rsid w:val="001A6B79"/>
    <w:rsid w:val="001A7087"/>
    <w:rsid w:val="001B14EB"/>
    <w:rsid w:val="001B490B"/>
    <w:rsid w:val="001B626A"/>
    <w:rsid w:val="001B6D84"/>
    <w:rsid w:val="001B71D3"/>
    <w:rsid w:val="001B74E0"/>
    <w:rsid w:val="001B765D"/>
    <w:rsid w:val="001C676D"/>
    <w:rsid w:val="001C76FD"/>
    <w:rsid w:val="001D0072"/>
    <w:rsid w:val="001D44A5"/>
    <w:rsid w:val="001D4BF1"/>
    <w:rsid w:val="001D5819"/>
    <w:rsid w:val="001E0D45"/>
    <w:rsid w:val="001E354A"/>
    <w:rsid w:val="001E49E5"/>
    <w:rsid w:val="001E6FB0"/>
    <w:rsid w:val="00201508"/>
    <w:rsid w:val="00203CA2"/>
    <w:rsid w:val="00204CF2"/>
    <w:rsid w:val="00204CF6"/>
    <w:rsid w:val="00205332"/>
    <w:rsid w:val="002055CC"/>
    <w:rsid w:val="0021150B"/>
    <w:rsid w:val="00211C22"/>
    <w:rsid w:val="0021671E"/>
    <w:rsid w:val="0022038B"/>
    <w:rsid w:val="0022184D"/>
    <w:rsid w:val="00221C3E"/>
    <w:rsid w:val="002222A9"/>
    <w:rsid w:val="00222859"/>
    <w:rsid w:val="0022291C"/>
    <w:rsid w:val="00225E0D"/>
    <w:rsid w:val="002265D6"/>
    <w:rsid w:val="00226617"/>
    <w:rsid w:val="0023453A"/>
    <w:rsid w:val="00234CAF"/>
    <w:rsid w:val="0023662B"/>
    <w:rsid w:val="00237C13"/>
    <w:rsid w:val="0024007D"/>
    <w:rsid w:val="00240407"/>
    <w:rsid w:val="002430E3"/>
    <w:rsid w:val="002442C2"/>
    <w:rsid w:val="002448BD"/>
    <w:rsid w:val="00246439"/>
    <w:rsid w:val="00247C38"/>
    <w:rsid w:val="00255050"/>
    <w:rsid w:val="002550C8"/>
    <w:rsid w:val="00255D5A"/>
    <w:rsid w:val="002564C5"/>
    <w:rsid w:val="002565BE"/>
    <w:rsid w:val="002620D6"/>
    <w:rsid w:val="00266032"/>
    <w:rsid w:val="00266444"/>
    <w:rsid w:val="00266B05"/>
    <w:rsid w:val="00267EB2"/>
    <w:rsid w:val="002702B3"/>
    <w:rsid w:val="00275A0E"/>
    <w:rsid w:val="0027679F"/>
    <w:rsid w:val="00277303"/>
    <w:rsid w:val="00280687"/>
    <w:rsid w:val="002811A7"/>
    <w:rsid w:val="00281B98"/>
    <w:rsid w:val="00282167"/>
    <w:rsid w:val="002839A7"/>
    <w:rsid w:val="00283E81"/>
    <w:rsid w:val="00294066"/>
    <w:rsid w:val="00297CFB"/>
    <w:rsid w:val="00297DE2"/>
    <w:rsid w:val="002A1837"/>
    <w:rsid w:val="002A39C5"/>
    <w:rsid w:val="002A4C34"/>
    <w:rsid w:val="002A5379"/>
    <w:rsid w:val="002A5A4A"/>
    <w:rsid w:val="002A63A8"/>
    <w:rsid w:val="002A7084"/>
    <w:rsid w:val="002A7954"/>
    <w:rsid w:val="002B1B5C"/>
    <w:rsid w:val="002B33C9"/>
    <w:rsid w:val="002B3460"/>
    <w:rsid w:val="002B4A90"/>
    <w:rsid w:val="002B53B4"/>
    <w:rsid w:val="002B59FC"/>
    <w:rsid w:val="002B5D32"/>
    <w:rsid w:val="002B7D14"/>
    <w:rsid w:val="002C16D3"/>
    <w:rsid w:val="002C1BC9"/>
    <w:rsid w:val="002C20F1"/>
    <w:rsid w:val="002C598A"/>
    <w:rsid w:val="002C77DC"/>
    <w:rsid w:val="002C7D14"/>
    <w:rsid w:val="002D0165"/>
    <w:rsid w:val="002D318B"/>
    <w:rsid w:val="002D55AC"/>
    <w:rsid w:val="002D5D04"/>
    <w:rsid w:val="002D7A2A"/>
    <w:rsid w:val="002E2807"/>
    <w:rsid w:val="002E348F"/>
    <w:rsid w:val="002F0C6E"/>
    <w:rsid w:val="002F163A"/>
    <w:rsid w:val="002F592D"/>
    <w:rsid w:val="00300F9C"/>
    <w:rsid w:val="003038AC"/>
    <w:rsid w:val="003049B5"/>
    <w:rsid w:val="003053A9"/>
    <w:rsid w:val="0031092D"/>
    <w:rsid w:val="003111D6"/>
    <w:rsid w:val="003133C3"/>
    <w:rsid w:val="00313FFC"/>
    <w:rsid w:val="00322814"/>
    <w:rsid w:val="00330F5E"/>
    <w:rsid w:val="003317BC"/>
    <w:rsid w:val="00331BF0"/>
    <w:rsid w:val="00333C9D"/>
    <w:rsid w:val="00334D54"/>
    <w:rsid w:val="0034002C"/>
    <w:rsid w:val="00340424"/>
    <w:rsid w:val="00340D8F"/>
    <w:rsid w:val="00341FBA"/>
    <w:rsid w:val="00341FEB"/>
    <w:rsid w:val="00345D75"/>
    <w:rsid w:val="0034683C"/>
    <w:rsid w:val="00347317"/>
    <w:rsid w:val="003473D9"/>
    <w:rsid w:val="00350201"/>
    <w:rsid w:val="00350998"/>
    <w:rsid w:val="00351036"/>
    <w:rsid w:val="0035577A"/>
    <w:rsid w:val="0035786A"/>
    <w:rsid w:val="00357B77"/>
    <w:rsid w:val="00361BC3"/>
    <w:rsid w:val="00362113"/>
    <w:rsid w:val="00363035"/>
    <w:rsid w:val="003633B3"/>
    <w:rsid w:val="00364D93"/>
    <w:rsid w:val="00365930"/>
    <w:rsid w:val="00365B58"/>
    <w:rsid w:val="00366020"/>
    <w:rsid w:val="0036629F"/>
    <w:rsid w:val="00367C53"/>
    <w:rsid w:val="0037301D"/>
    <w:rsid w:val="00374684"/>
    <w:rsid w:val="0037522E"/>
    <w:rsid w:val="0038408D"/>
    <w:rsid w:val="00384603"/>
    <w:rsid w:val="00385454"/>
    <w:rsid w:val="00386430"/>
    <w:rsid w:val="00387E93"/>
    <w:rsid w:val="00387F22"/>
    <w:rsid w:val="00390110"/>
    <w:rsid w:val="00391D31"/>
    <w:rsid w:val="00394456"/>
    <w:rsid w:val="003A0869"/>
    <w:rsid w:val="003A1007"/>
    <w:rsid w:val="003A188B"/>
    <w:rsid w:val="003A614B"/>
    <w:rsid w:val="003B13DB"/>
    <w:rsid w:val="003B319A"/>
    <w:rsid w:val="003B55B1"/>
    <w:rsid w:val="003B5E92"/>
    <w:rsid w:val="003B606E"/>
    <w:rsid w:val="003C02C2"/>
    <w:rsid w:val="003C2F2F"/>
    <w:rsid w:val="003C32CF"/>
    <w:rsid w:val="003C48BC"/>
    <w:rsid w:val="003C512E"/>
    <w:rsid w:val="003C5DEA"/>
    <w:rsid w:val="003C7DDC"/>
    <w:rsid w:val="003D02D0"/>
    <w:rsid w:val="003D1779"/>
    <w:rsid w:val="003D3E9A"/>
    <w:rsid w:val="003D61E5"/>
    <w:rsid w:val="003E2074"/>
    <w:rsid w:val="003E2234"/>
    <w:rsid w:val="003E2D72"/>
    <w:rsid w:val="003E3EA8"/>
    <w:rsid w:val="003E4537"/>
    <w:rsid w:val="003E5FB9"/>
    <w:rsid w:val="003E6C49"/>
    <w:rsid w:val="003E774C"/>
    <w:rsid w:val="003F1F59"/>
    <w:rsid w:val="003F32D5"/>
    <w:rsid w:val="003F5315"/>
    <w:rsid w:val="003F5786"/>
    <w:rsid w:val="0040009A"/>
    <w:rsid w:val="00400FD6"/>
    <w:rsid w:val="00401828"/>
    <w:rsid w:val="00403612"/>
    <w:rsid w:val="00403ECE"/>
    <w:rsid w:val="00405190"/>
    <w:rsid w:val="00412194"/>
    <w:rsid w:val="0041661D"/>
    <w:rsid w:val="00416A7D"/>
    <w:rsid w:val="00422193"/>
    <w:rsid w:val="00425185"/>
    <w:rsid w:val="00430263"/>
    <w:rsid w:val="004304B7"/>
    <w:rsid w:val="00431065"/>
    <w:rsid w:val="00431A7C"/>
    <w:rsid w:val="00431DE2"/>
    <w:rsid w:val="00432508"/>
    <w:rsid w:val="004335B4"/>
    <w:rsid w:val="004342D9"/>
    <w:rsid w:val="00434C6D"/>
    <w:rsid w:val="0043658D"/>
    <w:rsid w:val="00436BD9"/>
    <w:rsid w:val="004406DF"/>
    <w:rsid w:val="00442D1D"/>
    <w:rsid w:val="004436B2"/>
    <w:rsid w:val="0044621F"/>
    <w:rsid w:val="00447CA5"/>
    <w:rsid w:val="0045008B"/>
    <w:rsid w:val="00450D20"/>
    <w:rsid w:val="00453233"/>
    <w:rsid w:val="00453A13"/>
    <w:rsid w:val="00456681"/>
    <w:rsid w:val="004574C7"/>
    <w:rsid w:val="00460B05"/>
    <w:rsid w:val="00461CEB"/>
    <w:rsid w:val="004620C3"/>
    <w:rsid w:val="0046582E"/>
    <w:rsid w:val="0046620E"/>
    <w:rsid w:val="00467249"/>
    <w:rsid w:val="00467E85"/>
    <w:rsid w:val="00470B61"/>
    <w:rsid w:val="0047160E"/>
    <w:rsid w:val="00471E89"/>
    <w:rsid w:val="00473104"/>
    <w:rsid w:val="004744C4"/>
    <w:rsid w:val="004747D6"/>
    <w:rsid w:val="004766D8"/>
    <w:rsid w:val="0047671C"/>
    <w:rsid w:val="00476F49"/>
    <w:rsid w:val="0048147D"/>
    <w:rsid w:val="0048716C"/>
    <w:rsid w:val="00493A10"/>
    <w:rsid w:val="00496AB0"/>
    <w:rsid w:val="00497B14"/>
    <w:rsid w:val="004A11C7"/>
    <w:rsid w:val="004A1216"/>
    <w:rsid w:val="004A2C28"/>
    <w:rsid w:val="004A7606"/>
    <w:rsid w:val="004B13BD"/>
    <w:rsid w:val="004B140A"/>
    <w:rsid w:val="004C0D36"/>
    <w:rsid w:val="004C16E8"/>
    <w:rsid w:val="004C364B"/>
    <w:rsid w:val="004C4D2A"/>
    <w:rsid w:val="004C5352"/>
    <w:rsid w:val="004C5E2C"/>
    <w:rsid w:val="004D03ED"/>
    <w:rsid w:val="004D0FFC"/>
    <w:rsid w:val="004D33CD"/>
    <w:rsid w:val="004D7C06"/>
    <w:rsid w:val="004E2950"/>
    <w:rsid w:val="004E430C"/>
    <w:rsid w:val="004E5B3A"/>
    <w:rsid w:val="004E6B6E"/>
    <w:rsid w:val="004F4E59"/>
    <w:rsid w:val="004F4F6E"/>
    <w:rsid w:val="004F57D3"/>
    <w:rsid w:val="004F7F36"/>
    <w:rsid w:val="00500309"/>
    <w:rsid w:val="00501250"/>
    <w:rsid w:val="00505947"/>
    <w:rsid w:val="00506B5E"/>
    <w:rsid w:val="00506E7F"/>
    <w:rsid w:val="00507349"/>
    <w:rsid w:val="005126E6"/>
    <w:rsid w:val="00520987"/>
    <w:rsid w:val="0052151B"/>
    <w:rsid w:val="00526C99"/>
    <w:rsid w:val="0052757E"/>
    <w:rsid w:val="005304E7"/>
    <w:rsid w:val="0053289E"/>
    <w:rsid w:val="0053321A"/>
    <w:rsid w:val="00534214"/>
    <w:rsid w:val="0053573C"/>
    <w:rsid w:val="005359B6"/>
    <w:rsid w:val="00536338"/>
    <w:rsid w:val="0053636B"/>
    <w:rsid w:val="00542253"/>
    <w:rsid w:val="00543F04"/>
    <w:rsid w:val="00551907"/>
    <w:rsid w:val="00552D5B"/>
    <w:rsid w:val="00553135"/>
    <w:rsid w:val="00555C33"/>
    <w:rsid w:val="00557748"/>
    <w:rsid w:val="00557DCF"/>
    <w:rsid w:val="005602C4"/>
    <w:rsid w:val="00560526"/>
    <w:rsid w:val="005623A9"/>
    <w:rsid w:val="00565885"/>
    <w:rsid w:val="00567BAA"/>
    <w:rsid w:val="00570C63"/>
    <w:rsid w:val="00576202"/>
    <w:rsid w:val="005801C2"/>
    <w:rsid w:val="00580E3F"/>
    <w:rsid w:val="0058104D"/>
    <w:rsid w:val="00581429"/>
    <w:rsid w:val="00583998"/>
    <w:rsid w:val="00586B70"/>
    <w:rsid w:val="00587459"/>
    <w:rsid w:val="00590A9D"/>
    <w:rsid w:val="00591D1C"/>
    <w:rsid w:val="00595939"/>
    <w:rsid w:val="005972E4"/>
    <w:rsid w:val="005A1342"/>
    <w:rsid w:val="005A2C69"/>
    <w:rsid w:val="005A5518"/>
    <w:rsid w:val="005A5B12"/>
    <w:rsid w:val="005B02A5"/>
    <w:rsid w:val="005B082A"/>
    <w:rsid w:val="005B1355"/>
    <w:rsid w:val="005B7399"/>
    <w:rsid w:val="005B73BF"/>
    <w:rsid w:val="005C106A"/>
    <w:rsid w:val="005C2B9C"/>
    <w:rsid w:val="005C4747"/>
    <w:rsid w:val="005C49FA"/>
    <w:rsid w:val="005C4FF3"/>
    <w:rsid w:val="005C5E9D"/>
    <w:rsid w:val="005C6194"/>
    <w:rsid w:val="005C6725"/>
    <w:rsid w:val="005C696F"/>
    <w:rsid w:val="005D021C"/>
    <w:rsid w:val="005D1869"/>
    <w:rsid w:val="005D38FA"/>
    <w:rsid w:val="005D6D9B"/>
    <w:rsid w:val="005F51DC"/>
    <w:rsid w:val="005F55F1"/>
    <w:rsid w:val="005F6458"/>
    <w:rsid w:val="00601D7D"/>
    <w:rsid w:val="00607E08"/>
    <w:rsid w:val="006108A0"/>
    <w:rsid w:val="0061108A"/>
    <w:rsid w:val="00613F2F"/>
    <w:rsid w:val="00615E91"/>
    <w:rsid w:val="00616111"/>
    <w:rsid w:val="006177D9"/>
    <w:rsid w:val="00621ED3"/>
    <w:rsid w:val="006226D8"/>
    <w:rsid w:val="00623880"/>
    <w:rsid w:val="00624E82"/>
    <w:rsid w:val="00626372"/>
    <w:rsid w:val="006308AD"/>
    <w:rsid w:val="00632ED8"/>
    <w:rsid w:val="00634502"/>
    <w:rsid w:val="006352FA"/>
    <w:rsid w:val="00635547"/>
    <w:rsid w:val="0064288F"/>
    <w:rsid w:val="006442AF"/>
    <w:rsid w:val="00647EDF"/>
    <w:rsid w:val="006507D0"/>
    <w:rsid w:val="006518A2"/>
    <w:rsid w:val="00651FFD"/>
    <w:rsid w:val="0065296E"/>
    <w:rsid w:val="00652BEF"/>
    <w:rsid w:val="00652C18"/>
    <w:rsid w:val="006553FA"/>
    <w:rsid w:val="00656D6E"/>
    <w:rsid w:val="00657332"/>
    <w:rsid w:val="006617FD"/>
    <w:rsid w:val="00667379"/>
    <w:rsid w:val="006679C5"/>
    <w:rsid w:val="00671914"/>
    <w:rsid w:val="00672DED"/>
    <w:rsid w:val="006735D5"/>
    <w:rsid w:val="006736F0"/>
    <w:rsid w:val="0067424B"/>
    <w:rsid w:val="00674957"/>
    <w:rsid w:val="00675A05"/>
    <w:rsid w:val="00675C31"/>
    <w:rsid w:val="00680D5A"/>
    <w:rsid w:val="006830DB"/>
    <w:rsid w:val="0068341D"/>
    <w:rsid w:val="0068348E"/>
    <w:rsid w:val="006846DE"/>
    <w:rsid w:val="0068578D"/>
    <w:rsid w:val="00686FAF"/>
    <w:rsid w:val="0069215B"/>
    <w:rsid w:val="00692716"/>
    <w:rsid w:val="00693833"/>
    <w:rsid w:val="0069487F"/>
    <w:rsid w:val="006A1845"/>
    <w:rsid w:val="006A2769"/>
    <w:rsid w:val="006B0F32"/>
    <w:rsid w:val="006B73ED"/>
    <w:rsid w:val="006C3F98"/>
    <w:rsid w:val="006C4CC1"/>
    <w:rsid w:val="006D116A"/>
    <w:rsid w:val="006D31A6"/>
    <w:rsid w:val="006D4C88"/>
    <w:rsid w:val="006D4FBF"/>
    <w:rsid w:val="006E0AEE"/>
    <w:rsid w:val="006E1FDC"/>
    <w:rsid w:val="006E432C"/>
    <w:rsid w:val="006E4647"/>
    <w:rsid w:val="006E5262"/>
    <w:rsid w:val="006E5CCC"/>
    <w:rsid w:val="006F0E58"/>
    <w:rsid w:val="006F1AD4"/>
    <w:rsid w:val="006F263E"/>
    <w:rsid w:val="006F2761"/>
    <w:rsid w:val="006F2C6D"/>
    <w:rsid w:val="006F2D27"/>
    <w:rsid w:val="006F367B"/>
    <w:rsid w:val="006F53CA"/>
    <w:rsid w:val="006F5C88"/>
    <w:rsid w:val="006F697F"/>
    <w:rsid w:val="006F7555"/>
    <w:rsid w:val="006F7622"/>
    <w:rsid w:val="006F7ABF"/>
    <w:rsid w:val="00700467"/>
    <w:rsid w:val="007006AA"/>
    <w:rsid w:val="00701F92"/>
    <w:rsid w:val="00702770"/>
    <w:rsid w:val="00704223"/>
    <w:rsid w:val="00704974"/>
    <w:rsid w:val="00704C19"/>
    <w:rsid w:val="007104B7"/>
    <w:rsid w:val="00711D02"/>
    <w:rsid w:val="00713BD0"/>
    <w:rsid w:val="00714597"/>
    <w:rsid w:val="00714995"/>
    <w:rsid w:val="0071592F"/>
    <w:rsid w:val="00716413"/>
    <w:rsid w:val="00720462"/>
    <w:rsid w:val="00722786"/>
    <w:rsid w:val="00725EB9"/>
    <w:rsid w:val="00725F59"/>
    <w:rsid w:val="0072707E"/>
    <w:rsid w:val="0073110C"/>
    <w:rsid w:val="00731944"/>
    <w:rsid w:val="00735215"/>
    <w:rsid w:val="007352C3"/>
    <w:rsid w:val="00736091"/>
    <w:rsid w:val="00736C45"/>
    <w:rsid w:val="00737155"/>
    <w:rsid w:val="00740ED1"/>
    <w:rsid w:val="00741AC1"/>
    <w:rsid w:val="007449FF"/>
    <w:rsid w:val="007453A1"/>
    <w:rsid w:val="00751312"/>
    <w:rsid w:val="00751AF0"/>
    <w:rsid w:val="00753D77"/>
    <w:rsid w:val="00760333"/>
    <w:rsid w:val="0076103C"/>
    <w:rsid w:val="007611D5"/>
    <w:rsid w:val="0076292A"/>
    <w:rsid w:val="00763BCD"/>
    <w:rsid w:val="00767B93"/>
    <w:rsid w:val="00771AB1"/>
    <w:rsid w:val="00772914"/>
    <w:rsid w:val="007745CF"/>
    <w:rsid w:val="00776F1B"/>
    <w:rsid w:val="00777096"/>
    <w:rsid w:val="00781772"/>
    <w:rsid w:val="00783D4C"/>
    <w:rsid w:val="00784D08"/>
    <w:rsid w:val="007917D4"/>
    <w:rsid w:val="00791FFD"/>
    <w:rsid w:val="00793DC9"/>
    <w:rsid w:val="00795903"/>
    <w:rsid w:val="007963FF"/>
    <w:rsid w:val="00796645"/>
    <w:rsid w:val="00796A8A"/>
    <w:rsid w:val="007A2E31"/>
    <w:rsid w:val="007A2F91"/>
    <w:rsid w:val="007A5197"/>
    <w:rsid w:val="007C3641"/>
    <w:rsid w:val="007C4758"/>
    <w:rsid w:val="007C69C5"/>
    <w:rsid w:val="007D4DF4"/>
    <w:rsid w:val="007D4ECA"/>
    <w:rsid w:val="007E0DB1"/>
    <w:rsid w:val="007E33F7"/>
    <w:rsid w:val="007E54D5"/>
    <w:rsid w:val="007E654D"/>
    <w:rsid w:val="007F2F1A"/>
    <w:rsid w:val="007F44C3"/>
    <w:rsid w:val="007F78F1"/>
    <w:rsid w:val="00800166"/>
    <w:rsid w:val="00807625"/>
    <w:rsid w:val="008108FA"/>
    <w:rsid w:val="00810B28"/>
    <w:rsid w:val="00813FCF"/>
    <w:rsid w:val="0081721D"/>
    <w:rsid w:val="00817CBC"/>
    <w:rsid w:val="00821D57"/>
    <w:rsid w:val="0082227E"/>
    <w:rsid w:val="00823889"/>
    <w:rsid w:val="00827700"/>
    <w:rsid w:val="00831F57"/>
    <w:rsid w:val="00835827"/>
    <w:rsid w:val="008403A6"/>
    <w:rsid w:val="00842F1D"/>
    <w:rsid w:val="0084434F"/>
    <w:rsid w:val="008445DF"/>
    <w:rsid w:val="00844CF8"/>
    <w:rsid w:val="00844F42"/>
    <w:rsid w:val="00845B83"/>
    <w:rsid w:val="00845BA4"/>
    <w:rsid w:val="0084702A"/>
    <w:rsid w:val="0085089D"/>
    <w:rsid w:val="00852226"/>
    <w:rsid w:val="00856355"/>
    <w:rsid w:val="00861BE0"/>
    <w:rsid w:val="00862395"/>
    <w:rsid w:val="008648A4"/>
    <w:rsid w:val="00864A16"/>
    <w:rsid w:val="00866129"/>
    <w:rsid w:val="0087074A"/>
    <w:rsid w:val="008717C0"/>
    <w:rsid w:val="008722AC"/>
    <w:rsid w:val="00874B41"/>
    <w:rsid w:val="008766CB"/>
    <w:rsid w:val="0088652B"/>
    <w:rsid w:val="00887D01"/>
    <w:rsid w:val="008909E4"/>
    <w:rsid w:val="00890A0F"/>
    <w:rsid w:val="00891E0E"/>
    <w:rsid w:val="00893DA6"/>
    <w:rsid w:val="008947C4"/>
    <w:rsid w:val="0089528D"/>
    <w:rsid w:val="00897832"/>
    <w:rsid w:val="008A08DA"/>
    <w:rsid w:val="008A23F6"/>
    <w:rsid w:val="008A2FFC"/>
    <w:rsid w:val="008A42FA"/>
    <w:rsid w:val="008A48A8"/>
    <w:rsid w:val="008B00A4"/>
    <w:rsid w:val="008B08DB"/>
    <w:rsid w:val="008B11CC"/>
    <w:rsid w:val="008B42E7"/>
    <w:rsid w:val="008B54C1"/>
    <w:rsid w:val="008C0393"/>
    <w:rsid w:val="008C0F50"/>
    <w:rsid w:val="008C231F"/>
    <w:rsid w:val="008C576B"/>
    <w:rsid w:val="008C5C22"/>
    <w:rsid w:val="008C6047"/>
    <w:rsid w:val="008C60E7"/>
    <w:rsid w:val="008C73AA"/>
    <w:rsid w:val="008D1A3B"/>
    <w:rsid w:val="008D21E8"/>
    <w:rsid w:val="008D2E72"/>
    <w:rsid w:val="008D3471"/>
    <w:rsid w:val="008D3846"/>
    <w:rsid w:val="008D447A"/>
    <w:rsid w:val="008D4EB2"/>
    <w:rsid w:val="008D60DD"/>
    <w:rsid w:val="008E374E"/>
    <w:rsid w:val="008E5A99"/>
    <w:rsid w:val="008E6349"/>
    <w:rsid w:val="008F066B"/>
    <w:rsid w:val="008F0FE4"/>
    <w:rsid w:val="008F4E0B"/>
    <w:rsid w:val="008F6744"/>
    <w:rsid w:val="009019A2"/>
    <w:rsid w:val="0090282B"/>
    <w:rsid w:val="00902EB9"/>
    <w:rsid w:val="009035C5"/>
    <w:rsid w:val="00906150"/>
    <w:rsid w:val="00907E7B"/>
    <w:rsid w:val="00911131"/>
    <w:rsid w:val="00911A3F"/>
    <w:rsid w:val="00915414"/>
    <w:rsid w:val="00920259"/>
    <w:rsid w:val="009203F8"/>
    <w:rsid w:val="00920D68"/>
    <w:rsid w:val="00924E42"/>
    <w:rsid w:val="009276FA"/>
    <w:rsid w:val="00927785"/>
    <w:rsid w:val="00931D55"/>
    <w:rsid w:val="0093507C"/>
    <w:rsid w:val="009400B4"/>
    <w:rsid w:val="00945CA7"/>
    <w:rsid w:val="00946657"/>
    <w:rsid w:val="00954526"/>
    <w:rsid w:val="00954D5F"/>
    <w:rsid w:val="00955BEC"/>
    <w:rsid w:val="00956646"/>
    <w:rsid w:val="00960EA3"/>
    <w:rsid w:val="00961CC8"/>
    <w:rsid w:val="00965AB2"/>
    <w:rsid w:val="009676B2"/>
    <w:rsid w:val="00967B90"/>
    <w:rsid w:val="00967BCA"/>
    <w:rsid w:val="009714EB"/>
    <w:rsid w:val="00973147"/>
    <w:rsid w:val="00973AEF"/>
    <w:rsid w:val="00974529"/>
    <w:rsid w:val="00975401"/>
    <w:rsid w:val="0097605D"/>
    <w:rsid w:val="00976A45"/>
    <w:rsid w:val="00976B38"/>
    <w:rsid w:val="00976E3B"/>
    <w:rsid w:val="00977FC0"/>
    <w:rsid w:val="00982494"/>
    <w:rsid w:val="00984B6B"/>
    <w:rsid w:val="0098730C"/>
    <w:rsid w:val="00990EC6"/>
    <w:rsid w:val="009962F8"/>
    <w:rsid w:val="009974A5"/>
    <w:rsid w:val="00997BE7"/>
    <w:rsid w:val="009A19D8"/>
    <w:rsid w:val="009A1B69"/>
    <w:rsid w:val="009A43AC"/>
    <w:rsid w:val="009A43B4"/>
    <w:rsid w:val="009A5302"/>
    <w:rsid w:val="009B0E02"/>
    <w:rsid w:val="009B5D8A"/>
    <w:rsid w:val="009B6916"/>
    <w:rsid w:val="009D068A"/>
    <w:rsid w:val="009D11F9"/>
    <w:rsid w:val="009D1D56"/>
    <w:rsid w:val="009D2260"/>
    <w:rsid w:val="009D6EFC"/>
    <w:rsid w:val="009E0206"/>
    <w:rsid w:val="009E2DC6"/>
    <w:rsid w:val="009E3278"/>
    <w:rsid w:val="009E32FC"/>
    <w:rsid w:val="009E4C50"/>
    <w:rsid w:val="009E5DEF"/>
    <w:rsid w:val="009F046F"/>
    <w:rsid w:val="009F1DCE"/>
    <w:rsid w:val="009F26F8"/>
    <w:rsid w:val="009F302A"/>
    <w:rsid w:val="009F30A4"/>
    <w:rsid w:val="009F3D0A"/>
    <w:rsid w:val="009F5166"/>
    <w:rsid w:val="009F66FC"/>
    <w:rsid w:val="009F7F2A"/>
    <w:rsid w:val="00A00313"/>
    <w:rsid w:val="00A00FEF"/>
    <w:rsid w:val="00A05BE9"/>
    <w:rsid w:val="00A06493"/>
    <w:rsid w:val="00A134CA"/>
    <w:rsid w:val="00A13915"/>
    <w:rsid w:val="00A15B1B"/>
    <w:rsid w:val="00A21CE3"/>
    <w:rsid w:val="00A22778"/>
    <w:rsid w:val="00A232FC"/>
    <w:rsid w:val="00A300D0"/>
    <w:rsid w:val="00A317E6"/>
    <w:rsid w:val="00A34D12"/>
    <w:rsid w:val="00A36999"/>
    <w:rsid w:val="00A369BE"/>
    <w:rsid w:val="00A37736"/>
    <w:rsid w:val="00A43C1B"/>
    <w:rsid w:val="00A43D7E"/>
    <w:rsid w:val="00A45C7C"/>
    <w:rsid w:val="00A529FE"/>
    <w:rsid w:val="00A52E01"/>
    <w:rsid w:val="00A5506D"/>
    <w:rsid w:val="00A5650E"/>
    <w:rsid w:val="00A64497"/>
    <w:rsid w:val="00A65C4D"/>
    <w:rsid w:val="00A667BB"/>
    <w:rsid w:val="00A67555"/>
    <w:rsid w:val="00A67940"/>
    <w:rsid w:val="00A7368B"/>
    <w:rsid w:val="00A74DE3"/>
    <w:rsid w:val="00A75EF0"/>
    <w:rsid w:val="00A765E4"/>
    <w:rsid w:val="00A81AC3"/>
    <w:rsid w:val="00A8323F"/>
    <w:rsid w:val="00A833A0"/>
    <w:rsid w:val="00A8721E"/>
    <w:rsid w:val="00A9083A"/>
    <w:rsid w:val="00A90877"/>
    <w:rsid w:val="00A909AB"/>
    <w:rsid w:val="00A95061"/>
    <w:rsid w:val="00A95E0D"/>
    <w:rsid w:val="00AA399E"/>
    <w:rsid w:val="00AA3B49"/>
    <w:rsid w:val="00AA450E"/>
    <w:rsid w:val="00AA6E92"/>
    <w:rsid w:val="00AA7C9A"/>
    <w:rsid w:val="00AB5449"/>
    <w:rsid w:val="00AB5B6E"/>
    <w:rsid w:val="00AB5C5A"/>
    <w:rsid w:val="00AB7CF1"/>
    <w:rsid w:val="00AC1BC6"/>
    <w:rsid w:val="00AC1C64"/>
    <w:rsid w:val="00AC5510"/>
    <w:rsid w:val="00AC5D99"/>
    <w:rsid w:val="00AD1F9A"/>
    <w:rsid w:val="00AD52FA"/>
    <w:rsid w:val="00AE3129"/>
    <w:rsid w:val="00AE47FF"/>
    <w:rsid w:val="00AE5F8B"/>
    <w:rsid w:val="00AF1616"/>
    <w:rsid w:val="00AF210B"/>
    <w:rsid w:val="00AF3280"/>
    <w:rsid w:val="00AF450F"/>
    <w:rsid w:val="00AF6F35"/>
    <w:rsid w:val="00AF721D"/>
    <w:rsid w:val="00B03190"/>
    <w:rsid w:val="00B10A6F"/>
    <w:rsid w:val="00B12383"/>
    <w:rsid w:val="00B16CF6"/>
    <w:rsid w:val="00B2036B"/>
    <w:rsid w:val="00B24C33"/>
    <w:rsid w:val="00B269E3"/>
    <w:rsid w:val="00B26F64"/>
    <w:rsid w:val="00B315CB"/>
    <w:rsid w:val="00B33500"/>
    <w:rsid w:val="00B35063"/>
    <w:rsid w:val="00B416D8"/>
    <w:rsid w:val="00B4184D"/>
    <w:rsid w:val="00B42FE8"/>
    <w:rsid w:val="00B4350F"/>
    <w:rsid w:val="00B512B9"/>
    <w:rsid w:val="00B55CE6"/>
    <w:rsid w:val="00B6359A"/>
    <w:rsid w:val="00B657FB"/>
    <w:rsid w:val="00B65BBA"/>
    <w:rsid w:val="00B668B4"/>
    <w:rsid w:val="00B66B25"/>
    <w:rsid w:val="00B7127C"/>
    <w:rsid w:val="00B755FA"/>
    <w:rsid w:val="00B823F7"/>
    <w:rsid w:val="00B8423E"/>
    <w:rsid w:val="00B86375"/>
    <w:rsid w:val="00B86604"/>
    <w:rsid w:val="00B9328A"/>
    <w:rsid w:val="00B95AB7"/>
    <w:rsid w:val="00B95BF5"/>
    <w:rsid w:val="00B97783"/>
    <w:rsid w:val="00BA3348"/>
    <w:rsid w:val="00BA5CC3"/>
    <w:rsid w:val="00BB0993"/>
    <w:rsid w:val="00BB5293"/>
    <w:rsid w:val="00BB64D3"/>
    <w:rsid w:val="00BB7A8E"/>
    <w:rsid w:val="00BC09DA"/>
    <w:rsid w:val="00BC0DCA"/>
    <w:rsid w:val="00BC0E01"/>
    <w:rsid w:val="00BC2A30"/>
    <w:rsid w:val="00BC31F3"/>
    <w:rsid w:val="00BC406A"/>
    <w:rsid w:val="00BC4BD3"/>
    <w:rsid w:val="00BC5361"/>
    <w:rsid w:val="00BD23EE"/>
    <w:rsid w:val="00BD267B"/>
    <w:rsid w:val="00BD2F7E"/>
    <w:rsid w:val="00BD34BB"/>
    <w:rsid w:val="00BD6F14"/>
    <w:rsid w:val="00BD72E2"/>
    <w:rsid w:val="00BD7A3C"/>
    <w:rsid w:val="00BE1C8D"/>
    <w:rsid w:val="00BE3D27"/>
    <w:rsid w:val="00BE5501"/>
    <w:rsid w:val="00BE7ABC"/>
    <w:rsid w:val="00BE7F56"/>
    <w:rsid w:val="00BF1F69"/>
    <w:rsid w:val="00BF2EF2"/>
    <w:rsid w:val="00BF3ED0"/>
    <w:rsid w:val="00C01373"/>
    <w:rsid w:val="00C028C8"/>
    <w:rsid w:val="00C0466E"/>
    <w:rsid w:val="00C04902"/>
    <w:rsid w:val="00C066FA"/>
    <w:rsid w:val="00C06E37"/>
    <w:rsid w:val="00C07A4B"/>
    <w:rsid w:val="00C135A0"/>
    <w:rsid w:val="00C13CB5"/>
    <w:rsid w:val="00C15C01"/>
    <w:rsid w:val="00C166AC"/>
    <w:rsid w:val="00C17710"/>
    <w:rsid w:val="00C2348E"/>
    <w:rsid w:val="00C26146"/>
    <w:rsid w:val="00C27610"/>
    <w:rsid w:val="00C27614"/>
    <w:rsid w:val="00C30298"/>
    <w:rsid w:val="00C31055"/>
    <w:rsid w:val="00C32371"/>
    <w:rsid w:val="00C32CBA"/>
    <w:rsid w:val="00C33332"/>
    <w:rsid w:val="00C353B9"/>
    <w:rsid w:val="00C37B24"/>
    <w:rsid w:val="00C37D62"/>
    <w:rsid w:val="00C4195C"/>
    <w:rsid w:val="00C43063"/>
    <w:rsid w:val="00C438D2"/>
    <w:rsid w:val="00C466A1"/>
    <w:rsid w:val="00C52241"/>
    <w:rsid w:val="00C525F0"/>
    <w:rsid w:val="00C546B8"/>
    <w:rsid w:val="00C563B6"/>
    <w:rsid w:val="00C61FA6"/>
    <w:rsid w:val="00C6243B"/>
    <w:rsid w:val="00C644F6"/>
    <w:rsid w:val="00C654B9"/>
    <w:rsid w:val="00C65CCD"/>
    <w:rsid w:val="00C66564"/>
    <w:rsid w:val="00C70483"/>
    <w:rsid w:val="00C7051F"/>
    <w:rsid w:val="00C74A69"/>
    <w:rsid w:val="00C802B6"/>
    <w:rsid w:val="00C806EF"/>
    <w:rsid w:val="00C80B8F"/>
    <w:rsid w:val="00C828A8"/>
    <w:rsid w:val="00C85300"/>
    <w:rsid w:val="00C866AE"/>
    <w:rsid w:val="00C94A5A"/>
    <w:rsid w:val="00C968D1"/>
    <w:rsid w:val="00CA2222"/>
    <w:rsid w:val="00CA3A1C"/>
    <w:rsid w:val="00CA559A"/>
    <w:rsid w:val="00CA71B4"/>
    <w:rsid w:val="00CB201C"/>
    <w:rsid w:val="00CB29A1"/>
    <w:rsid w:val="00CB2C31"/>
    <w:rsid w:val="00CB361A"/>
    <w:rsid w:val="00CC01A2"/>
    <w:rsid w:val="00CC38AF"/>
    <w:rsid w:val="00CC4099"/>
    <w:rsid w:val="00CD3DAC"/>
    <w:rsid w:val="00CD480F"/>
    <w:rsid w:val="00CD66F5"/>
    <w:rsid w:val="00CE21E6"/>
    <w:rsid w:val="00CE2C24"/>
    <w:rsid w:val="00CE3474"/>
    <w:rsid w:val="00CE598F"/>
    <w:rsid w:val="00CF052C"/>
    <w:rsid w:val="00CF07F8"/>
    <w:rsid w:val="00CF373A"/>
    <w:rsid w:val="00CF5CBE"/>
    <w:rsid w:val="00CF64D0"/>
    <w:rsid w:val="00CF72C1"/>
    <w:rsid w:val="00D0125D"/>
    <w:rsid w:val="00D01FE6"/>
    <w:rsid w:val="00D057C8"/>
    <w:rsid w:val="00D06ED4"/>
    <w:rsid w:val="00D10921"/>
    <w:rsid w:val="00D1408B"/>
    <w:rsid w:val="00D1503B"/>
    <w:rsid w:val="00D1720A"/>
    <w:rsid w:val="00D20667"/>
    <w:rsid w:val="00D207E2"/>
    <w:rsid w:val="00D21212"/>
    <w:rsid w:val="00D21678"/>
    <w:rsid w:val="00D22429"/>
    <w:rsid w:val="00D244A6"/>
    <w:rsid w:val="00D244E0"/>
    <w:rsid w:val="00D25A4E"/>
    <w:rsid w:val="00D26CBB"/>
    <w:rsid w:val="00D306A3"/>
    <w:rsid w:val="00D329DB"/>
    <w:rsid w:val="00D334A2"/>
    <w:rsid w:val="00D337C4"/>
    <w:rsid w:val="00D33E50"/>
    <w:rsid w:val="00D34934"/>
    <w:rsid w:val="00D356E3"/>
    <w:rsid w:val="00D37DEA"/>
    <w:rsid w:val="00D41CA9"/>
    <w:rsid w:val="00D42BF5"/>
    <w:rsid w:val="00D456BA"/>
    <w:rsid w:val="00D45AD4"/>
    <w:rsid w:val="00D46166"/>
    <w:rsid w:val="00D4736F"/>
    <w:rsid w:val="00D50A01"/>
    <w:rsid w:val="00D5384D"/>
    <w:rsid w:val="00D54120"/>
    <w:rsid w:val="00D56033"/>
    <w:rsid w:val="00D6012C"/>
    <w:rsid w:val="00D614F8"/>
    <w:rsid w:val="00D662E6"/>
    <w:rsid w:val="00D664C5"/>
    <w:rsid w:val="00D67253"/>
    <w:rsid w:val="00D702C8"/>
    <w:rsid w:val="00D70672"/>
    <w:rsid w:val="00D71E20"/>
    <w:rsid w:val="00D71F9A"/>
    <w:rsid w:val="00D73109"/>
    <w:rsid w:val="00D75F33"/>
    <w:rsid w:val="00D82A14"/>
    <w:rsid w:val="00D82BB8"/>
    <w:rsid w:val="00D82F86"/>
    <w:rsid w:val="00D8395C"/>
    <w:rsid w:val="00D86D79"/>
    <w:rsid w:val="00D86E0B"/>
    <w:rsid w:val="00D87764"/>
    <w:rsid w:val="00D87F92"/>
    <w:rsid w:val="00D91491"/>
    <w:rsid w:val="00D95358"/>
    <w:rsid w:val="00D956F4"/>
    <w:rsid w:val="00D96BEB"/>
    <w:rsid w:val="00D97F60"/>
    <w:rsid w:val="00DA1437"/>
    <w:rsid w:val="00DA63BF"/>
    <w:rsid w:val="00DA7163"/>
    <w:rsid w:val="00DB1593"/>
    <w:rsid w:val="00DB4686"/>
    <w:rsid w:val="00DB703C"/>
    <w:rsid w:val="00DC4046"/>
    <w:rsid w:val="00DC54E1"/>
    <w:rsid w:val="00DD007E"/>
    <w:rsid w:val="00DD116D"/>
    <w:rsid w:val="00DD365F"/>
    <w:rsid w:val="00DD5985"/>
    <w:rsid w:val="00DD5E82"/>
    <w:rsid w:val="00DE01B2"/>
    <w:rsid w:val="00DE249E"/>
    <w:rsid w:val="00DE34A8"/>
    <w:rsid w:val="00DE3BCF"/>
    <w:rsid w:val="00DE43CE"/>
    <w:rsid w:val="00DE4F27"/>
    <w:rsid w:val="00DE7C50"/>
    <w:rsid w:val="00DF0563"/>
    <w:rsid w:val="00DF09C1"/>
    <w:rsid w:val="00DF14D3"/>
    <w:rsid w:val="00DF26A7"/>
    <w:rsid w:val="00DF295D"/>
    <w:rsid w:val="00DF3EC1"/>
    <w:rsid w:val="00DF4BB0"/>
    <w:rsid w:val="00DF4BD1"/>
    <w:rsid w:val="00DF4C72"/>
    <w:rsid w:val="00DF76BA"/>
    <w:rsid w:val="00E004C8"/>
    <w:rsid w:val="00E00DF7"/>
    <w:rsid w:val="00E014D0"/>
    <w:rsid w:val="00E041E4"/>
    <w:rsid w:val="00E04348"/>
    <w:rsid w:val="00E07B9F"/>
    <w:rsid w:val="00E12F5C"/>
    <w:rsid w:val="00E1427B"/>
    <w:rsid w:val="00E161CB"/>
    <w:rsid w:val="00E16A23"/>
    <w:rsid w:val="00E16BF4"/>
    <w:rsid w:val="00E16F7E"/>
    <w:rsid w:val="00E175E3"/>
    <w:rsid w:val="00E20AA8"/>
    <w:rsid w:val="00E21DAF"/>
    <w:rsid w:val="00E23B70"/>
    <w:rsid w:val="00E24668"/>
    <w:rsid w:val="00E27C29"/>
    <w:rsid w:val="00E27D6D"/>
    <w:rsid w:val="00E31ED3"/>
    <w:rsid w:val="00E35200"/>
    <w:rsid w:val="00E407DE"/>
    <w:rsid w:val="00E42137"/>
    <w:rsid w:val="00E42EC4"/>
    <w:rsid w:val="00E44258"/>
    <w:rsid w:val="00E47890"/>
    <w:rsid w:val="00E61FDB"/>
    <w:rsid w:val="00E62CBB"/>
    <w:rsid w:val="00E65AD0"/>
    <w:rsid w:val="00E65E85"/>
    <w:rsid w:val="00E6679E"/>
    <w:rsid w:val="00E67239"/>
    <w:rsid w:val="00E67425"/>
    <w:rsid w:val="00E7223C"/>
    <w:rsid w:val="00E74117"/>
    <w:rsid w:val="00E755E4"/>
    <w:rsid w:val="00E81A21"/>
    <w:rsid w:val="00E8212F"/>
    <w:rsid w:val="00E82497"/>
    <w:rsid w:val="00E84346"/>
    <w:rsid w:val="00E846CA"/>
    <w:rsid w:val="00E851B4"/>
    <w:rsid w:val="00E85EAE"/>
    <w:rsid w:val="00E87161"/>
    <w:rsid w:val="00E921D9"/>
    <w:rsid w:val="00E9245C"/>
    <w:rsid w:val="00E92CD1"/>
    <w:rsid w:val="00E93841"/>
    <w:rsid w:val="00E93C63"/>
    <w:rsid w:val="00EA19DE"/>
    <w:rsid w:val="00EA297B"/>
    <w:rsid w:val="00EA327B"/>
    <w:rsid w:val="00EA4355"/>
    <w:rsid w:val="00EA4F06"/>
    <w:rsid w:val="00EA6F97"/>
    <w:rsid w:val="00EB2551"/>
    <w:rsid w:val="00EB61A3"/>
    <w:rsid w:val="00EC2147"/>
    <w:rsid w:val="00EC2DDE"/>
    <w:rsid w:val="00EC3E01"/>
    <w:rsid w:val="00EC4BEC"/>
    <w:rsid w:val="00EC63B9"/>
    <w:rsid w:val="00EC69FF"/>
    <w:rsid w:val="00ED0612"/>
    <w:rsid w:val="00ED0943"/>
    <w:rsid w:val="00ED2363"/>
    <w:rsid w:val="00ED2F66"/>
    <w:rsid w:val="00ED2FF4"/>
    <w:rsid w:val="00ED551C"/>
    <w:rsid w:val="00EE2F4B"/>
    <w:rsid w:val="00EE3F68"/>
    <w:rsid w:val="00EF362F"/>
    <w:rsid w:val="00EF4754"/>
    <w:rsid w:val="00EF5329"/>
    <w:rsid w:val="00EF697F"/>
    <w:rsid w:val="00EF6D54"/>
    <w:rsid w:val="00F01490"/>
    <w:rsid w:val="00F0401C"/>
    <w:rsid w:val="00F06691"/>
    <w:rsid w:val="00F14B91"/>
    <w:rsid w:val="00F17971"/>
    <w:rsid w:val="00F218E8"/>
    <w:rsid w:val="00F22693"/>
    <w:rsid w:val="00F25957"/>
    <w:rsid w:val="00F33B2B"/>
    <w:rsid w:val="00F341AA"/>
    <w:rsid w:val="00F34F4B"/>
    <w:rsid w:val="00F41C80"/>
    <w:rsid w:val="00F47967"/>
    <w:rsid w:val="00F5189D"/>
    <w:rsid w:val="00F51D00"/>
    <w:rsid w:val="00F52A78"/>
    <w:rsid w:val="00F539B8"/>
    <w:rsid w:val="00F565BF"/>
    <w:rsid w:val="00F6566C"/>
    <w:rsid w:val="00F6590C"/>
    <w:rsid w:val="00F65C54"/>
    <w:rsid w:val="00F666E1"/>
    <w:rsid w:val="00F66A10"/>
    <w:rsid w:val="00F67B32"/>
    <w:rsid w:val="00F700FA"/>
    <w:rsid w:val="00F72146"/>
    <w:rsid w:val="00F73476"/>
    <w:rsid w:val="00F73EF3"/>
    <w:rsid w:val="00F75883"/>
    <w:rsid w:val="00F75D29"/>
    <w:rsid w:val="00F854B7"/>
    <w:rsid w:val="00F85863"/>
    <w:rsid w:val="00F87335"/>
    <w:rsid w:val="00F9377F"/>
    <w:rsid w:val="00F95182"/>
    <w:rsid w:val="00F96577"/>
    <w:rsid w:val="00F965C2"/>
    <w:rsid w:val="00FA35D6"/>
    <w:rsid w:val="00FA431F"/>
    <w:rsid w:val="00FB2353"/>
    <w:rsid w:val="00FB2A57"/>
    <w:rsid w:val="00FB2C2B"/>
    <w:rsid w:val="00FB40BB"/>
    <w:rsid w:val="00FB5C69"/>
    <w:rsid w:val="00FB6D76"/>
    <w:rsid w:val="00FB6DEC"/>
    <w:rsid w:val="00FC1320"/>
    <w:rsid w:val="00FC1FCC"/>
    <w:rsid w:val="00FC45FA"/>
    <w:rsid w:val="00FC59C3"/>
    <w:rsid w:val="00FD0905"/>
    <w:rsid w:val="00FD1E34"/>
    <w:rsid w:val="00FD3AFE"/>
    <w:rsid w:val="00FD57FE"/>
    <w:rsid w:val="00FE090F"/>
    <w:rsid w:val="00FE32C8"/>
    <w:rsid w:val="00FE502C"/>
    <w:rsid w:val="00FF0B99"/>
    <w:rsid w:val="00FF4C57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1B15BF"/>
  <w15:docId w15:val="{27170E7F-9F5F-40FB-8ECC-B9F9AC5E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18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063"/>
  </w:style>
  <w:style w:type="paragraph" w:styleId="Heading1">
    <w:name w:val="heading 1"/>
    <w:basedOn w:val="Normal"/>
    <w:next w:val="Normal"/>
    <w:link w:val="Heading1Char"/>
    <w:uiPriority w:val="9"/>
    <w:qFormat/>
    <w:rsid w:val="00741AC1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AC1"/>
    <w:pPr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AC1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F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6D8"/>
    <w:pPr>
      <w:ind w:left="720"/>
      <w:contextualSpacing/>
    </w:pPr>
  </w:style>
  <w:style w:type="paragraph" w:customStyle="1" w:styleId="numberedpara">
    <w:name w:val="numbered para"/>
    <w:basedOn w:val="Normal"/>
    <w:rsid w:val="00154704"/>
    <w:pPr>
      <w:numPr>
        <w:numId w:val="1"/>
      </w:numPr>
      <w:spacing w:after="24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E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E92"/>
  </w:style>
  <w:style w:type="paragraph" w:styleId="Footer">
    <w:name w:val="footer"/>
    <w:basedOn w:val="Normal"/>
    <w:link w:val="FooterChar"/>
    <w:uiPriority w:val="99"/>
    <w:unhideWhenUsed/>
    <w:rsid w:val="00EB6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1A3"/>
    <w:rPr>
      <w:rFonts w:ascii="Arial" w:hAnsi="Arial"/>
    </w:rPr>
  </w:style>
  <w:style w:type="paragraph" w:customStyle="1" w:styleId="legrhs1">
    <w:name w:val="legrhs1"/>
    <w:basedOn w:val="Normal"/>
    <w:rsid w:val="002F0C6E"/>
    <w:pPr>
      <w:shd w:val="clear" w:color="auto" w:fill="FFFFFF"/>
      <w:spacing w:after="120" w:line="360" w:lineRule="atLeas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amendquote1">
    <w:name w:val="legamendquote1"/>
    <w:basedOn w:val="DefaultParagraphFont"/>
    <w:rsid w:val="002F0C6E"/>
    <w:rPr>
      <w:b w:val="0"/>
      <w:bCs w:val="0"/>
      <w:i w:val="0"/>
      <w:iCs w:val="0"/>
    </w:rPr>
  </w:style>
  <w:style w:type="character" w:customStyle="1" w:styleId="legds2">
    <w:name w:val="legds2"/>
    <w:basedOn w:val="DefaultParagraphFont"/>
    <w:rsid w:val="002F0C6E"/>
    <w:rPr>
      <w:vanish w:val="0"/>
      <w:webHidden w:val="0"/>
      <w:specVanish w:val="0"/>
    </w:rPr>
  </w:style>
  <w:style w:type="paragraph" w:customStyle="1" w:styleId="legclearfix2">
    <w:name w:val="legclearfix2"/>
    <w:basedOn w:val="Normal"/>
    <w:rsid w:val="002F0C6E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amendingtext">
    <w:name w:val="legamendingtext"/>
    <w:basedOn w:val="DefaultParagraphFont"/>
    <w:rsid w:val="002F0C6E"/>
  </w:style>
  <w:style w:type="paragraph" w:styleId="FootnoteText">
    <w:name w:val="footnote text"/>
    <w:basedOn w:val="Normal"/>
    <w:link w:val="FootnoteTextChar"/>
    <w:uiPriority w:val="99"/>
    <w:semiHidden/>
    <w:unhideWhenUsed/>
    <w:rsid w:val="00F34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F4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4F4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4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42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421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218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4066"/>
    <w:rPr>
      <w:color w:val="0000FF" w:themeColor="hyperlink"/>
      <w:u w:val="single"/>
    </w:rPr>
  </w:style>
  <w:style w:type="paragraph" w:customStyle="1" w:styleId="StyleNumbered">
    <w:name w:val="Style Numbered"/>
    <w:basedOn w:val="Normal"/>
    <w:rsid w:val="001022B1"/>
    <w:pPr>
      <w:numPr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B74E0"/>
    <w:pPr>
      <w:spacing w:after="200"/>
    </w:pPr>
    <w:rPr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41AC1"/>
    <w:rPr>
      <w:rFonts w:ascii="Arial" w:hAnsi="Arial"/>
      <w:b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41AC1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220"/>
    </w:pPr>
    <w:rPr>
      <w:rFonts w:asciiTheme="minorHAnsi" w:eastAsiaTheme="minorEastAsia" w:hAnsiTheme="minorHAnsi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1AC1"/>
    <w:pPr>
      <w:spacing w:after="100" w:line="276" w:lineRule="auto"/>
    </w:pPr>
    <w:rPr>
      <w:rFonts w:asciiTheme="minorHAnsi" w:eastAsiaTheme="minorEastAsia" w:hAnsiTheme="minorHAnsi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440"/>
    </w:pPr>
    <w:rPr>
      <w:rFonts w:asciiTheme="minorHAnsi" w:eastAsiaTheme="minorEastAsia" w:hAnsiTheme="minorHAnsi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41AC1"/>
    <w:rPr>
      <w:rFonts w:ascii="Arial" w:hAnsi="Arial"/>
      <w:b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41AC1"/>
    <w:rPr>
      <w:rFonts w:ascii="Arial" w:hAnsi="Arial"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4342D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2C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C3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B4350F"/>
    <w:rPr>
      <w:rFonts w:ascii="Arial" w:hAnsi="Arial"/>
    </w:rPr>
  </w:style>
  <w:style w:type="paragraph" w:customStyle="1" w:styleId="Default">
    <w:name w:val="Default"/>
    <w:rsid w:val="00731944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en-US"/>
    </w:rPr>
  </w:style>
  <w:style w:type="paragraph" w:customStyle="1" w:styleId="chapter">
    <w:name w:val="chapter"/>
    <w:basedOn w:val="Normal"/>
    <w:link w:val="chapterChar"/>
    <w:rsid w:val="00CE2C24"/>
    <w:pPr>
      <w:spacing w:line="288" w:lineRule="auto"/>
    </w:pPr>
    <w:rPr>
      <w:rFonts w:eastAsia="Times New Roman" w:cs="Times New Roman"/>
      <w:b/>
      <w:sz w:val="72"/>
      <w:szCs w:val="20"/>
      <w:lang w:val="x-none" w:eastAsia="x-none"/>
    </w:rPr>
  </w:style>
  <w:style w:type="character" w:customStyle="1" w:styleId="chapterChar">
    <w:name w:val="chapter Char"/>
    <w:link w:val="chapter"/>
    <w:locked/>
    <w:rsid w:val="00CE2C24"/>
    <w:rPr>
      <w:rFonts w:eastAsia="Times New Roman" w:cs="Times New Roman"/>
      <w:b/>
      <w:sz w:val="72"/>
      <w:szCs w:val="20"/>
      <w:lang w:val="x-none" w:eastAsia="x-none"/>
    </w:rPr>
  </w:style>
  <w:style w:type="paragraph" w:customStyle="1" w:styleId="subhead">
    <w:name w:val="subhead"/>
    <w:basedOn w:val="Normal"/>
    <w:rsid w:val="00CE2C24"/>
    <w:pPr>
      <w:shd w:val="clear" w:color="000080" w:fill="auto"/>
      <w:spacing w:after="6" w:line="276" w:lineRule="auto"/>
    </w:pPr>
    <w:rPr>
      <w:rFonts w:eastAsia="Times New Roman" w:cs="Times New Roman"/>
      <w:b/>
      <w:color w:val="000000"/>
      <w:sz w:val="32"/>
      <w:szCs w:val="40"/>
    </w:rPr>
  </w:style>
  <w:style w:type="paragraph" w:customStyle="1" w:styleId="cover">
    <w:name w:val="cover"/>
    <w:basedOn w:val="Normal"/>
    <w:rsid w:val="00CE2C24"/>
    <w:pPr>
      <w:spacing w:line="288" w:lineRule="auto"/>
    </w:pPr>
    <w:rPr>
      <w:rFonts w:eastAsia="Times New Roman" w:cs="Arial"/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9D2260"/>
    <w:rPr>
      <w:color w:val="808080"/>
    </w:rPr>
  </w:style>
  <w:style w:type="paragraph" w:styleId="BodyText">
    <w:name w:val="Body Text"/>
    <w:basedOn w:val="Normal"/>
    <w:link w:val="BodyTextChar"/>
    <w:uiPriority w:val="99"/>
    <w:qFormat/>
    <w:rsid w:val="00471E89"/>
    <w:pPr>
      <w:widowControl w:val="0"/>
      <w:autoSpaceDE w:val="0"/>
      <w:autoSpaceDN w:val="0"/>
    </w:pPr>
    <w:rPr>
      <w:rFonts w:eastAsia="Times New Roman" w:cs="Trebuchet MS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71E89"/>
    <w:rPr>
      <w:rFonts w:eastAsia="Times New Roman" w:cs="Trebuchet MS"/>
      <w:sz w:val="22"/>
      <w:szCs w:val="22"/>
      <w:lang w:val="en-US"/>
    </w:rPr>
  </w:style>
  <w:style w:type="character" w:customStyle="1" w:styleId="MSGENFONTSTYLENAMETEMPLATEROLEMSGENFONTSTYLENAMEBYROLETEXT2">
    <w:name w:val="MSG_EN_FONT_STYLE_NAME_TEMPLATE_ROLE MSG_EN_FONT_STYLE_NAME_BY_ROLE_TEXT|2_"/>
    <w:basedOn w:val="DefaultParagraphFont"/>
    <w:rsid w:val="00AC1C6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|1_"/>
    <w:basedOn w:val="DefaultParagraphFont"/>
    <w:link w:val="MSGENFONTSTYLENAMETEMPLATEROLELEVELMSGENFONTSTYLENAMEBYROLEHEADING110"/>
    <w:rsid w:val="00AC1C64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MSGENFONTSTYLENAMETEMPLATEROLEMSGENFONTSTYLENAMEBYROLETEXT2MSGENFONTSTYLEMODIFERBOLD">
    <w:name w:val="MSG_EN_FONT_STYLE_NAME_TEMPLATE_ROLE MSG_EN_FONT_STYLE_NAME_BY_ROLE_TEXT|2 + MSG_EN_FONT_STYLE_MODIFER_BOLD"/>
    <w:basedOn w:val="MSGENFONTSTYLENAMETEMPLATEROLEMSGENFONTSTYLENAMEBYROLETEXT2"/>
    <w:rsid w:val="00AC1C6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GB" w:eastAsia="en-GB" w:bidi="en-GB"/>
    </w:rPr>
  </w:style>
  <w:style w:type="character" w:customStyle="1" w:styleId="MSGENFONTSTYLENAMETEMPLATEROLEMSGENFONTSTYLENAMEBYROLETEXT20">
    <w:name w:val="MSG_EN_FONT_STYLE_NAME_TEMPLATE_ROLE MSG_EN_FONT_STYLE_NAME_BY_ROLE_TEXT|2"/>
    <w:basedOn w:val="MSGENFONTSTYLENAMETEMPLATEROLEMSGENFONTSTYLENAMEBYROLETEXT2"/>
    <w:rsid w:val="00AC1C6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GB" w:eastAsia="en-GB" w:bidi="en-GB"/>
    </w:rPr>
  </w:style>
  <w:style w:type="character" w:customStyle="1" w:styleId="MSGENFONTSTYLENAMETEMPLATEROLEMSGENFONTSTYLENAMEBYROLETEXT3">
    <w:name w:val="MSG_EN_FONT_STYLE_NAME_TEMPLATE_ROLE MSG_EN_FONT_STYLE_NAME_BY_ROLE_TEXT|3_"/>
    <w:basedOn w:val="DefaultParagraphFont"/>
    <w:rsid w:val="00AC1C64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MSGENFONTSTYLENAMEBYROLETEXT30">
    <w:name w:val="MSG_EN_FONT_STYLE_NAME_TEMPLATE_ROLE MSG_EN_FONT_STYLE_NAME_BY_ROLE_TEXT|3"/>
    <w:basedOn w:val="MSGENFONTSTYLENAMETEMPLATEROLEMSGENFONTSTYLENAMEBYROLETEXT3"/>
    <w:rsid w:val="00AC1C6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GB" w:eastAsia="en-GB" w:bidi="en-GB"/>
    </w:rPr>
  </w:style>
  <w:style w:type="paragraph" w:customStyle="1" w:styleId="MSGENFONTSTYLENAMETEMPLATEROLELEVELMSGENFONTSTYLENAMEBYROLEHEADING110">
    <w:name w:val="MSG_EN_FONT_STYLE_NAME_TEMPLATE_ROLE_LEVEL MSG_EN_FONT_STYLE_NAME_BY_ROLE_HEADING 1|1"/>
    <w:basedOn w:val="Normal"/>
    <w:link w:val="MSGENFONTSTYLENAMETEMPLATEROLELEVELMSGENFONTSTYLENAMEBYROLEHEADING11"/>
    <w:rsid w:val="00AC1C64"/>
    <w:pPr>
      <w:widowControl w:val="0"/>
      <w:shd w:val="clear" w:color="auto" w:fill="FFFFFF"/>
      <w:spacing w:before="480" w:line="318" w:lineRule="exact"/>
      <w:outlineLvl w:val="0"/>
    </w:pPr>
    <w:rPr>
      <w:rFonts w:ascii="Calibri" w:eastAsia="Calibri" w:hAnsi="Calibri" w:cs="Calibri"/>
      <w:b/>
      <w:bCs/>
      <w:sz w:val="26"/>
      <w:szCs w:val="26"/>
    </w:rPr>
  </w:style>
  <w:style w:type="table" w:customStyle="1" w:styleId="TableGrid1">
    <w:name w:val="Table Grid1"/>
    <w:basedOn w:val="TableNormal"/>
    <w:next w:val="TableGrid"/>
    <w:rsid w:val="00255D5A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dyTextJustified">
    <w:name w:val="Style Body Text + Justified"/>
    <w:basedOn w:val="BodyText"/>
    <w:rsid w:val="00D42BF5"/>
    <w:pPr>
      <w:widowControl/>
      <w:autoSpaceDE/>
      <w:autoSpaceDN/>
      <w:spacing w:after="120"/>
      <w:ind w:left="567"/>
      <w:jc w:val="both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xl51">
    <w:name w:val="xl51"/>
    <w:basedOn w:val="Normal"/>
    <w:rsid w:val="000271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2">
    <w:name w:val="xl62"/>
    <w:basedOn w:val="Normal"/>
    <w:rsid w:val="000271E7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2"/>
      <w:szCs w:val="22"/>
      <w:lang w:val="en-US"/>
    </w:rPr>
  </w:style>
  <w:style w:type="paragraph" w:customStyle="1" w:styleId="xl63">
    <w:name w:val="xl63"/>
    <w:basedOn w:val="Normal"/>
    <w:rsid w:val="000271E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2"/>
      <w:szCs w:val="22"/>
      <w:lang w:val="en-US"/>
    </w:rPr>
  </w:style>
  <w:style w:type="paragraph" w:styleId="EndnoteText">
    <w:name w:val="endnote text"/>
    <w:basedOn w:val="Normal"/>
    <w:link w:val="EndnoteTextChar"/>
    <w:semiHidden/>
    <w:unhideWhenUsed/>
    <w:rsid w:val="00163646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6364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1636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65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06531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4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CBA6D5ACB243C5883AC53EF4918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D05FC-F782-498A-AFB6-F56E3CE8F536}"/>
      </w:docPartPr>
      <w:docPartBody>
        <w:p w:rsidR="009B7D00" w:rsidRDefault="00B16694" w:rsidP="00B16694">
          <w:pPr>
            <w:pStyle w:val="68CBA6D5ACB243C5883AC53EF4918A297"/>
          </w:pPr>
          <w:r w:rsidRPr="005B62F8">
            <w:rPr>
              <w:rStyle w:val="PlaceholderText"/>
            </w:rPr>
            <w:t>Choose an item.</w:t>
          </w:r>
        </w:p>
      </w:docPartBody>
    </w:docPart>
    <w:docPart>
      <w:docPartPr>
        <w:name w:val="645A5992FB0F48BE90E53186A12B6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08419-C7EE-4074-98AB-B47D5AE2498F}"/>
      </w:docPartPr>
      <w:docPartBody>
        <w:p w:rsidR="009B7D00" w:rsidRDefault="00B16694" w:rsidP="00B16694">
          <w:pPr>
            <w:pStyle w:val="645A5992FB0F48BE90E53186A12B64984"/>
          </w:pPr>
          <w:r w:rsidRPr="005B62F8">
            <w:rPr>
              <w:rStyle w:val="PlaceholderText"/>
            </w:rPr>
            <w:t>Choose an item.</w:t>
          </w:r>
        </w:p>
      </w:docPartBody>
    </w:docPart>
    <w:docPart>
      <w:docPartPr>
        <w:name w:val="ABD345D267BA412DB9FD676C473BD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3DDCA-591B-4102-942B-1C6C508CEC7C}"/>
      </w:docPartPr>
      <w:docPartBody>
        <w:p w:rsidR="009B7D00" w:rsidRDefault="00B16694" w:rsidP="00B16694">
          <w:pPr>
            <w:pStyle w:val="ABD345D267BA412DB9FD676C473BD7463"/>
          </w:pPr>
          <w:r w:rsidRPr="005B62F8">
            <w:rPr>
              <w:rStyle w:val="PlaceholderText"/>
            </w:rPr>
            <w:t>Choose an item.</w:t>
          </w:r>
        </w:p>
      </w:docPartBody>
    </w:docPart>
    <w:docPart>
      <w:docPartPr>
        <w:name w:val="01D890378CF540CCACEE356704EF7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FF26A-2C49-4BFE-B367-DA292DC8EF03}"/>
      </w:docPartPr>
      <w:docPartBody>
        <w:p w:rsidR="009B7D00" w:rsidRDefault="00B16694" w:rsidP="00B16694">
          <w:pPr>
            <w:pStyle w:val="01D890378CF540CCACEE356704EF769A2"/>
          </w:pPr>
          <w:r w:rsidRPr="005B62F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tham-Bold"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00"/>
    <w:rsid w:val="00011DA7"/>
    <w:rsid w:val="00084483"/>
    <w:rsid w:val="001709A0"/>
    <w:rsid w:val="0017534D"/>
    <w:rsid w:val="001812DA"/>
    <w:rsid w:val="00203AE7"/>
    <w:rsid w:val="00225A57"/>
    <w:rsid w:val="0026175E"/>
    <w:rsid w:val="00263310"/>
    <w:rsid w:val="002A7A72"/>
    <w:rsid w:val="00371CDB"/>
    <w:rsid w:val="00386571"/>
    <w:rsid w:val="003950D4"/>
    <w:rsid w:val="003C0BBF"/>
    <w:rsid w:val="00403BEA"/>
    <w:rsid w:val="00440C5F"/>
    <w:rsid w:val="004F5F28"/>
    <w:rsid w:val="00584FEE"/>
    <w:rsid w:val="005F328B"/>
    <w:rsid w:val="00716477"/>
    <w:rsid w:val="00737ED2"/>
    <w:rsid w:val="00777A49"/>
    <w:rsid w:val="0079367C"/>
    <w:rsid w:val="007B57B0"/>
    <w:rsid w:val="00845628"/>
    <w:rsid w:val="00847C05"/>
    <w:rsid w:val="008A5A7C"/>
    <w:rsid w:val="008E0891"/>
    <w:rsid w:val="008F7155"/>
    <w:rsid w:val="00935B01"/>
    <w:rsid w:val="00970887"/>
    <w:rsid w:val="00976717"/>
    <w:rsid w:val="00980687"/>
    <w:rsid w:val="00995DB1"/>
    <w:rsid w:val="009B7D00"/>
    <w:rsid w:val="00A05E28"/>
    <w:rsid w:val="00A079C8"/>
    <w:rsid w:val="00AC22D7"/>
    <w:rsid w:val="00B044ED"/>
    <w:rsid w:val="00B15A92"/>
    <w:rsid w:val="00B16694"/>
    <w:rsid w:val="00B67ACD"/>
    <w:rsid w:val="00B77DBC"/>
    <w:rsid w:val="00C27C1D"/>
    <w:rsid w:val="00C5226F"/>
    <w:rsid w:val="00D064D5"/>
    <w:rsid w:val="00D103B8"/>
    <w:rsid w:val="00D328F9"/>
    <w:rsid w:val="00DE5B47"/>
    <w:rsid w:val="00E668E8"/>
    <w:rsid w:val="00EB6613"/>
    <w:rsid w:val="00F03AA5"/>
    <w:rsid w:val="00F072A3"/>
    <w:rsid w:val="00F14382"/>
    <w:rsid w:val="00F558DE"/>
    <w:rsid w:val="00F613DC"/>
    <w:rsid w:val="00F84D02"/>
    <w:rsid w:val="00F868A7"/>
    <w:rsid w:val="00FE3EEC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EEC"/>
    <w:rPr>
      <w:color w:val="808080"/>
    </w:rPr>
  </w:style>
  <w:style w:type="paragraph" w:customStyle="1" w:styleId="68CBA6D5ACB243C5883AC53EF4918A297">
    <w:name w:val="68CBA6D5ACB243C5883AC53EF4918A297"/>
    <w:rsid w:val="00B16694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645A5992FB0F48BE90E53186A12B64984">
    <w:name w:val="645A5992FB0F48BE90E53186A12B64984"/>
    <w:rsid w:val="00B16694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ABD345D267BA412DB9FD676C473BD7463">
    <w:name w:val="ABD345D267BA412DB9FD676C473BD7463"/>
    <w:rsid w:val="00B16694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01D890378CF540CCACEE356704EF769A2">
    <w:name w:val="01D890378CF540CCACEE356704EF769A2"/>
    <w:rsid w:val="00B16694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E4474DFBC37144B685678176C0474EA7">
    <w:name w:val="E4474DFBC37144B685678176C0474EA7"/>
    <w:rsid w:val="00FE3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34379-A66A-40F0-9181-AAA1E53C94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75ABD7-BF05-4174-AABC-8FB7C192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Legal Aid Board</Company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osbornejo</dc:creator>
  <cp:lastModifiedBy>Andrew McIntosh</cp:lastModifiedBy>
  <cp:revision>5</cp:revision>
  <cp:lastPrinted>2019-09-10T15:34:00Z</cp:lastPrinted>
  <dcterms:created xsi:type="dcterms:W3CDTF">2021-03-08T17:39:00Z</dcterms:created>
  <dcterms:modified xsi:type="dcterms:W3CDTF">2021-03-09T10:10:00Z</dcterms:modified>
</cp:coreProperties>
</file>