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60" w:rsidRPr="00B55357" w:rsidRDefault="00A620A4" w:rsidP="004434BF">
      <w:bookmarkStart w:id="0" w:name="_GoBack"/>
      <w:bookmarkEnd w:id="0"/>
      <w:r>
        <w:rPr>
          <w:noProof/>
          <w:lang w:eastAsia="en-GB"/>
        </w:rPr>
        <w:drawing>
          <wp:anchor distT="0" distB="0" distL="114300" distR="114300" simplePos="0" relativeHeight="251659264" behindDoc="1" locked="0" layoutInCell="1" allowOverlap="1" wp14:anchorId="5609051B" wp14:editId="3315BE84">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434BF">
        <w:tc>
          <w:tcPr>
            <w:tcW w:w="2405"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434BF">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187849" w:rsidP="00BD1DF7">
            <w:pPr>
              <w:rPr>
                <w:highlight w:val="yellow"/>
              </w:rPr>
            </w:pPr>
            <w:r>
              <w:t>21st</w:t>
            </w:r>
            <w:r w:rsidR="00B84F7A">
              <w:t xml:space="preserve"> </w:t>
            </w:r>
            <w:r w:rsidR="007133F0">
              <w:t>March 2022</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434BF">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4434BF"/>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F77A60" w:rsidP="00461223">
            <w:pPr>
              <w:rPr>
                <w:lang w:val="fr-FR"/>
              </w:rPr>
            </w:pPr>
            <w:r w:rsidRPr="00BC75B3">
              <w:rPr>
                <w:lang w:val="fr-FR"/>
              </w:rPr>
              <w:t>Marie-Louise-Fox &amp; Graeme Hill</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sdt>
          <w:sdtPr>
            <w:id w:val="655648332"/>
            <w:placeholder>
              <w:docPart w:val="4E441BB6E5164386A38EA0A35ACC76B6"/>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F77A60" w:rsidRPr="00BC75B3" w:rsidRDefault="00F77A60" w:rsidP="00461223">
                <w:r w:rsidRPr="00BC75B3">
                  <w:t>Marie-Louise Fox</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F77A60" w:rsidP="00461223">
            <w:r w:rsidRPr="00BC75B3">
              <w:t>Marie-Louise Fox</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F77A60" w:rsidP="00461223">
            <w:r w:rsidRPr="00BC75B3">
              <w:t>foxma@slab.org.uk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321038" w:rsidRPr="00321038" w:rsidRDefault="00321038" w:rsidP="00321038">
            <w:pPr>
              <w:numPr>
                <w:ilvl w:val="0"/>
                <w:numId w:val="4"/>
              </w:numPr>
            </w:pPr>
            <w:r w:rsidRPr="00321038">
              <w:t>We deliver a high quality user focussed service</w:t>
            </w:r>
          </w:p>
          <w:p w:rsidR="00321038" w:rsidRPr="00321038" w:rsidRDefault="00321038" w:rsidP="00321038">
            <w:pPr>
              <w:numPr>
                <w:ilvl w:val="0"/>
                <w:numId w:val="4"/>
              </w:numPr>
            </w:pPr>
            <w:r w:rsidRPr="00321038">
              <w:t>We embed ways of working across the organisation that enhance the quality, consistency and transparency of our decisions and delivery</w:t>
            </w:r>
          </w:p>
          <w:p w:rsidR="00F77A60" w:rsidRPr="00BC75B3" w:rsidRDefault="00321038" w:rsidP="00202FE4">
            <w:pPr>
              <w:numPr>
                <w:ilvl w:val="0"/>
                <w:numId w:val="4"/>
              </w:numPr>
            </w:pPr>
            <w:r w:rsidRPr="00321038">
              <w:t>We engage with users and delivery partners across the legal aid and justice system to inform good design of our system and services</w:t>
            </w:r>
          </w:p>
        </w:tc>
      </w:tr>
      <w:tr w:rsidR="00BC75B3" w:rsidRPr="00BC75B3" w:rsidTr="00461223">
        <w:tc>
          <w:tcPr>
            <w:tcW w:w="9493" w:type="dxa"/>
            <w:gridSpan w:val="2"/>
          </w:tcPr>
          <w:p w:rsidR="00F77A60" w:rsidRPr="00BC75B3" w:rsidRDefault="00F77A60" w:rsidP="00202FE4">
            <w:r w:rsidRPr="00F51899">
              <w:t>The purpose of this paper is to report on operational performance as at</w:t>
            </w:r>
            <w:r w:rsidR="00BD1DF7">
              <w:t xml:space="preserve"> 31</w:t>
            </w:r>
            <w:r w:rsidR="00BD1DF7" w:rsidRPr="00BD1DF7">
              <w:rPr>
                <w:vertAlign w:val="superscript"/>
              </w:rPr>
              <w:t>st</w:t>
            </w:r>
            <w:r w:rsidR="00BD1DF7">
              <w:t xml:space="preserve"> </w:t>
            </w:r>
            <w:r w:rsidR="00202FE4">
              <w:t>January 2022</w:t>
            </w:r>
            <w:r w:rsidR="000C57D2">
              <w:t>1</w:t>
            </w:r>
            <w:r w:rsidRPr="00F51899">
              <w:t>.</w:t>
            </w:r>
            <w:r w:rsidR="00691EEF">
              <w:t xml:space="preserve"> It also seeks the Board’s </w:t>
            </w:r>
            <w:r w:rsidR="00691EEF" w:rsidRPr="00691EEF">
              <w:rPr>
                <w:b/>
              </w:rPr>
              <w:t>approval</w:t>
            </w:r>
            <w:r w:rsidR="00691EEF">
              <w:t xml:space="preserve"> to revise a small number of the performance benchmarks for 2022-23.</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461223">
            <w:r w:rsidRPr="00BC75B3">
              <w:t>The Board has previously agreed that this paper should be published as a matter of course.  It will be published on our website in due course.</w:t>
            </w:r>
          </w:p>
          <w:p w:rsidR="00F77A60" w:rsidRPr="00BC75B3" w:rsidRDefault="00F77A60" w:rsidP="00461223"/>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19555F">
              <w:t xml:space="preserve">November, December 2021 </w:t>
            </w:r>
            <w:r w:rsidR="004B2705">
              <w:t xml:space="preserve">and </w:t>
            </w:r>
            <w:r w:rsidR="0019555F">
              <w:t>January 2022</w:t>
            </w:r>
            <w:r w:rsidR="008107CC">
              <w:t xml:space="preserve"> </w:t>
            </w:r>
            <w:r w:rsidRPr="00283516">
              <w:t xml:space="preserve">as a whole. </w:t>
            </w:r>
          </w:p>
          <w:p w:rsidR="00283516" w:rsidRPr="00BE0BE8" w:rsidRDefault="00283516" w:rsidP="00461223">
            <w:pPr>
              <w:rPr>
                <w:color w:val="FF0000"/>
              </w:rPr>
            </w:pPr>
          </w:p>
          <w:p w:rsidR="00F77A60" w:rsidRPr="00561AF0" w:rsidRDefault="00F77A60" w:rsidP="00461223">
            <w:r w:rsidRPr="004937CF">
              <w:t xml:space="preserve">Applications – </w:t>
            </w:r>
            <w:r w:rsidRPr="00561AF0">
              <w:t>The performance ac</w:t>
            </w:r>
            <w:r w:rsidR="0018144C" w:rsidRPr="00561AF0">
              <w:t>ross Applications</w:t>
            </w:r>
            <w:r w:rsidRPr="00561AF0">
              <w:t xml:space="preserve"> was good and there are no particular concerns or issues to highlight.</w:t>
            </w:r>
          </w:p>
          <w:p w:rsidR="004D7E09" w:rsidRPr="002F51BE" w:rsidRDefault="004D7E09" w:rsidP="00461223">
            <w:pPr>
              <w:rPr>
                <w:color w:val="FF0000"/>
              </w:rPr>
            </w:pPr>
          </w:p>
          <w:p w:rsidR="00896A40" w:rsidRDefault="004D7E09" w:rsidP="00896A40">
            <w:pPr>
              <w:rPr>
                <w:color w:val="000000" w:themeColor="text1"/>
              </w:rPr>
            </w:pPr>
            <w:r w:rsidRPr="00223EA9">
              <w:rPr>
                <w:color w:val="000000" w:themeColor="text1"/>
              </w:rPr>
              <w:t>Accounts –</w:t>
            </w:r>
            <w:r w:rsidR="00E50647">
              <w:rPr>
                <w:color w:val="000000" w:themeColor="text1"/>
              </w:rPr>
              <w:t xml:space="preserve"> </w:t>
            </w:r>
            <w:r w:rsidR="00E50647" w:rsidRPr="005A4AE7">
              <w:rPr>
                <w:color w:val="000000" w:themeColor="text1"/>
              </w:rPr>
              <w:t xml:space="preserve">Performance remains in line with our expectations.  We have taken remedial action to address the areas where performance is being reported as ‘worse than’ the benchmark. </w:t>
            </w:r>
            <w:r w:rsidR="00E50647" w:rsidRPr="000375CC">
              <w:rPr>
                <w:color w:val="000000" w:themeColor="text1"/>
              </w:rPr>
              <w:t>However, it should be noted that it will take time before we see improvements stemming from these actions.</w:t>
            </w:r>
          </w:p>
          <w:p w:rsidR="00691EEF" w:rsidRDefault="00691EEF" w:rsidP="00896A40">
            <w:pPr>
              <w:rPr>
                <w:color w:val="000000" w:themeColor="text1"/>
              </w:rPr>
            </w:pPr>
          </w:p>
          <w:p w:rsidR="00691EEF" w:rsidRDefault="00691EEF" w:rsidP="00896A40">
            <w:pPr>
              <w:rPr>
                <w:color w:val="000000" w:themeColor="text1"/>
              </w:rPr>
            </w:pPr>
            <w:r>
              <w:rPr>
                <w:color w:val="000000" w:themeColor="text1"/>
              </w:rPr>
              <w:lastRenderedPageBreak/>
              <w:t>We have</w:t>
            </w:r>
            <w:r w:rsidRPr="0088718D">
              <w:rPr>
                <w:color w:val="000000" w:themeColor="text1"/>
              </w:rPr>
              <w:t xml:space="preserve"> reviewed the benchmarks for next year and the proposed changes are attached.</w:t>
            </w:r>
          </w:p>
          <w:p w:rsidR="00896A40" w:rsidRPr="00F44617" w:rsidRDefault="00896A40" w:rsidP="00896A40">
            <w:pPr>
              <w:rPr>
                <w:color w:val="00B0F0"/>
                <w:szCs w:val="24"/>
              </w:rPr>
            </w:pPr>
          </w:p>
        </w:tc>
      </w:tr>
    </w:tbl>
    <w:p w:rsidR="00086616" w:rsidRPr="00BC75B3" w:rsidRDefault="00086616" w:rsidP="00F77A60"/>
    <w:tbl>
      <w:tblPr>
        <w:tblStyle w:val="TableGrid"/>
        <w:tblW w:w="9493" w:type="dxa"/>
        <w:tblLook w:val="04A0" w:firstRow="1" w:lastRow="0" w:firstColumn="1" w:lastColumn="0" w:noHBand="0" w:noVBand="1"/>
      </w:tblPr>
      <w:tblGrid>
        <w:gridCol w:w="2410"/>
        <w:gridCol w:w="7083"/>
      </w:tblGrid>
      <w:tr w:rsidR="00BC75B3" w:rsidRPr="00BC75B3" w:rsidTr="00461223">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t xml:space="preserve">Previous Consideration </w:t>
            </w:r>
          </w:p>
        </w:tc>
      </w:tr>
      <w:tr w:rsidR="00BC75B3" w:rsidRPr="00BC75B3" w:rsidTr="00461223">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9A4FB2" w:rsidTr="00461223">
        <w:tc>
          <w:tcPr>
            <w:tcW w:w="2410" w:type="dxa"/>
            <w:tcBorders>
              <w:left w:val="single" w:sz="4" w:space="0" w:color="000000"/>
            </w:tcBorders>
          </w:tcPr>
          <w:p w:rsidR="00F77A60" w:rsidRPr="009A4FB2" w:rsidRDefault="00780489" w:rsidP="00461223">
            <w:pPr>
              <w:rPr>
                <w:color w:val="000000" w:themeColor="text1"/>
              </w:rPr>
            </w:pPr>
            <w:r w:rsidRPr="00780489">
              <w:rPr>
                <w:color w:val="000000" w:themeColor="text1"/>
              </w:rPr>
              <w:t>6th</w:t>
            </w:r>
            <w:r w:rsidR="00657598" w:rsidRPr="00780489">
              <w:rPr>
                <w:color w:val="000000" w:themeColor="text1"/>
              </w:rPr>
              <w:t xml:space="preserve"> </w:t>
            </w:r>
            <w:r w:rsidRPr="00780489">
              <w:rPr>
                <w:color w:val="000000" w:themeColor="text1"/>
              </w:rPr>
              <w:t>December</w:t>
            </w:r>
            <w:r w:rsidR="00657598" w:rsidRPr="00780489">
              <w:rPr>
                <w:color w:val="000000" w:themeColor="text1"/>
              </w:rPr>
              <w:t xml:space="preserve"> </w:t>
            </w:r>
            <w:r w:rsidR="006B1FFD" w:rsidRPr="00780489">
              <w:rPr>
                <w:color w:val="000000" w:themeColor="text1"/>
              </w:rPr>
              <w:t>2021</w:t>
            </w:r>
          </w:p>
          <w:p w:rsidR="00F77A60" w:rsidRPr="009A4FB2" w:rsidRDefault="00F77A60" w:rsidP="00461223">
            <w:pPr>
              <w:rPr>
                <w:color w:val="000000" w:themeColor="text1"/>
              </w:rPr>
            </w:pPr>
          </w:p>
        </w:tc>
        <w:tc>
          <w:tcPr>
            <w:tcW w:w="7083" w:type="dxa"/>
            <w:tcBorders>
              <w:left w:val="single" w:sz="4" w:space="0" w:color="000000"/>
            </w:tcBorders>
          </w:tcPr>
          <w:p w:rsidR="0019555F" w:rsidRPr="00561AF0" w:rsidRDefault="0019555F" w:rsidP="0019555F">
            <w:r w:rsidRPr="004937CF">
              <w:t xml:space="preserve">Applications – </w:t>
            </w:r>
            <w:r w:rsidRPr="00561AF0">
              <w:t>The performance across Applications was good and there are no particular concerns or issues to highlight.</w:t>
            </w:r>
          </w:p>
          <w:p w:rsidR="0019555F" w:rsidRPr="002F51BE" w:rsidRDefault="0019555F" w:rsidP="0019555F">
            <w:pPr>
              <w:rPr>
                <w:color w:val="FF0000"/>
              </w:rPr>
            </w:pPr>
          </w:p>
          <w:p w:rsidR="0019555F" w:rsidRPr="00223EA9" w:rsidRDefault="0019555F" w:rsidP="0019555F">
            <w:pPr>
              <w:rPr>
                <w:color w:val="000000" w:themeColor="text1"/>
              </w:rPr>
            </w:pPr>
            <w:r w:rsidRPr="00223EA9">
              <w:rPr>
                <w:color w:val="000000" w:themeColor="text1"/>
              </w:rPr>
              <w:t>Accounts – Performance remains in line with our expectations and we remain confident that where the indicators are reported as “worse than” the bench</w:t>
            </w:r>
            <w:r>
              <w:rPr>
                <w:color w:val="000000" w:themeColor="text1"/>
              </w:rPr>
              <w:t>mark we will see improvements before</w:t>
            </w:r>
            <w:r w:rsidRPr="00E92E7E">
              <w:rPr>
                <w:color w:val="000000" w:themeColor="text1"/>
                <w:szCs w:val="24"/>
              </w:rPr>
              <w:t xml:space="preserve"> the end of the financial year</w:t>
            </w:r>
            <w:r w:rsidRPr="00223EA9">
              <w:rPr>
                <w:color w:val="000000" w:themeColor="text1"/>
              </w:rPr>
              <w:t>.</w:t>
            </w:r>
          </w:p>
          <w:p w:rsidR="00F77A60" w:rsidRPr="009A4FB2" w:rsidRDefault="00F77A60" w:rsidP="00657598">
            <w:pPr>
              <w:rPr>
                <w:color w:val="000000" w:themeColor="text1"/>
              </w:rPr>
            </w:pPr>
          </w:p>
        </w:tc>
      </w:tr>
    </w:tbl>
    <w:p w:rsidR="00F77A60" w:rsidRPr="009A4FB2" w:rsidRDefault="00F77A60" w:rsidP="00F77A60">
      <w:pPr>
        <w:rPr>
          <w:color w:val="000000" w:themeColor="text1"/>
        </w:rPr>
      </w:pPr>
    </w:p>
    <w:tbl>
      <w:tblPr>
        <w:tblStyle w:val="TableGrid"/>
        <w:tblW w:w="9322" w:type="dxa"/>
        <w:tblLook w:val="04A0" w:firstRow="1" w:lastRow="0" w:firstColumn="1" w:lastColumn="0" w:noHBand="0" w:noVBand="1"/>
      </w:tblPr>
      <w:tblGrid>
        <w:gridCol w:w="9322"/>
      </w:tblGrid>
      <w:tr w:rsidR="00BC75B3" w:rsidRPr="00BC75B3" w:rsidTr="00461223">
        <w:tc>
          <w:tcPr>
            <w:tcW w:w="9322" w:type="dxa"/>
            <w:shd w:val="clear" w:color="auto" w:fill="D9D9D9" w:themeFill="background1" w:themeFillShade="D9"/>
          </w:tcPr>
          <w:p w:rsidR="00F77A60" w:rsidRPr="00BC75B3" w:rsidRDefault="00F77A60" w:rsidP="00461223">
            <w:r w:rsidRPr="00BC75B3">
              <w:t>Report</w:t>
            </w:r>
          </w:p>
        </w:tc>
      </w:tr>
    </w:tbl>
    <w:p w:rsidR="00F77A60" w:rsidRPr="00F77A60" w:rsidRDefault="00F77A60" w:rsidP="00F77A60">
      <w:pPr>
        <w:rPr>
          <w:color w:val="FF0000"/>
        </w:rPr>
      </w:pPr>
    </w:p>
    <w:p w:rsidR="00F77A60" w:rsidRPr="001D5482" w:rsidRDefault="00F77A60" w:rsidP="006411AF">
      <w:pPr>
        <w:spacing w:after="120"/>
        <w:rPr>
          <w:b/>
        </w:rPr>
      </w:pPr>
      <w:r w:rsidRPr="001D5482">
        <w:rPr>
          <w:b/>
        </w:rPr>
        <w:t>Applications Performance</w:t>
      </w:r>
    </w:p>
    <w:p w:rsidR="00F77A60" w:rsidRDefault="00F77A60" w:rsidP="00754ED7">
      <w:pPr>
        <w:pStyle w:val="ListParagraph"/>
        <w:numPr>
          <w:ilvl w:val="0"/>
          <w:numId w:val="3"/>
        </w:numPr>
        <w:spacing w:after="120"/>
      </w:pPr>
      <w:r w:rsidRPr="00753411">
        <w:t>Civil Applications</w:t>
      </w:r>
    </w:p>
    <w:p w:rsidR="00754ED7" w:rsidRDefault="00754ED7" w:rsidP="00754ED7">
      <w:pPr>
        <w:spacing w:after="120"/>
        <w:rPr>
          <w:szCs w:val="24"/>
        </w:rPr>
      </w:pPr>
      <w:r w:rsidRPr="00754ED7">
        <w:rPr>
          <w:szCs w:val="24"/>
        </w:rPr>
        <w:t xml:space="preserve">The overall performance in civil applications is very good with all civil benchmarks recorded as “better than”.  </w:t>
      </w:r>
    </w:p>
    <w:p w:rsidR="00754ED7" w:rsidRPr="00754ED7" w:rsidRDefault="00754ED7" w:rsidP="00754ED7">
      <w:pPr>
        <w:spacing w:after="120"/>
        <w:rPr>
          <w:szCs w:val="24"/>
        </w:rPr>
      </w:pPr>
    </w:p>
    <w:p w:rsidR="00F77A60" w:rsidRDefault="00F77A60" w:rsidP="006411AF">
      <w:pPr>
        <w:pStyle w:val="ListParagraph"/>
        <w:numPr>
          <w:ilvl w:val="0"/>
          <w:numId w:val="3"/>
        </w:numPr>
        <w:spacing w:after="120"/>
      </w:pPr>
      <w:r w:rsidRPr="00603164">
        <w:t>Criminal Applications</w:t>
      </w:r>
    </w:p>
    <w:p w:rsidR="00754ED7" w:rsidRPr="00754ED7" w:rsidRDefault="00754ED7" w:rsidP="00754ED7">
      <w:pPr>
        <w:rPr>
          <w:iCs/>
          <w:szCs w:val="24"/>
        </w:rPr>
      </w:pPr>
      <w:r w:rsidRPr="00754ED7">
        <w:rPr>
          <w:iCs/>
          <w:szCs w:val="24"/>
        </w:rPr>
        <w:t>The overall performance in criminal applications is still good with all criminal benchmarks recorded as “better than” or “met”.</w:t>
      </w:r>
    </w:p>
    <w:p w:rsidR="00754ED7" w:rsidRPr="00754ED7" w:rsidRDefault="00754ED7" w:rsidP="00754ED7">
      <w:pPr>
        <w:rPr>
          <w:iCs/>
          <w:szCs w:val="24"/>
        </w:rPr>
      </w:pPr>
    </w:p>
    <w:p w:rsidR="00754ED7" w:rsidRPr="00754ED7" w:rsidRDefault="00754ED7" w:rsidP="00754ED7">
      <w:pPr>
        <w:rPr>
          <w:iCs/>
          <w:szCs w:val="24"/>
        </w:rPr>
      </w:pPr>
      <w:r w:rsidRPr="00754ED7">
        <w:rPr>
          <w:iCs/>
          <w:szCs w:val="24"/>
        </w:rPr>
        <w:t>Overall satisfaction levels were maintained at 78% satisfied in January, although on a smaller number of responses from the last survey in October 2021.  There was only one issue raised about problems with contacting us by telephone, so our new Teams phone system seems to have brought general improvements with our external communications.</w:t>
      </w:r>
    </w:p>
    <w:p w:rsidR="00E54EB3" w:rsidRPr="00E54EB3" w:rsidRDefault="00E54EB3" w:rsidP="00E54EB3">
      <w:pPr>
        <w:spacing w:after="120"/>
        <w:rPr>
          <w:color w:val="FF0000"/>
        </w:rPr>
      </w:pPr>
    </w:p>
    <w:p w:rsidR="00F77A60" w:rsidRPr="00753411" w:rsidRDefault="00F77A60" w:rsidP="006411AF">
      <w:pPr>
        <w:pStyle w:val="ListParagraph"/>
        <w:numPr>
          <w:ilvl w:val="0"/>
          <w:numId w:val="3"/>
        </w:numPr>
        <w:spacing w:after="120"/>
      </w:pPr>
      <w:r w:rsidRPr="00753411">
        <w:t>Children’s Applications</w:t>
      </w:r>
    </w:p>
    <w:p w:rsidR="00754ED7" w:rsidRPr="00754ED7" w:rsidRDefault="00754ED7" w:rsidP="00754ED7">
      <w:pPr>
        <w:spacing w:after="120"/>
        <w:rPr>
          <w:szCs w:val="24"/>
        </w:rPr>
      </w:pPr>
      <w:r w:rsidRPr="00754ED7">
        <w:rPr>
          <w:szCs w:val="24"/>
        </w:rPr>
        <w:t xml:space="preserve">The overall performance of children’s applications is good.   </w:t>
      </w:r>
    </w:p>
    <w:p w:rsidR="006411AF" w:rsidRPr="00911E6E" w:rsidRDefault="006411AF" w:rsidP="006411AF">
      <w:pPr>
        <w:spacing w:after="120"/>
        <w:rPr>
          <w:color w:val="FF0000"/>
          <w:sz w:val="32"/>
          <w:szCs w:val="32"/>
        </w:rPr>
      </w:pPr>
    </w:p>
    <w:p w:rsidR="00826B72" w:rsidRDefault="00826B72" w:rsidP="006411AF">
      <w:pPr>
        <w:spacing w:after="120"/>
        <w:rPr>
          <w:b/>
          <w:szCs w:val="24"/>
        </w:rPr>
      </w:pPr>
      <w:r w:rsidRPr="006924F1">
        <w:rPr>
          <w:b/>
          <w:szCs w:val="24"/>
        </w:rPr>
        <w:t>Accounts Performance</w:t>
      </w:r>
    </w:p>
    <w:p w:rsidR="00866D6E" w:rsidRPr="002E5408" w:rsidRDefault="00866D6E" w:rsidP="00866D6E">
      <w:pPr>
        <w:pStyle w:val="ListParagraph"/>
        <w:numPr>
          <w:ilvl w:val="0"/>
          <w:numId w:val="3"/>
        </w:numPr>
        <w:spacing w:after="120"/>
        <w:rPr>
          <w:color w:val="000000" w:themeColor="text1"/>
          <w:szCs w:val="24"/>
        </w:rPr>
      </w:pPr>
      <w:r w:rsidRPr="002E5408">
        <w:rPr>
          <w:color w:val="000000" w:themeColor="text1"/>
          <w:szCs w:val="24"/>
        </w:rPr>
        <w:t xml:space="preserve">Civil Accounts </w:t>
      </w:r>
    </w:p>
    <w:p w:rsidR="00866D6E" w:rsidRPr="00223EA9" w:rsidRDefault="00E50647" w:rsidP="00866D6E">
      <w:pPr>
        <w:spacing w:after="120"/>
        <w:rPr>
          <w:color w:val="000000" w:themeColor="text1"/>
          <w:szCs w:val="24"/>
        </w:rPr>
      </w:pPr>
      <w:r>
        <w:rPr>
          <w:color w:val="000000" w:themeColor="text1"/>
          <w:szCs w:val="24"/>
        </w:rPr>
        <w:t xml:space="preserve">Since the last report we have continued to see performance for the initial assessment of both civil legal aid and civil A&amp;A and ABWOR being reported as ‘worse than’ the benchmark. The teams continue to be impacted by the loss of several experienced staff to other teams within SLAB. However, a full review of the necessary staffing has now been undertaken and approved by the Executive Team and subsequently the new posts have been advertised. Civil have still a relatively high share of accounts coming through on the old system which creates an additional burden on staff and moves to </w:t>
      </w:r>
      <w:r>
        <w:rPr>
          <w:color w:val="000000" w:themeColor="text1"/>
          <w:szCs w:val="24"/>
        </w:rPr>
        <w:lastRenderedPageBreak/>
        <w:t>put all accounts over onto the online system are now underway. Over time, it is anticipated that this approach, alongside the guidance produced by the GALA project, will improve the quality of accounts submitted and reduce the need for additional work</w:t>
      </w:r>
      <w:r w:rsidRPr="00223EA9">
        <w:rPr>
          <w:color w:val="000000" w:themeColor="text1"/>
          <w:szCs w:val="24"/>
        </w:rPr>
        <w:t>.</w:t>
      </w:r>
    </w:p>
    <w:p w:rsidR="00866D6E" w:rsidRPr="00D473B0" w:rsidRDefault="00866D6E" w:rsidP="00866D6E">
      <w:pPr>
        <w:pStyle w:val="ListParagraph"/>
        <w:numPr>
          <w:ilvl w:val="0"/>
          <w:numId w:val="3"/>
        </w:numPr>
        <w:spacing w:after="120"/>
        <w:rPr>
          <w:color w:val="000000" w:themeColor="text1"/>
          <w:szCs w:val="24"/>
        </w:rPr>
      </w:pPr>
      <w:r w:rsidRPr="00D473B0">
        <w:rPr>
          <w:color w:val="000000" w:themeColor="text1"/>
          <w:szCs w:val="24"/>
        </w:rPr>
        <w:t xml:space="preserve">Criminal Accounts </w:t>
      </w:r>
    </w:p>
    <w:p w:rsidR="00E50647" w:rsidRPr="00E50647" w:rsidRDefault="00E50647" w:rsidP="00E50647">
      <w:pPr>
        <w:spacing w:after="120"/>
        <w:rPr>
          <w:color w:val="000000" w:themeColor="text1"/>
          <w:szCs w:val="24"/>
        </w:rPr>
      </w:pPr>
      <w:r w:rsidRPr="00E50647">
        <w:rPr>
          <w:color w:val="000000" w:themeColor="text1"/>
          <w:szCs w:val="24"/>
        </w:rPr>
        <w:t>The overall performance in criminal accounts is good with performance against all indicators either ‘met’ or ‘better than’ the benchmark.</w:t>
      </w:r>
    </w:p>
    <w:p w:rsidR="00866D6E" w:rsidRPr="002F51BE" w:rsidRDefault="00866D6E" w:rsidP="00866D6E">
      <w:pPr>
        <w:spacing w:after="120"/>
        <w:rPr>
          <w:color w:val="00B0F0"/>
          <w:szCs w:val="24"/>
        </w:rPr>
      </w:pPr>
    </w:p>
    <w:p w:rsidR="00866D6E" w:rsidRPr="00D473B0" w:rsidRDefault="00866D6E" w:rsidP="00866D6E">
      <w:pPr>
        <w:pStyle w:val="ListParagraph"/>
        <w:numPr>
          <w:ilvl w:val="0"/>
          <w:numId w:val="3"/>
        </w:numPr>
        <w:spacing w:after="120"/>
        <w:rPr>
          <w:color w:val="000000" w:themeColor="text1"/>
        </w:rPr>
      </w:pPr>
      <w:r w:rsidRPr="00D473B0">
        <w:rPr>
          <w:color w:val="000000" w:themeColor="text1"/>
          <w:szCs w:val="24"/>
        </w:rPr>
        <w:t xml:space="preserve">Children’s Accounts </w:t>
      </w:r>
    </w:p>
    <w:p w:rsidR="00E50647" w:rsidRPr="00E50647" w:rsidRDefault="00E50647" w:rsidP="00E50647">
      <w:pPr>
        <w:spacing w:after="120"/>
        <w:rPr>
          <w:color w:val="000000" w:themeColor="text1"/>
        </w:rPr>
      </w:pPr>
      <w:r w:rsidRPr="00E50647">
        <w:rPr>
          <w:color w:val="000000" w:themeColor="text1"/>
          <w:szCs w:val="24"/>
        </w:rPr>
        <w:t>The overall performance of children’s accounts is good with 4 out of 5 of the indicators being reported as ‘better than’ the benchmark. However, negotiations in children’s is being reported as ‘worse than’ the benchmark due to a small number of accounts where firms have been slow in responding to us</w:t>
      </w:r>
      <w:r w:rsidRPr="00E50647">
        <w:rPr>
          <w:color w:val="000000" w:themeColor="text1"/>
        </w:rPr>
        <w:t>.</w:t>
      </w:r>
    </w:p>
    <w:p w:rsidR="00866D6E" w:rsidRDefault="00866D6E" w:rsidP="00866D6E">
      <w:pPr>
        <w:spacing w:after="120"/>
        <w:rPr>
          <w:color w:val="000000" w:themeColor="text1"/>
        </w:rPr>
      </w:pPr>
    </w:p>
    <w:p w:rsidR="00866D6E" w:rsidRDefault="00866D6E" w:rsidP="00866D6E">
      <w:pPr>
        <w:pStyle w:val="ListParagraph"/>
        <w:numPr>
          <w:ilvl w:val="0"/>
          <w:numId w:val="3"/>
        </w:numPr>
        <w:spacing w:after="120"/>
        <w:rPr>
          <w:color w:val="000000" w:themeColor="text1"/>
        </w:rPr>
      </w:pPr>
      <w:r>
        <w:rPr>
          <w:color w:val="000000" w:themeColor="text1"/>
        </w:rPr>
        <w:t>Customer Satisfaction</w:t>
      </w:r>
    </w:p>
    <w:p w:rsidR="0088718D" w:rsidRDefault="0042254A" w:rsidP="0042254A">
      <w:pPr>
        <w:spacing w:after="120"/>
        <w:rPr>
          <w:color w:val="000000" w:themeColor="text1"/>
        </w:rPr>
      </w:pPr>
      <w:r w:rsidRPr="0042254A">
        <w:rPr>
          <w:color w:val="000000" w:themeColor="text1"/>
        </w:rPr>
        <w:t>Criminal satisfaction has increased from 71% to 75%, while children’s accounts increased from 56% to 71%. However, satisfaction in civil accounts dropped from 73% to 63%</w:t>
      </w:r>
      <w:r w:rsidR="00223EA9" w:rsidRPr="0042254A">
        <w:rPr>
          <w:color w:val="000000" w:themeColor="text1"/>
        </w:rPr>
        <w:t>.</w:t>
      </w:r>
    </w:p>
    <w:p w:rsidR="0088718D" w:rsidRDefault="0088718D" w:rsidP="0042254A">
      <w:pPr>
        <w:spacing w:after="120"/>
        <w:rPr>
          <w:color w:val="000000" w:themeColor="text1"/>
        </w:rPr>
      </w:pPr>
    </w:p>
    <w:p w:rsidR="0088718D" w:rsidRDefault="0088718D" w:rsidP="0088718D">
      <w:pPr>
        <w:pStyle w:val="ListParagraph"/>
        <w:numPr>
          <w:ilvl w:val="0"/>
          <w:numId w:val="3"/>
        </w:numPr>
        <w:spacing w:after="120"/>
        <w:rPr>
          <w:color w:val="000000" w:themeColor="text1"/>
        </w:rPr>
      </w:pPr>
      <w:r>
        <w:rPr>
          <w:color w:val="000000" w:themeColor="text1"/>
        </w:rPr>
        <w:t>New Benchmarks for 2022-2023</w:t>
      </w:r>
    </w:p>
    <w:p w:rsidR="0088718D" w:rsidRPr="0088718D" w:rsidRDefault="00691EEF" w:rsidP="0088718D">
      <w:pPr>
        <w:spacing w:after="120"/>
        <w:rPr>
          <w:color w:val="000000" w:themeColor="text1"/>
        </w:rPr>
      </w:pPr>
      <w:r>
        <w:rPr>
          <w:color w:val="000000" w:themeColor="text1"/>
        </w:rPr>
        <w:t>We have</w:t>
      </w:r>
      <w:r w:rsidR="0088718D" w:rsidRPr="0088718D">
        <w:rPr>
          <w:color w:val="000000" w:themeColor="text1"/>
        </w:rPr>
        <w:t xml:space="preserve"> reviewed the benchmarks for next year and the proposed changes are attached. </w:t>
      </w:r>
      <w:r w:rsidR="002914E8">
        <w:rPr>
          <w:color w:val="000000" w:themeColor="text1"/>
        </w:rPr>
        <w:t>Overall t</w:t>
      </w:r>
      <w:r w:rsidR="0088718D" w:rsidRPr="0088718D">
        <w:rPr>
          <w:color w:val="000000" w:themeColor="text1"/>
        </w:rPr>
        <w:t xml:space="preserve">he environment </w:t>
      </w:r>
      <w:r w:rsidR="002914E8">
        <w:rPr>
          <w:color w:val="000000" w:themeColor="text1"/>
        </w:rPr>
        <w:t xml:space="preserve">we operate in </w:t>
      </w:r>
      <w:r w:rsidR="0088718D" w:rsidRPr="0088718D">
        <w:rPr>
          <w:color w:val="000000" w:themeColor="text1"/>
        </w:rPr>
        <w:t>is still uncertain.</w:t>
      </w:r>
      <w:r w:rsidR="002914E8">
        <w:rPr>
          <w:color w:val="000000" w:themeColor="text1"/>
        </w:rPr>
        <w:t xml:space="preserve">  This includes u</w:t>
      </w:r>
      <w:r w:rsidR="0088718D" w:rsidRPr="0088718D">
        <w:rPr>
          <w:color w:val="000000" w:themeColor="text1"/>
        </w:rPr>
        <w:t xml:space="preserve">ncertainty over </w:t>
      </w:r>
      <w:r w:rsidR="002914E8">
        <w:rPr>
          <w:color w:val="000000" w:themeColor="text1"/>
        </w:rPr>
        <w:t xml:space="preserve">the future </w:t>
      </w:r>
      <w:r w:rsidR="0088718D" w:rsidRPr="0088718D">
        <w:rPr>
          <w:color w:val="000000" w:themeColor="text1"/>
        </w:rPr>
        <w:t xml:space="preserve">volumes of cases and accounts and the impact of the court backlog; changes in </w:t>
      </w:r>
      <w:r w:rsidR="002914E8">
        <w:rPr>
          <w:color w:val="000000" w:themeColor="text1"/>
        </w:rPr>
        <w:t xml:space="preserve">the </w:t>
      </w:r>
      <w:r w:rsidR="0088718D" w:rsidRPr="0088718D">
        <w:rPr>
          <w:color w:val="000000" w:themeColor="text1"/>
        </w:rPr>
        <w:t>case mix; internal resourcing pressures; and incoming new directors</w:t>
      </w:r>
      <w:r w:rsidR="008F7E2B">
        <w:rPr>
          <w:color w:val="000000" w:themeColor="text1"/>
        </w:rPr>
        <w:t>.  These</w:t>
      </w:r>
      <w:r w:rsidR="0088718D" w:rsidRPr="0088718D">
        <w:rPr>
          <w:color w:val="000000" w:themeColor="text1"/>
        </w:rPr>
        <w:t xml:space="preserve"> are all relevant factors we’ve considered as reasons not to substantially change the benchmarks. </w:t>
      </w:r>
    </w:p>
    <w:p w:rsidR="0088718D" w:rsidRDefault="0088718D" w:rsidP="0088718D">
      <w:pPr>
        <w:spacing w:after="120"/>
        <w:rPr>
          <w:color w:val="000000" w:themeColor="text1"/>
        </w:rPr>
      </w:pPr>
      <w:r w:rsidRPr="0088718D">
        <w:rPr>
          <w:color w:val="000000" w:themeColor="text1"/>
        </w:rPr>
        <w:t>For applications</w:t>
      </w:r>
      <w:r>
        <w:rPr>
          <w:color w:val="000000" w:themeColor="text1"/>
        </w:rPr>
        <w:t xml:space="preserve"> and accounts</w:t>
      </w:r>
      <w:r w:rsidRPr="0088718D">
        <w:rPr>
          <w:color w:val="000000" w:themeColor="text1"/>
        </w:rPr>
        <w:t xml:space="preserve">, we have focussed, in particular, on areas where performance has consistently </w:t>
      </w:r>
      <w:r>
        <w:rPr>
          <w:color w:val="000000" w:themeColor="text1"/>
        </w:rPr>
        <w:t xml:space="preserve">been well </w:t>
      </w:r>
      <w:r w:rsidRPr="0088718D">
        <w:rPr>
          <w:color w:val="000000" w:themeColor="text1"/>
        </w:rPr>
        <w:t>in</w:t>
      </w:r>
      <w:r>
        <w:rPr>
          <w:color w:val="000000" w:themeColor="text1"/>
        </w:rPr>
        <w:t>to</w:t>
      </w:r>
      <w:r w:rsidRPr="0088718D">
        <w:rPr>
          <w:color w:val="000000" w:themeColor="text1"/>
        </w:rPr>
        <w:t xml:space="preserve"> the ‘Better Than’ category. </w:t>
      </w:r>
    </w:p>
    <w:p w:rsidR="0088718D" w:rsidRDefault="002914E8" w:rsidP="0088718D">
      <w:pPr>
        <w:spacing w:after="120"/>
        <w:rPr>
          <w:color w:val="000000" w:themeColor="text1"/>
        </w:rPr>
      </w:pPr>
      <w:r>
        <w:rPr>
          <w:color w:val="000000" w:themeColor="text1"/>
        </w:rPr>
        <w:t>In applications w</w:t>
      </w:r>
      <w:r w:rsidR="0088718D" w:rsidRPr="0088718D">
        <w:rPr>
          <w:color w:val="000000" w:themeColor="text1"/>
        </w:rPr>
        <w:t xml:space="preserve">e are therefore recommending changes to Civil Applications </w:t>
      </w:r>
      <w:r w:rsidR="0088718D">
        <w:rPr>
          <w:color w:val="000000" w:themeColor="text1"/>
        </w:rPr>
        <w:t xml:space="preserve">KPIs 3,4 and 5 </w:t>
      </w:r>
      <w:r w:rsidR="0088718D" w:rsidRPr="0088718D">
        <w:rPr>
          <w:color w:val="000000" w:themeColor="text1"/>
        </w:rPr>
        <w:t>(</w:t>
      </w:r>
      <w:r w:rsidR="0088718D">
        <w:rPr>
          <w:color w:val="000000" w:themeColor="text1"/>
        </w:rPr>
        <w:t xml:space="preserve">all </w:t>
      </w:r>
      <w:r>
        <w:rPr>
          <w:color w:val="000000" w:themeColor="text1"/>
        </w:rPr>
        <w:t>Other non-Adults with incapacity category):</w:t>
      </w:r>
    </w:p>
    <w:p w:rsidR="002914E8" w:rsidRDefault="002914E8" w:rsidP="002914E8">
      <w:pPr>
        <w:pStyle w:val="ListParagraph"/>
        <w:numPr>
          <w:ilvl w:val="0"/>
          <w:numId w:val="7"/>
        </w:numPr>
        <w:spacing w:after="120"/>
        <w:rPr>
          <w:color w:val="000000" w:themeColor="text1"/>
        </w:rPr>
      </w:pPr>
      <w:r>
        <w:rPr>
          <w:color w:val="000000" w:themeColor="text1"/>
        </w:rPr>
        <w:t>Other average duration to move from 68 days to 67 days;</w:t>
      </w:r>
    </w:p>
    <w:p w:rsidR="002914E8" w:rsidRDefault="002914E8" w:rsidP="002914E8">
      <w:pPr>
        <w:pStyle w:val="ListParagraph"/>
        <w:numPr>
          <w:ilvl w:val="0"/>
          <w:numId w:val="7"/>
        </w:numPr>
        <w:spacing w:after="120"/>
        <w:rPr>
          <w:color w:val="000000" w:themeColor="text1"/>
        </w:rPr>
      </w:pPr>
      <w:r>
        <w:rPr>
          <w:color w:val="000000" w:themeColor="text1"/>
        </w:rPr>
        <w:t>Other percent granted to move from 70% to 72%;</w:t>
      </w:r>
    </w:p>
    <w:p w:rsidR="002914E8" w:rsidRDefault="002914E8" w:rsidP="002914E8">
      <w:pPr>
        <w:pStyle w:val="ListParagraph"/>
        <w:numPr>
          <w:ilvl w:val="0"/>
          <w:numId w:val="7"/>
        </w:numPr>
        <w:spacing w:after="120"/>
        <w:rPr>
          <w:color w:val="000000" w:themeColor="text1"/>
        </w:rPr>
      </w:pPr>
      <w:r>
        <w:rPr>
          <w:color w:val="000000" w:themeColor="text1"/>
        </w:rPr>
        <w:t>Other percent cases with further work to move from 14% to 12%.</w:t>
      </w:r>
    </w:p>
    <w:p w:rsidR="002914E8" w:rsidRDefault="002914E8" w:rsidP="002914E8">
      <w:pPr>
        <w:spacing w:after="120"/>
        <w:rPr>
          <w:color w:val="000000" w:themeColor="text1"/>
        </w:rPr>
      </w:pPr>
      <w:r>
        <w:rPr>
          <w:color w:val="000000" w:themeColor="text1"/>
        </w:rPr>
        <w:t>In accounts we are recommending</w:t>
      </w:r>
      <w:r w:rsidR="008F7E2B">
        <w:rPr>
          <w:color w:val="000000" w:themeColor="text1"/>
        </w:rPr>
        <w:t xml:space="preserve"> changes to KPIs 3, 6 &amp; 18</w:t>
      </w:r>
      <w:r>
        <w:rPr>
          <w:color w:val="000000" w:themeColor="text1"/>
        </w:rPr>
        <w:t>:</w:t>
      </w:r>
    </w:p>
    <w:p w:rsidR="002914E8" w:rsidRDefault="002914E8" w:rsidP="002914E8">
      <w:pPr>
        <w:pStyle w:val="ListParagraph"/>
        <w:numPr>
          <w:ilvl w:val="0"/>
          <w:numId w:val="7"/>
        </w:numPr>
        <w:spacing w:after="120"/>
        <w:rPr>
          <w:color w:val="000000" w:themeColor="text1"/>
        </w:rPr>
      </w:pPr>
      <w:r>
        <w:rPr>
          <w:color w:val="000000" w:themeColor="text1"/>
        </w:rPr>
        <w:t>Civil negotiations average duration to move from 42 to 30 days;</w:t>
      </w:r>
    </w:p>
    <w:p w:rsidR="002914E8" w:rsidRDefault="002914E8" w:rsidP="002914E8">
      <w:pPr>
        <w:pStyle w:val="ListParagraph"/>
        <w:numPr>
          <w:ilvl w:val="0"/>
          <w:numId w:val="7"/>
        </w:numPr>
        <w:spacing w:after="120"/>
        <w:rPr>
          <w:color w:val="000000" w:themeColor="text1"/>
        </w:rPr>
      </w:pPr>
      <w:r>
        <w:rPr>
          <w:color w:val="000000" w:themeColor="text1"/>
        </w:rPr>
        <w:t>Criminal A&amp;A average duration to move from 9 to 8 days;</w:t>
      </w:r>
    </w:p>
    <w:p w:rsidR="002914E8" w:rsidRPr="002914E8" w:rsidRDefault="002914E8" w:rsidP="002914E8">
      <w:pPr>
        <w:pStyle w:val="ListParagraph"/>
        <w:numPr>
          <w:ilvl w:val="0"/>
          <w:numId w:val="7"/>
        </w:numPr>
        <w:spacing w:after="120"/>
        <w:rPr>
          <w:color w:val="000000" w:themeColor="text1"/>
        </w:rPr>
      </w:pPr>
      <w:r>
        <w:rPr>
          <w:color w:val="000000" w:themeColor="text1"/>
        </w:rPr>
        <w:t>Children’s percent paid in full to move from 41 to 55%.</w:t>
      </w:r>
    </w:p>
    <w:p w:rsidR="0088718D" w:rsidRDefault="0088718D" w:rsidP="0042254A">
      <w:pPr>
        <w:spacing w:after="120"/>
        <w:rPr>
          <w:color w:val="000000" w:themeColor="text1"/>
        </w:rPr>
      </w:pPr>
    </w:p>
    <w:p w:rsidR="0088718D" w:rsidRPr="0088718D" w:rsidRDefault="0088718D" w:rsidP="0042254A">
      <w:pPr>
        <w:spacing w:after="120"/>
        <w:rPr>
          <w:color w:val="000000" w:themeColor="text1"/>
        </w:rPr>
        <w:sectPr w:rsidR="0088718D" w:rsidRPr="0088718D" w:rsidSect="006411AF">
          <w:headerReference w:type="default" r:id="rId9"/>
          <w:footerReference w:type="default" r:id="rId10"/>
          <w:headerReference w:type="first" r:id="rId11"/>
          <w:footerReference w:type="first" r:id="rId12"/>
          <w:pgSz w:w="11906" w:h="16838"/>
          <w:pgMar w:top="1440" w:right="1133" w:bottom="1418" w:left="1276" w:header="680" w:footer="624" w:gutter="0"/>
          <w:cols w:sep="1" w:space="720"/>
          <w:titlePg/>
          <w:docGrid w:linePitch="360"/>
        </w:sectPr>
      </w:pPr>
    </w:p>
    <w:p w:rsidR="00F77A60" w:rsidRDefault="00F45F5E" w:rsidP="00F77A60">
      <w:pPr>
        <w:spacing w:before="100" w:beforeAutospacing="1" w:after="100" w:afterAutospacing="1"/>
      </w:pPr>
      <w:r w:rsidRPr="00F45F5E">
        <w:rPr>
          <w:noProof/>
          <w:lang w:eastAsia="en-GB"/>
        </w:rPr>
        <w:lastRenderedPageBreak/>
        <w:drawing>
          <wp:inline distT="0" distB="0" distL="0" distR="0">
            <wp:extent cx="9540875" cy="5468854"/>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0875" cy="5468854"/>
                    </a:xfrm>
                    <a:prstGeom prst="rect">
                      <a:avLst/>
                    </a:prstGeom>
                    <a:noFill/>
                    <a:ln>
                      <a:noFill/>
                    </a:ln>
                  </pic:spPr>
                </pic:pic>
              </a:graphicData>
            </a:graphic>
          </wp:inline>
        </w:drawing>
      </w:r>
      <w:r w:rsidR="00F77A60">
        <w:br w:type="page"/>
      </w:r>
    </w:p>
    <w:p w:rsidR="008E61BE" w:rsidRPr="00362F68" w:rsidRDefault="00DD1B88" w:rsidP="00F45F5E">
      <w:pPr>
        <w:spacing w:before="100" w:beforeAutospacing="1" w:after="100" w:afterAutospacing="1"/>
        <w:jc w:val="center"/>
        <w:sectPr w:rsidR="008E61BE" w:rsidRPr="00362F68" w:rsidSect="008E61BE">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820" w:bottom="851" w:left="993" w:header="680" w:footer="624" w:gutter="0"/>
          <w:cols w:sep="1" w:space="720"/>
          <w:docGrid w:linePitch="360"/>
        </w:sectPr>
      </w:pPr>
      <w:r w:rsidRPr="00DD1B88">
        <w:rPr>
          <w:noProof/>
          <w:lang w:eastAsia="en-GB"/>
        </w:rPr>
        <w:lastRenderedPageBreak/>
        <w:drawing>
          <wp:inline distT="0" distB="0" distL="0" distR="0">
            <wp:extent cx="9540688" cy="62776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47595" cy="6282155"/>
                    </a:xfrm>
                    <a:prstGeom prst="rect">
                      <a:avLst/>
                    </a:prstGeom>
                    <a:noFill/>
                    <a:ln>
                      <a:noFill/>
                    </a:ln>
                  </pic:spPr>
                </pic:pic>
              </a:graphicData>
            </a:graphic>
          </wp:inline>
        </w:drawing>
      </w:r>
    </w:p>
    <w:p w:rsidR="00F77A60" w:rsidRDefault="00F77A60" w:rsidP="00F77A60"/>
    <w:p w:rsidR="00F77A60" w:rsidRDefault="00F77A60"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There are no resourcing issues to flag to the Board which have affected the performance reported.</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Default="00F77A60" w:rsidP="00461223">
            <w:r>
              <w:t xml:space="preserve">Appendix </w:t>
            </w:r>
            <w:r w:rsidR="0040024D">
              <w:t>1</w:t>
            </w:r>
            <w:r>
              <w:t xml:space="preserve">: </w:t>
            </w:r>
            <w:r w:rsidRPr="00CA0A48">
              <w:t>Guide to the SLAB Operation Performance Overview Report (SOPOR)</w:t>
            </w:r>
          </w:p>
          <w:p w:rsidR="002C5B50" w:rsidRPr="00CA0A48" w:rsidRDefault="002C5B50" w:rsidP="00461223">
            <w:r>
              <w:t>Appendix 2: Proposed changes to benchmarks for 2022-23</w:t>
            </w:r>
          </w:p>
          <w:p w:rsidR="00F77A60" w:rsidRPr="009C66A0" w:rsidRDefault="00F77A60" w:rsidP="00461223">
            <w:r w:rsidRPr="009E1784" w:rsidDel="009E1784">
              <w:t xml:space="preserve"> </w:t>
            </w:r>
          </w:p>
        </w:tc>
      </w:tr>
    </w:tbl>
    <w:p w:rsidR="00F77A60" w:rsidRDefault="00F77A60" w:rsidP="00F77A60">
      <w:r>
        <w:br w:type="page"/>
      </w:r>
    </w:p>
    <w:p w:rsidR="00F77A60" w:rsidRPr="00A604AA" w:rsidRDefault="00F77A60" w:rsidP="00F77A60">
      <w:pPr>
        <w:rPr>
          <w:b/>
        </w:rPr>
      </w:pPr>
      <w:r>
        <w:rPr>
          <w:b/>
        </w:rPr>
        <w:lastRenderedPageBreak/>
        <w:t xml:space="preserve">Appendix </w:t>
      </w:r>
      <w:r w:rsidR="0040024D">
        <w:rPr>
          <w:b/>
        </w:rPr>
        <w:t>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4625C4" w:rsidRDefault="004625C4" w:rsidP="004625C4">
      <w:pPr>
        <w:pStyle w:val="BodyText"/>
      </w:pPr>
      <w:r>
        <w:t>Benchmarks for performance reporting for financial year 2021-22 were presented to the Board in March 2021.  The benchmarks proposed balanced the aim of being challenging but achievable but also the need to manage the risks and uncertainty around the coming year of 2021-22.  They were based on performance during the pandemic in 2020/21 and also pre the pandemic in 2019/20.</w:t>
      </w:r>
    </w:p>
    <w:p w:rsidR="004625C4" w:rsidRDefault="004625C4" w:rsidP="004625C4">
      <w:pPr>
        <w:pStyle w:val="BodyText"/>
      </w:pPr>
    </w:p>
    <w:p w:rsidR="004625C4" w:rsidRDefault="004625C4" w:rsidP="004625C4">
      <w:pPr>
        <w:pStyle w:val="BodyText"/>
      </w:pPr>
      <w:r>
        <w:t>The new benchmarks were introduced into the reporting from April 2021 onwards.</w:t>
      </w:r>
    </w:p>
    <w:p w:rsidR="004625C4" w:rsidRDefault="004625C4" w:rsidP="004625C4">
      <w:pPr>
        <w:pStyle w:val="BodyText"/>
      </w:pPr>
    </w:p>
    <w:p w:rsidR="00F77A60" w:rsidRPr="00683C09" w:rsidRDefault="00F77A60" w:rsidP="004625C4">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A green-yellow-blue</w:t>
      </w:r>
      <w:r w:rsidRPr="00B8080B">
        <w:rPr>
          <w:lang w:val="en-GB"/>
        </w:rPr>
        <w:t xml:space="preserve"> colour</w:t>
      </w:r>
      <w:r w:rsidRPr="00683C09">
        <w:t xml:space="preserve">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 xml:space="preserve">The starting point for defining the width of the Met zone is plus or minus 5%.  In some cases it has been necessary to adjust it.  This adjustment is because of the differences in application and account types and processes which produce different distributions for the </w:t>
      </w:r>
      <w:r w:rsidRPr="00683C09">
        <w:lastRenderedPageBreak/>
        <w:t>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 xml:space="preserve">‘Abatement’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w:t>
      </w:r>
      <w:r w:rsidRPr="00E5184A">
        <w:lastRenderedPageBreak/>
        <w:t>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F77A60"/>
    <w:p w:rsidR="002C5B50" w:rsidRDefault="002C5B50" w:rsidP="002C5B50"/>
    <w:p w:rsidR="002C5B50" w:rsidRDefault="002C5B50" w:rsidP="002C5B50">
      <w:pPr>
        <w:rPr>
          <w:b/>
          <w:szCs w:val="24"/>
        </w:rPr>
      </w:pPr>
      <w:r>
        <w:rPr>
          <w:b/>
          <w:szCs w:val="24"/>
        </w:rPr>
        <w:lastRenderedPageBreak/>
        <w:t>Appendix 2</w:t>
      </w:r>
    </w:p>
    <w:p w:rsidR="002C5B50" w:rsidRPr="00E02341" w:rsidRDefault="002C5B50" w:rsidP="002C5B50">
      <w:pPr>
        <w:rPr>
          <w:b/>
          <w:szCs w:val="24"/>
        </w:rPr>
      </w:pPr>
    </w:p>
    <w:p w:rsidR="002C5B50" w:rsidRPr="00E02341" w:rsidRDefault="002C5B50" w:rsidP="002C5B50">
      <w:pPr>
        <w:rPr>
          <w:b/>
          <w:szCs w:val="24"/>
          <w:u w:val="single"/>
        </w:rPr>
      </w:pPr>
      <w:r w:rsidRPr="00E02341">
        <w:rPr>
          <w:b/>
          <w:szCs w:val="24"/>
          <w:u w:val="single"/>
        </w:rPr>
        <w:t>Proposed Benchmarks for 2022-2023</w:t>
      </w:r>
    </w:p>
    <w:p w:rsidR="002C5B50" w:rsidRPr="00E02341" w:rsidRDefault="002C5B50" w:rsidP="002C5B50">
      <w:pPr>
        <w:rPr>
          <w:b/>
          <w:szCs w:val="24"/>
        </w:rPr>
      </w:pPr>
    </w:p>
    <w:p w:rsidR="002C5B50" w:rsidRPr="00E02341" w:rsidRDefault="002C5B50" w:rsidP="002C5B50">
      <w:pPr>
        <w:rPr>
          <w:szCs w:val="24"/>
        </w:rPr>
      </w:pPr>
      <w:r w:rsidRPr="00E02341">
        <w:rPr>
          <w:szCs w:val="24"/>
        </w:rPr>
        <w:t xml:space="preserve">The </w:t>
      </w:r>
      <w:r w:rsidRPr="00E02341">
        <w:rPr>
          <w:b/>
          <w:szCs w:val="24"/>
        </w:rPr>
        <w:t>Current (2021-22)</w:t>
      </w:r>
      <w:r w:rsidRPr="00E02341">
        <w:rPr>
          <w:szCs w:val="24"/>
        </w:rPr>
        <w:t xml:space="preserve"> </w:t>
      </w:r>
      <w:r w:rsidRPr="00E02341">
        <w:rPr>
          <w:b/>
          <w:szCs w:val="24"/>
        </w:rPr>
        <w:t>Performance</w:t>
      </w:r>
      <w:r w:rsidRPr="00E02341">
        <w:rPr>
          <w:szCs w:val="24"/>
        </w:rPr>
        <w:t xml:space="preserve"> figure is presented as the Number of Periods (out of the previous 12) that have been Better or Met.</w:t>
      </w:r>
    </w:p>
    <w:p w:rsidR="002C5B50" w:rsidRPr="00E02341" w:rsidRDefault="002C5B50" w:rsidP="002C5B50">
      <w:pPr>
        <w:rPr>
          <w:b/>
          <w:szCs w:val="24"/>
        </w:rPr>
      </w:pPr>
    </w:p>
    <w:p w:rsidR="002C5B50" w:rsidRPr="00E02341" w:rsidRDefault="002C5B50" w:rsidP="002C5B50">
      <w:pPr>
        <w:rPr>
          <w:szCs w:val="24"/>
        </w:rPr>
      </w:pPr>
      <w:r w:rsidRPr="00E02341">
        <w:rPr>
          <w:szCs w:val="24"/>
        </w:rPr>
        <w:t>*NB this is as of Feb-22 figures at time of writing.</w:t>
      </w:r>
    </w:p>
    <w:p w:rsidR="002C5B50" w:rsidRDefault="002C5B50" w:rsidP="002C5B50">
      <w:pPr>
        <w:rPr>
          <w:b/>
          <w:szCs w:val="24"/>
        </w:rPr>
      </w:pPr>
    </w:p>
    <w:p w:rsidR="002C5B50" w:rsidRPr="00E02341" w:rsidRDefault="002C5B50" w:rsidP="002C5B50">
      <w:pPr>
        <w:rPr>
          <w:b/>
          <w:szCs w:val="24"/>
        </w:rPr>
      </w:pPr>
      <w:r w:rsidRPr="00E02341">
        <w:rPr>
          <w:b/>
          <w:szCs w:val="24"/>
        </w:rPr>
        <w:t>Civil Applications</w:t>
      </w:r>
    </w:p>
    <w:p w:rsidR="002C5B50" w:rsidRPr="00E02341" w:rsidRDefault="002C5B50" w:rsidP="002C5B50">
      <w:pPr>
        <w:rPr>
          <w:b/>
          <w:szCs w:val="24"/>
        </w:rPr>
      </w:pPr>
    </w:p>
    <w:p w:rsidR="002C5B50" w:rsidRPr="00E02341" w:rsidRDefault="002C5B50" w:rsidP="002C5B50">
      <w:pPr>
        <w:rPr>
          <w:szCs w:val="24"/>
        </w:rPr>
      </w:pPr>
      <w:r w:rsidRPr="00E02341">
        <w:rPr>
          <w:szCs w:val="24"/>
        </w:rPr>
        <w:t>Four of the five KPIs saw more demanding benchmarks set for 2021-22. Performance remained high with all 12 reporting periods showing performance meeting or exceeding all of the five benchmarks.</w:t>
      </w:r>
    </w:p>
    <w:p w:rsidR="002C5B50" w:rsidRPr="00E02341" w:rsidRDefault="002C5B50" w:rsidP="002C5B50">
      <w:pPr>
        <w:rPr>
          <w:szCs w:val="24"/>
        </w:rPr>
      </w:pPr>
    </w:p>
    <w:p w:rsidR="002C5B50" w:rsidRPr="00E02341" w:rsidRDefault="002C5B50" w:rsidP="002C5B50">
      <w:pPr>
        <w:rPr>
          <w:szCs w:val="24"/>
        </w:rPr>
      </w:pPr>
      <w:r w:rsidRPr="00E02341">
        <w:rPr>
          <w:szCs w:val="24"/>
        </w:rPr>
        <w:t>It is suggested that the 3 benchmarks for non-AWI subject matters are improved slightly as highlighted below.</w:t>
      </w:r>
    </w:p>
    <w:p w:rsidR="002C5B50" w:rsidRPr="00E02341" w:rsidRDefault="002C5B50" w:rsidP="002C5B50">
      <w:pPr>
        <w:rPr>
          <w:b/>
          <w:szCs w:val="24"/>
        </w:rPr>
      </w:pPr>
    </w:p>
    <w:tbl>
      <w:tblPr>
        <w:tblStyle w:val="TableGrid"/>
        <w:tblW w:w="11097" w:type="dxa"/>
        <w:jc w:val="center"/>
        <w:tblLayout w:type="fixed"/>
        <w:tblLook w:val="04A0" w:firstRow="1" w:lastRow="0" w:firstColumn="1" w:lastColumn="0" w:noHBand="0" w:noVBand="1"/>
      </w:tblPr>
      <w:tblGrid>
        <w:gridCol w:w="584"/>
        <w:gridCol w:w="2236"/>
        <w:gridCol w:w="1570"/>
        <w:gridCol w:w="1701"/>
        <w:gridCol w:w="1559"/>
        <w:gridCol w:w="1701"/>
        <w:gridCol w:w="1746"/>
      </w:tblGrid>
      <w:tr w:rsidR="002C5B50" w:rsidRPr="00E02341" w:rsidTr="002C5B50">
        <w:trPr>
          <w:trHeight w:val="318"/>
          <w:jc w:val="center"/>
        </w:trPr>
        <w:tc>
          <w:tcPr>
            <w:tcW w:w="584" w:type="dxa"/>
            <w:vAlign w:val="center"/>
          </w:tcPr>
          <w:p w:rsidR="002C5B50" w:rsidRPr="00E02341" w:rsidRDefault="002C5B50" w:rsidP="00351A42">
            <w:pPr>
              <w:jc w:val="center"/>
              <w:rPr>
                <w:b/>
                <w:szCs w:val="24"/>
              </w:rPr>
            </w:pPr>
          </w:p>
        </w:tc>
        <w:tc>
          <w:tcPr>
            <w:tcW w:w="2236" w:type="dxa"/>
            <w:vAlign w:val="center"/>
          </w:tcPr>
          <w:p w:rsidR="002C5B50" w:rsidRPr="00E02341" w:rsidRDefault="002C5B50" w:rsidP="00351A42">
            <w:pPr>
              <w:rPr>
                <w:b/>
                <w:szCs w:val="24"/>
              </w:rPr>
            </w:pPr>
          </w:p>
        </w:tc>
        <w:tc>
          <w:tcPr>
            <w:tcW w:w="3271" w:type="dxa"/>
            <w:gridSpan w:val="2"/>
            <w:vAlign w:val="center"/>
          </w:tcPr>
          <w:p w:rsidR="002C5B50" w:rsidRPr="00E02341" w:rsidRDefault="002C5B50" w:rsidP="00351A42">
            <w:pPr>
              <w:jc w:val="center"/>
              <w:rPr>
                <w:b/>
                <w:szCs w:val="24"/>
              </w:rPr>
            </w:pPr>
            <w:r w:rsidRPr="00E02341">
              <w:rPr>
                <w:b/>
                <w:szCs w:val="24"/>
              </w:rPr>
              <w:t>2020-21</w:t>
            </w:r>
          </w:p>
        </w:tc>
        <w:tc>
          <w:tcPr>
            <w:tcW w:w="3260" w:type="dxa"/>
            <w:gridSpan w:val="2"/>
            <w:vAlign w:val="center"/>
          </w:tcPr>
          <w:p w:rsidR="002C5B50" w:rsidRPr="00E02341" w:rsidRDefault="002C5B50" w:rsidP="00351A42">
            <w:pPr>
              <w:jc w:val="center"/>
              <w:rPr>
                <w:b/>
                <w:szCs w:val="24"/>
              </w:rPr>
            </w:pPr>
            <w:r w:rsidRPr="00E02341">
              <w:rPr>
                <w:b/>
                <w:szCs w:val="24"/>
              </w:rPr>
              <w:t>2021-22*</w:t>
            </w:r>
          </w:p>
        </w:tc>
        <w:tc>
          <w:tcPr>
            <w:tcW w:w="1746" w:type="dxa"/>
          </w:tcPr>
          <w:p w:rsidR="002C5B50" w:rsidRPr="00E02341" w:rsidRDefault="002C5B50" w:rsidP="00351A42">
            <w:pPr>
              <w:jc w:val="center"/>
              <w:rPr>
                <w:b/>
                <w:szCs w:val="24"/>
              </w:rPr>
            </w:pPr>
            <w:r w:rsidRPr="00E02341">
              <w:rPr>
                <w:b/>
                <w:szCs w:val="24"/>
              </w:rPr>
              <w:t>2022-23</w:t>
            </w:r>
          </w:p>
        </w:tc>
      </w:tr>
      <w:tr w:rsidR="002C5B50" w:rsidRPr="00E02341" w:rsidTr="002C5B50">
        <w:trPr>
          <w:trHeight w:val="318"/>
          <w:jc w:val="center"/>
        </w:trPr>
        <w:tc>
          <w:tcPr>
            <w:tcW w:w="584" w:type="dxa"/>
            <w:vAlign w:val="center"/>
          </w:tcPr>
          <w:p w:rsidR="002C5B50" w:rsidRPr="00E02341" w:rsidRDefault="002C5B50" w:rsidP="00351A42">
            <w:pPr>
              <w:jc w:val="center"/>
              <w:rPr>
                <w:b/>
                <w:szCs w:val="24"/>
              </w:rPr>
            </w:pPr>
            <w:r w:rsidRPr="00E02341">
              <w:rPr>
                <w:b/>
                <w:szCs w:val="24"/>
              </w:rPr>
              <w:t>KPI</w:t>
            </w:r>
          </w:p>
        </w:tc>
        <w:tc>
          <w:tcPr>
            <w:tcW w:w="2236" w:type="dxa"/>
            <w:vAlign w:val="center"/>
          </w:tcPr>
          <w:p w:rsidR="002C5B50" w:rsidRPr="00E02341" w:rsidRDefault="002C5B50" w:rsidP="00351A42">
            <w:pPr>
              <w:rPr>
                <w:b/>
                <w:szCs w:val="24"/>
              </w:rPr>
            </w:pPr>
            <w:r w:rsidRPr="00E02341">
              <w:rPr>
                <w:b/>
                <w:szCs w:val="24"/>
              </w:rPr>
              <w:t>Measure</w:t>
            </w:r>
          </w:p>
        </w:tc>
        <w:tc>
          <w:tcPr>
            <w:tcW w:w="1570" w:type="dxa"/>
            <w:vAlign w:val="center"/>
          </w:tcPr>
          <w:p w:rsidR="002C5B50" w:rsidRPr="00E02341" w:rsidRDefault="002C5B50" w:rsidP="00351A42">
            <w:pPr>
              <w:jc w:val="center"/>
              <w:rPr>
                <w:b/>
                <w:szCs w:val="24"/>
              </w:rPr>
            </w:pPr>
            <w:r w:rsidRPr="00E02341">
              <w:rPr>
                <w:b/>
                <w:szCs w:val="24"/>
              </w:rPr>
              <w:t>Benchmark</w:t>
            </w:r>
          </w:p>
        </w:tc>
        <w:tc>
          <w:tcPr>
            <w:tcW w:w="1701" w:type="dxa"/>
            <w:vAlign w:val="center"/>
          </w:tcPr>
          <w:p w:rsidR="002C5B50" w:rsidRPr="00E02341" w:rsidRDefault="002C5B50" w:rsidP="00351A42">
            <w:pPr>
              <w:jc w:val="center"/>
              <w:rPr>
                <w:b/>
                <w:szCs w:val="24"/>
              </w:rPr>
            </w:pPr>
            <w:r w:rsidRPr="00E02341">
              <w:rPr>
                <w:b/>
                <w:szCs w:val="24"/>
              </w:rPr>
              <w:t>Performance</w:t>
            </w:r>
          </w:p>
          <w:p w:rsidR="002C5B50" w:rsidRPr="00E02341" w:rsidRDefault="002C5B50" w:rsidP="00351A42">
            <w:pPr>
              <w:jc w:val="center"/>
              <w:rPr>
                <w:b/>
                <w:szCs w:val="24"/>
              </w:rPr>
            </w:pPr>
          </w:p>
        </w:tc>
        <w:tc>
          <w:tcPr>
            <w:tcW w:w="1559" w:type="dxa"/>
            <w:vAlign w:val="center"/>
          </w:tcPr>
          <w:p w:rsidR="002C5B50" w:rsidRPr="00E02341" w:rsidRDefault="002C5B50" w:rsidP="00351A42">
            <w:pPr>
              <w:jc w:val="center"/>
              <w:rPr>
                <w:b/>
                <w:szCs w:val="24"/>
              </w:rPr>
            </w:pPr>
            <w:r w:rsidRPr="00E02341">
              <w:rPr>
                <w:b/>
                <w:szCs w:val="24"/>
              </w:rPr>
              <w:t>Benchmark</w:t>
            </w:r>
          </w:p>
        </w:tc>
        <w:tc>
          <w:tcPr>
            <w:tcW w:w="1701" w:type="dxa"/>
            <w:vAlign w:val="center"/>
          </w:tcPr>
          <w:p w:rsidR="002C5B50" w:rsidRPr="00E02341" w:rsidRDefault="002C5B50" w:rsidP="00351A42">
            <w:pPr>
              <w:jc w:val="center"/>
              <w:rPr>
                <w:b/>
                <w:szCs w:val="24"/>
              </w:rPr>
            </w:pPr>
            <w:r w:rsidRPr="00E02341">
              <w:rPr>
                <w:b/>
                <w:szCs w:val="24"/>
              </w:rPr>
              <w:t>Performance</w:t>
            </w:r>
          </w:p>
          <w:p w:rsidR="002C5B50" w:rsidRPr="00E02341" w:rsidRDefault="002C5B50" w:rsidP="00351A42">
            <w:pPr>
              <w:jc w:val="center"/>
              <w:rPr>
                <w:b/>
                <w:szCs w:val="24"/>
              </w:rPr>
            </w:pPr>
          </w:p>
        </w:tc>
        <w:tc>
          <w:tcPr>
            <w:tcW w:w="1746" w:type="dxa"/>
          </w:tcPr>
          <w:p w:rsidR="002C5B50" w:rsidRPr="00E02341" w:rsidRDefault="002C5B50" w:rsidP="00351A42">
            <w:pPr>
              <w:jc w:val="center"/>
              <w:rPr>
                <w:b/>
                <w:szCs w:val="24"/>
              </w:rPr>
            </w:pPr>
            <w:r w:rsidRPr="00E02341">
              <w:rPr>
                <w:b/>
                <w:szCs w:val="24"/>
              </w:rPr>
              <w:t>Suggested benchmark</w:t>
            </w:r>
          </w:p>
        </w:tc>
      </w:tr>
      <w:tr w:rsidR="002C5B50" w:rsidRPr="00E02341" w:rsidTr="002C5B50">
        <w:trPr>
          <w:trHeight w:val="318"/>
          <w:jc w:val="center"/>
        </w:trPr>
        <w:tc>
          <w:tcPr>
            <w:tcW w:w="584" w:type="dxa"/>
            <w:vAlign w:val="center"/>
          </w:tcPr>
          <w:p w:rsidR="002C5B50" w:rsidRPr="00E02341" w:rsidRDefault="002C5B50" w:rsidP="00351A42">
            <w:pPr>
              <w:jc w:val="center"/>
              <w:rPr>
                <w:b/>
                <w:szCs w:val="24"/>
              </w:rPr>
            </w:pPr>
          </w:p>
        </w:tc>
        <w:tc>
          <w:tcPr>
            <w:tcW w:w="2236" w:type="dxa"/>
            <w:vAlign w:val="center"/>
          </w:tcPr>
          <w:p w:rsidR="002C5B50" w:rsidRPr="00E02341" w:rsidRDefault="002C5B50" w:rsidP="00351A42">
            <w:pPr>
              <w:rPr>
                <w:b/>
                <w:szCs w:val="24"/>
              </w:rPr>
            </w:pPr>
            <w:r w:rsidRPr="00E02341">
              <w:rPr>
                <w:b/>
                <w:szCs w:val="24"/>
              </w:rPr>
              <w:t>Adults with incapacity</w:t>
            </w:r>
          </w:p>
        </w:tc>
        <w:tc>
          <w:tcPr>
            <w:tcW w:w="1570" w:type="dxa"/>
            <w:vAlign w:val="center"/>
          </w:tcPr>
          <w:p w:rsidR="002C5B50" w:rsidRPr="00E02341" w:rsidRDefault="002C5B50" w:rsidP="00351A42">
            <w:pPr>
              <w:jc w:val="center"/>
              <w:rPr>
                <w:b/>
                <w:szCs w:val="24"/>
              </w:rPr>
            </w:pPr>
          </w:p>
        </w:tc>
        <w:tc>
          <w:tcPr>
            <w:tcW w:w="1701" w:type="dxa"/>
            <w:vAlign w:val="center"/>
          </w:tcPr>
          <w:p w:rsidR="002C5B50" w:rsidRPr="00E02341" w:rsidRDefault="002C5B50" w:rsidP="00351A42">
            <w:pPr>
              <w:jc w:val="center"/>
              <w:rPr>
                <w:b/>
                <w:szCs w:val="24"/>
              </w:rPr>
            </w:pPr>
          </w:p>
        </w:tc>
        <w:tc>
          <w:tcPr>
            <w:tcW w:w="1559" w:type="dxa"/>
            <w:vAlign w:val="center"/>
          </w:tcPr>
          <w:p w:rsidR="002C5B50" w:rsidRPr="00E02341" w:rsidRDefault="002C5B50" w:rsidP="00351A42">
            <w:pPr>
              <w:jc w:val="center"/>
              <w:rPr>
                <w:b/>
                <w:szCs w:val="24"/>
              </w:rPr>
            </w:pPr>
          </w:p>
        </w:tc>
        <w:tc>
          <w:tcPr>
            <w:tcW w:w="1701" w:type="dxa"/>
            <w:vAlign w:val="center"/>
          </w:tcPr>
          <w:p w:rsidR="002C5B50" w:rsidRPr="00E02341" w:rsidRDefault="002C5B50" w:rsidP="00351A42">
            <w:pPr>
              <w:jc w:val="center"/>
              <w:rPr>
                <w:b/>
                <w:szCs w:val="24"/>
              </w:rPr>
            </w:pPr>
          </w:p>
        </w:tc>
        <w:tc>
          <w:tcPr>
            <w:tcW w:w="1746" w:type="dxa"/>
          </w:tcPr>
          <w:p w:rsidR="002C5B50" w:rsidRPr="00E02341" w:rsidRDefault="002C5B50" w:rsidP="00351A42">
            <w:pPr>
              <w:jc w:val="center"/>
              <w:rPr>
                <w:b/>
                <w:szCs w:val="24"/>
              </w:rPr>
            </w:pPr>
          </w:p>
        </w:tc>
      </w:tr>
      <w:tr w:rsidR="002C5B50" w:rsidRPr="00E02341" w:rsidTr="002C5B50">
        <w:trPr>
          <w:trHeight w:val="284"/>
          <w:jc w:val="center"/>
        </w:trPr>
        <w:tc>
          <w:tcPr>
            <w:tcW w:w="584" w:type="dxa"/>
            <w:vAlign w:val="center"/>
          </w:tcPr>
          <w:p w:rsidR="002C5B50" w:rsidRPr="00E02341" w:rsidRDefault="002C5B50" w:rsidP="00351A42">
            <w:pPr>
              <w:jc w:val="center"/>
              <w:rPr>
                <w:szCs w:val="24"/>
              </w:rPr>
            </w:pPr>
            <w:r w:rsidRPr="00E02341">
              <w:rPr>
                <w:szCs w:val="24"/>
              </w:rPr>
              <w:t>1</w:t>
            </w:r>
          </w:p>
        </w:tc>
        <w:tc>
          <w:tcPr>
            <w:tcW w:w="2236" w:type="dxa"/>
            <w:vAlign w:val="center"/>
          </w:tcPr>
          <w:p w:rsidR="002C5B50" w:rsidRPr="00E02341" w:rsidRDefault="002C5B50" w:rsidP="00351A42">
            <w:pPr>
              <w:rPr>
                <w:szCs w:val="24"/>
              </w:rPr>
            </w:pPr>
            <w:r w:rsidRPr="00E02341">
              <w:rPr>
                <w:szCs w:val="24"/>
              </w:rPr>
              <w:t>Average Duration</w:t>
            </w:r>
          </w:p>
        </w:tc>
        <w:tc>
          <w:tcPr>
            <w:tcW w:w="1570" w:type="dxa"/>
            <w:vAlign w:val="center"/>
          </w:tcPr>
          <w:p w:rsidR="002C5B50" w:rsidRPr="00E02341" w:rsidRDefault="002C5B50" w:rsidP="00351A42">
            <w:pPr>
              <w:jc w:val="center"/>
              <w:rPr>
                <w:szCs w:val="24"/>
              </w:rPr>
            </w:pPr>
            <w:r w:rsidRPr="00E02341">
              <w:rPr>
                <w:szCs w:val="24"/>
              </w:rPr>
              <w:t>23 days</w:t>
            </w:r>
          </w:p>
        </w:tc>
        <w:tc>
          <w:tcPr>
            <w:tcW w:w="1701" w:type="dxa"/>
            <w:vAlign w:val="center"/>
          </w:tcPr>
          <w:p w:rsidR="002C5B50" w:rsidRPr="00E02341" w:rsidRDefault="002C5B50" w:rsidP="00351A42">
            <w:pPr>
              <w:jc w:val="center"/>
              <w:rPr>
                <w:szCs w:val="24"/>
              </w:rPr>
            </w:pPr>
            <w:r w:rsidRPr="00E02341">
              <w:rPr>
                <w:szCs w:val="24"/>
              </w:rPr>
              <w:t>12</w:t>
            </w:r>
          </w:p>
        </w:tc>
        <w:tc>
          <w:tcPr>
            <w:tcW w:w="1559" w:type="dxa"/>
            <w:vAlign w:val="center"/>
          </w:tcPr>
          <w:p w:rsidR="002C5B50" w:rsidRPr="00E02341" w:rsidRDefault="002C5B50" w:rsidP="00351A42">
            <w:pPr>
              <w:jc w:val="center"/>
              <w:rPr>
                <w:szCs w:val="24"/>
              </w:rPr>
            </w:pPr>
            <w:r w:rsidRPr="00E02341">
              <w:rPr>
                <w:szCs w:val="24"/>
              </w:rPr>
              <w:t>17 days</w:t>
            </w:r>
          </w:p>
        </w:tc>
        <w:tc>
          <w:tcPr>
            <w:tcW w:w="1701" w:type="dxa"/>
            <w:vAlign w:val="center"/>
          </w:tcPr>
          <w:p w:rsidR="002C5B50" w:rsidRPr="00E02341" w:rsidRDefault="002C5B50" w:rsidP="00351A42">
            <w:pPr>
              <w:jc w:val="center"/>
              <w:rPr>
                <w:szCs w:val="24"/>
              </w:rPr>
            </w:pPr>
            <w:r w:rsidRPr="00E02341">
              <w:rPr>
                <w:szCs w:val="24"/>
              </w:rPr>
              <w:t>12</w:t>
            </w:r>
          </w:p>
        </w:tc>
        <w:tc>
          <w:tcPr>
            <w:tcW w:w="1746" w:type="dxa"/>
          </w:tcPr>
          <w:p w:rsidR="002C5B50" w:rsidRPr="00E02341" w:rsidRDefault="002C5B50" w:rsidP="00351A42">
            <w:pPr>
              <w:jc w:val="center"/>
              <w:rPr>
                <w:szCs w:val="24"/>
              </w:rPr>
            </w:pPr>
            <w:r w:rsidRPr="00E02341">
              <w:rPr>
                <w:szCs w:val="24"/>
              </w:rPr>
              <w:t>Keep same</w:t>
            </w:r>
          </w:p>
        </w:tc>
      </w:tr>
      <w:tr w:rsidR="002C5B50" w:rsidRPr="00E02341" w:rsidTr="002C5B50">
        <w:trPr>
          <w:trHeight w:val="284"/>
          <w:jc w:val="center"/>
        </w:trPr>
        <w:tc>
          <w:tcPr>
            <w:tcW w:w="584" w:type="dxa"/>
            <w:vAlign w:val="center"/>
          </w:tcPr>
          <w:p w:rsidR="002C5B50" w:rsidRPr="00E02341" w:rsidRDefault="002C5B50" w:rsidP="00351A42">
            <w:pPr>
              <w:jc w:val="center"/>
              <w:rPr>
                <w:szCs w:val="24"/>
              </w:rPr>
            </w:pPr>
            <w:r w:rsidRPr="00E02341">
              <w:rPr>
                <w:szCs w:val="24"/>
              </w:rPr>
              <w:t>2</w:t>
            </w:r>
          </w:p>
        </w:tc>
        <w:tc>
          <w:tcPr>
            <w:tcW w:w="2236" w:type="dxa"/>
            <w:vAlign w:val="center"/>
          </w:tcPr>
          <w:p w:rsidR="002C5B50" w:rsidRPr="00E02341" w:rsidRDefault="002C5B50" w:rsidP="00351A42">
            <w:pPr>
              <w:rPr>
                <w:szCs w:val="24"/>
              </w:rPr>
            </w:pPr>
            <w:r w:rsidRPr="00E02341">
              <w:rPr>
                <w:szCs w:val="24"/>
              </w:rPr>
              <w:t>Percent Granted</w:t>
            </w:r>
          </w:p>
        </w:tc>
        <w:tc>
          <w:tcPr>
            <w:tcW w:w="1570" w:type="dxa"/>
            <w:vAlign w:val="center"/>
          </w:tcPr>
          <w:p w:rsidR="002C5B50" w:rsidRPr="00E02341" w:rsidRDefault="002C5B50" w:rsidP="00351A42">
            <w:pPr>
              <w:jc w:val="center"/>
              <w:rPr>
                <w:szCs w:val="24"/>
              </w:rPr>
            </w:pPr>
            <w:r w:rsidRPr="00E02341">
              <w:rPr>
                <w:szCs w:val="24"/>
              </w:rPr>
              <w:t>96%</w:t>
            </w:r>
          </w:p>
        </w:tc>
        <w:tc>
          <w:tcPr>
            <w:tcW w:w="1701" w:type="dxa"/>
            <w:vAlign w:val="center"/>
          </w:tcPr>
          <w:p w:rsidR="002C5B50" w:rsidRPr="00E02341" w:rsidRDefault="002C5B50" w:rsidP="00351A42">
            <w:pPr>
              <w:jc w:val="center"/>
              <w:rPr>
                <w:szCs w:val="24"/>
              </w:rPr>
            </w:pPr>
            <w:r w:rsidRPr="00E02341">
              <w:rPr>
                <w:szCs w:val="24"/>
              </w:rPr>
              <w:t>12</w:t>
            </w:r>
          </w:p>
        </w:tc>
        <w:tc>
          <w:tcPr>
            <w:tcW w:w="1559" w:type="dxa"/>
            <w:vAlign w:val="center"/>
          </w:tcPr>
          <w:p w:rsidR="002C5B50" w:rsidRPr="00E02341" w:rsidRDefault="002C5B50" w:rsidP="00351A42">
            <w:pPr>
              <w:jc w:val="center"/>
              <w:rPr>
                <w:szCs w:val="24"/>
              </w:rPr>
            </w:pPr>
            <w:r w:rsidRPr="00E02341">
              <w:rPr>
                <w:szCs w:val="24"/>
              </w:rPr>
              <w:t>Unchanged</w:t>
            </w:r>
          </w:p>
        </w:tc>
        <w:tc>
          <w:tcPr>
            <w:tcW w:w="1701" w:type="dxa"/>
            <w:vAlign w:val="center"/>
          </w:tcPr>
          <w:p w:rsidR="002C5B50" w:rsidRPr="00E02341" w:rsidRDefault="002C5B50" w:rsidP="00351A42">
            <w:pPr>
              <w:jc w:val="center"/>
              <w:rPr>
                <w:szCs w:val="24"/>
              </w:rPr>
            </w:pPr>
            <w:r w:rsidRPr="00E02341">
              <w:rPr>
                <w:szCs w:val="24"/>
              </w:rPr>
              <w:t>12</w:t>
            </w:r>
          </w:p>
        </w:tc>
        <w:tc>
          <w:tcPr>
            <w:tcW w:w="1746" w:type="dxa"/>
          </w:tcPr>
          <w:p w:rsidR="002C5B50" w:rsidRPr="00E02341" w:rsidRDefault="002C5B50" w:rsidP="00351A42">
            <w:pPr>
              <w:jc w:val="center"/>
              <w:rPr>
                <w:szCs w:val="24"/>
              </w:rPr>
            </w:pPr>
            <w:r w:rsidRPr="00E02341">
              <w:rPr>
                <w:szCs w:val="24"/>
              </w:rPr>
              <w:t>Keep same</w:t>
            </w:r>
          </w:p>
        </w:tc>
      </w:tr>
      <w:tr w:rsidR="002C5B50" w:rsidRPr="00E02341" w:rsidTr="002C5B50">
        <w:trPr>
          <w:trHeight w:val="269"/>
          <w:jc w:val="center"/>
        </w:trPr>
        <w:tc>
          <w:tcPr>
            <w:tcW w:w="584" w:type="dxa"/>
            <w:vAlign w:val="center"/>
          </w:tcPr>
          <w:p w:rsidR="002C5B50" w:rsidRPr="00E02341" w:rsidRDefault="002C5B50" w:rsidP="00351A42">
            <w:pPr>
              <w:jc w:val="center"/>
              <w:rPr>
                <w:szCs w:val="24"/>
              </w:rPr>
            </w:pPr>
          </w:p>
        </w:tc>
        <w:tc>
          <w:tcPr>
            <w:tcW w:w="2236" w:type="dxa"/>
            <w:vAlign w:val="center"/>
          </w:tcPr>
          <w:p w:rsidR="002C5B50" w:rsidRPr="00E02341" w:rsidRDefault="002C5B50" w:rsidP="00351A42">
            <w:pPr>
              <w:rPr>
                <w:b/>
                <w:szCs w:val="24"/>
              </w:rPr>
            </w:pPr>
            <w:r w:rsidRPr="00E02341">
              <w:rPr>
                <w:b/>
                <w:szCs w:val="24"/>
              </w:rPr>
              <w:t>Other subject matters</w:t>
            </w:r>
          </w:p>
        </w:tc>
        <w:tc>
          <w:tcPr>
            <w:tcW w:w="1570" w:type="dxa"/>
            <w:vAlign w:val="center"/>
          </w:tcPr>
          <w:p w:rsidR="002C5B50" w:rsidRPr="00E02341" w:rsidRDefault="002C5B50" w:rsidP="00351A42">
            <w:pPr>
              <w:jc w:val="center"/>
              <w:rPr>
                <w:szCs w:val="24"/>
              </w:rPr>
            </w:pPr>
          </w:p>
        </w:tc>
        <w:tc>
          <w:tcPr>
            <w:tcW w:w="1701" w:type="dxa"/>
            <w:vAlign w:val="center"/>
          </w:tcPr>
          <w:p w:rsidR="002C5B50" w:rsidRPr="00E02341" w:rsidRDefault="002C5B50" w:rsidP="00351A42">
            <w:pPr>
              <w:jc w:val="center"/>
              <w:rPr>
                <w:szCs w:val="24"/>
              </w:rPr>
            </w:pPr>
          </w:p>
        </w:tc>
        <w:tc>
          <w:tcPr>
            <w:tcW w:w="1559" w:type="dxa"/>
            <w:vAlign w:val="center"/>
          </w:tcPr>
          <w:p w:rsidR="002C5B50" w:rsidRPr="00E02341" w:rsidRDefault="002C5B50" w:rsidP="00351A42">
            <w:pPr>
              <w:jc w:val="center"/>
              <w:rPr>
                <w:szCs w:val="24"/>
              </w:rPr>
            </w:pPr>
          </w:p>
        </w:tc>
        <w:tc>
          <w:tcPr>
            <w:tcW w:w="1701" w:type="dxa"/>
            <w:vAlign w:val="center"/>
          </w:tcPr>
          <w:p w:rsidR="002C5B50" w:rsidRPr="00E02341" w:rsidRDefault="002C5B50" w:rsidP="00351A42">
            <w:pPr>
              <w:jc w:val="center"/>
              <w:rPr>
                <w:szCs w:val="24"/>
              </w:rPr>
            </w:pPr>
          </w:p>
        </w:tc>
        <w:tc>
          <w:tcPr>
            <w:tcW w:w="1746" w:type="dxa"/>
          </w:tcPr>
          <w:p w:rsidR="002C5B50" w:rsidRPr="00E02341" w:rsidRDefault="002C5B50" w:rsidP="00351A42">
            <w:pPr>
              <w:jc w:val="center"/>
              <w:rPr>
                <w:szCs w:val="24"/>
              </w:rPr>
            </w:pPr>
          </w:p>
        </w:tc>
      </w:tr>
      <w:tr w:rsidR="002C5B50" w:rsidRPr="00E02341" w:rsidTr="002C5B50">
        <w:trPr>
          <w:trHeight w:val="269"/>
          <w:jc w:val="center"/>
        </w:trPr>
        <w:tc>
          <w:tcPr>
            <w:tcW w:w="584" w:type="dxa"/>
            <w:vAlign w:val="center"/>
          </w:tcPr>
          <w:p w:rsidR="002C5B50" w:rsidRPr="00E02341" w:rsidRDefault="002C5B50" w:rsidP="00351A42">
            <w:pPr>
              <w:jc w:val="center"/>
              <w:rPr>
                <w:szCs w:val="24"/>
                <w:highlight w:val="yellow"/>
              </w:rPr>
            </w:pPr>
            <w:r w:rsidRPr="00E02341">
              <w:rPr>
                <w:szCs w:val="24"/>
                <w:highlight w:val="yellow"/>
              </w:rPr>
              <w:t>3</w:t>
            </w:r>
          </w:p>
        </w:tc>
        <w:tc>
          <w:tcPr>
            <w:tcW w:w="2236" w:type="dxa"/>
            <w:vAlign w:val="center"/>
          </w:tcPr>
          <w:p w:rsidR="002C5B50" w:rsidRPr="00E02341" w:rsidRDefault="002C5B50" w:rsidP="00351A42">
            <w:pPr>
              <w:rPr>
                <w:szCs w:val="24"/>
                <w:highlight w:val="yellow"/>
              </w:rPr>
            </w:pPr>
            <w:r w:rsidRPr="00E02341">
              <w:rPr>
                <w:szCs w:val="24"/>
                <w:highlight w:val="yellow"/>
              </w:rPr>
              <w:t>Average Duration</w:t>
            </w:r>
          </w:p>
        </w:tc>
        <w:tc>
          <w:tcPr>
            <w:tcW w:w="1570" w:type="dxa"/>
            <w:vAlign w:val="center"/>
          </w:tcPr>
          <w:p w:rsidR="002C5B50" w:rsidRPr="00E02341" w:rsidRDefault="002C5B50" w:rsidP="00351A42">
            <w:pPr>
              <w:jc w:val="center"/>
              <w:rPr>
                <w:szCs w:val="24"/>
              </w:rPr>
            </w:pPr>
            <w:r w:rsidRPr="00E02341">
              <w:rPr>
                <w:szCs w:val="24"/>
              </w:rPr>
              <w:t>70 days</w:t>
            </w:r>
          </w:p>
        </w:tc>
        <w:tc>
          <w:tcPr>
            <w:tcW w:w="1701" w:type="dxa"/>
            <w:vAlign w:val="center"/>
          </w:tcPr>
          <w:p w:rsidR="002C5B50" w:rsidRPr="00E02341" w:rsidRDefault="002C5B50" w:rsidP="00351A42">
            <w:pPr>
              <w:jc w:val="center"/>
              <w:rPr>
                <w:szCs w:val="24"/>
              </w:rPr>
            </w:pPr>
            <w:r w:rsidRPr="00E02341">
              <w:rPr>
                <w:szCs w:val="24"/>
              </w:rPr>
              <w:t>12</w:t>
            </w:r>
          </w:p>
        </w:tc>
        <w:tc>
          <w:tcPr>
            <w:tcW w:w="1559" w:type="dxa"/>
            <w:vAlign w:val="center"/>
          </w:tcPr>
          <w:p w:rsidR="002C5B50" w:rsidRPr="00E02341" w:rsidRDefault="002C5B50" w:rsidP="00351A42">
            <w:pPr>
              <w:jc w:val="center"/>
              <w:rPr>
                <w:szCs w:val="24"/>
              </w:rPr>
            </w:pPr>
            <w:r w:rsidRPr="00E02341">
              <w:rPr>
                <w:szCs w:val="24"/>
              </w:rPr>
              <w:t>68 days</w:t>
            </w:r>
          </w:p>
        </w:tc>
        <w:tc>
          <w:tcPr>
            <w:tcW w:w="1701" w:type="dxa"/>
            <w:vAlign w:val="center"/>
          </w:tcPr>
          <w:p w:rsidR="002C5B50" w:rsidRPr="00E02341" w:rsidRDefault="002C5B50" w:rsidP="00351A42">
            <w:pPr>
              <w:jc w:val="center"/>
              <w:rPr>
                <w:szCs w:val="24"/>
              </w:rPr>
            </w:pPr>
            <w:r w:rsidRPr="00E02341">
              <w:rPr>
                <w:szCs w:val="24"/>
              </w:rPr>
              <w:t>12</w:t>
            </w:r>
          </w:p>
        </w:tc>
        <w:tc>
          <w:tcPr>
            <w:tcW w:w="1746" w:type="dxa"/>
          </w:tcPr>
          <w:p w:rsidR="002C5B50" w:rsidRPr="00E02341" w:rsidRDefault="002C5B50" w:rsidP="00351A42">
            <w:pPr>
              <w:jc w:val="center"/>
              <w:rPr>
                <w:szCs w:val="24"/>
                <w:highlight w:val="yellow"/>
              </w:rPr>
            </w:pPr>
            <w:r w:rsidRPr="00E02341">
              <w:rPr>
                <w:szCs w:val="24"/>
                <w:highlight w:val="yellow"/>
              </w:rPr>
              <w:t>67 days</w:t>
            </w:r>
          </w:p>
        </w:tc>
      </w:tr>
      <w:tr w:rsidR="002C5B50" w:rsidRPr="00E02341" w:rsidTr="002C5B50">
        <w:trPr>
          <w:trHeight w:val="284"/>
          <w:jc w:val="center"/>
        </w:trPr>
        <w:tc>
          <w:tcPr>
            <w:tcW w:w="584" w:type="dxa"/>
            <w:vAlign w:val="center"/>
          </w:tcPr>
          <w:p w:rsidR="002C5B50" w:rsidRPr="00E02341" w:rsidRDefault="002C5B50" w:rsidP="00351A42">
            <w:pPr>
              <w:jc w:val="center"/>
              <w:rPr>
                <w:szCs w:val="24"/>
                <w:highlight w:val="yellow"/>
              </w:rPr>
            </w:pPr>
            <w:r w:rsidRPr="00E02341">
              <w:rPr>
                <w:szCs w:val="24"/>
                <w:highlight w:val="yellow"/>
              </w:rPr>
              <w:t>4</w:t>
            </w:r>
          </w:p>
        </w:tc>
        <w:tc>
          <w:tcPr>
            <w:tcW w:w="2236" w:type="dxa"/>
            <w:vAlign w:val="center"/>
          </w:tcPr>
          <w:p w:rsidR="002C5B50" w:rsidRPr="00E02341" w:rsidRDefault="002C5B50" w:rsidP="00351A42">
            <w:pPr>
              <w:rPr>
                <w:szCs w:val="24"/>
                <w:highlight w:val="yellow"/>
              </w:rPr>
            </w:pPr>
            <w:r w:rsidRPr="00E02341">
              <w:rPr>
                <w:szCs w:val="24"/>
                <w:highlight w:val="yellow"/>
              </w:rPr>
              <w:t>Percent Granted</w:t>
            </w:r>
          </w:p>
        </w:tc>
        <w:tc>
          <w:tcPr>
            <w:tcW w:w="1570" w:type="dxa"/>
            <w:vAlign w:val="center"/>
          </w:tcPr>
          <w:p w:rsidR="002C5B50" w:rsidRPr="00E02341" w:rsidRDefault="002C5B50" w:rsidP="00351A42">
            <w:pPr>
              <w:jc w:val="center"/>
              <w:rPr>
                <w:szCs w:val="24"/>
              </w:rPr>
            </w:pPr>
            <w:r w:rsidRPr="00E02341">
              <w:rPr>
                <w:szCs w:val="24"/>
              </w:rPr>
              <w:t>63%</w:t>
            </w:r>
          </w:p>
        </w:tc>
        <w:tc>
          <w:tcPr>
            <w:tcW w:w="1701" w:type="dxa"/>
            <w:vAlign w:val="center"/>
          </w:tcPr>
          <w:p w:rsidR="002C5B50" w:rsidRPr="00E02341" w:rsidRDefault="002C5B50" w:rsidP="00351A42">
            <w:pPr>
              <w:jc w:val="center"/>
              <w:rPr>
                <w:szCs w:val="24"/>
              </w:rPr>
            </w:pPr>
            <w:r w:rsidRPr="00E02341">
              <w:rPr>
                <w:szCs w:val="24"/>
              </w:rPr>
              <w:t>12</w:t>
            </w:r>
          </w:p>
        </w:tc>
        <w:tc>
          <w:tcPr>
            <w:tcW w:w="1559" w:type="dxa"/>
            <w:vAlign w:val="center"/>
          </w:tcPr>
          <w:p w:rsidR="002C5B50" w:rsidRPr="00E02341" w:rsidRDefault="002C5B50" w:rsidP="00351A42">
            <w:pPr>
              <w:jc w:val="center"/>
              <w:rPr>
                <w:szCs w:val="24"/>
              </w:rPr>
            </w:pPr>
            <w:r w:rsidRPr="00E02341">
              <w:rPr>
                <w:szCs w:val="24"/>
              </w:rPr>
              <w:t>70%</w:t>
            </w:r>
          </w:p>
        </w:tc>
        <w:tc>
          <w:tcPr>
            <w:tcW w:w="1701" w:type="dxa"/>
            <w:vAlign w:val="center"/>
          </w:tcPr>
          <w:p w:rsidR="002C5B50" w:rsidRPr="00E02341" w:rsidRDefault="002C5B50" w:rsidP="00351A42">
            <w:pPr>
              <w:jc w:val="center"/>
              <w:rPr>
                <w:szCs w:val="24"/>
              </w:rPr>
            </w:pPr>
            <w:r w:rsidRPr="00E02341">
              <w:rPr>
                <w:szCs w:val="24"/>
              </w:rPr>
              <w:t>12</w:t>
            </w:r>
          </w:p>
        </w:tc>
        <w:tc>
          <w:tcPr>
            <w:tcW w:w="1746" w:type="dxa"/>
          </w:tcPr>
          <w:p w:rsidR="002C5B50" w:rsidRPr="00E02341" w:rsidRDefault="002C5B50" w:rsidP="00351A42">
            <w:pPr>
              <w:jc w:val="center"/>
              <w:rPr>
                <w:szCs w:val="24"/>
                <w:highlight w:val="yellow"/>
              </w:rPr>
            </w:pPr>
            <w:r w:rsidRPr="00E02341">
              <w:rPr>
                <w:szCs w:val="24"/>
                <w:highlight w:val="yellow"/>
              </w:rPr>
              <w:t>72%</w:t>
            </w:r>
          </w:p>
        </w:tc>
      </w:tr>
      <w:tr w:rsidR="002C5B50" w:rsidRPr="00E02341" w:rsidTr="002C5B50">
        <w:trPr>
          <w:trHeight w:val="265"/>
          <w:jc w:val="center"/>
        </w:trPr>
        <w:tc>
          <w:tcPr>
            <w:tcW w:w="584" w:type="dxa"/>
            <w:vAlign w:val="center"/>
          </w:tcPr>
          <w:p w:rsidR="002C5B50" w:rsidRPr="00E02341" w:rsidRDefault="002C5B50" w:rsidP="00351A42">
            <w:pPr>
              <w:jc w:val="center"/>
              <w:rPr>
                <w:szCs w:val="24"/>
                <w:highlight w:val="yellow"/>
              </w:rPr>
            </w:pPr>
            <w:r w:rsidRPr="00E02341">
              <w:rPr>
                <w:szCs w:val="24"/>
                <w:highlight w:val="yellow"/>
              </w:rPr>
              <w:t>5</w:t>
            </w:r>
          </w:p>
        </w:tc>
        <w:tc>
          <w:tcPr>
            <w:tcW w:w="2236" w:type="dxa"/>
            <w:vAlign w:val="center"/>
          </w:tcPr>
          <w:p w:rsidR="002C5B50" w:rsidRPr="00E02341" w:rsidRDefault="002C5B50" w:rsidP="00351A42">
            <w:pPr>
              <w:rPr>
                <w:szCs w:val="24"/>
                <w:highlight w:val="yellow"/>
              </w:rPr>
            </w:pPr>
            <w:r w:rsidRPr="00E02341">
              <w:rPr>
                <w:szCs w:val="24"/>
                <w:highlight w:val="yellow"/>
              </w:rPr>
              <w:t>Further Work</w:t>
            </w:r>
          </w:p>
        </w:tc>
        <w:tc>
          <w:tcPr>
            <w:tcW w:w="1570" w:type="dxa"/>
            <w:vAlign w:val="center"/>
          </w:tcPr>
          <w:p w:rsidR="002C5B50" w:rsidRPr="00E02341" w:rsidRDefault="002C5B50" w:rsidP="00351A42">
            <w:pPr>
              <w:jc w:val="center"/>
              <w:rPr>
                <w:szCs w:val="24"/>
              </w:rPr>
            </w:pPr>
            <w:r w:rsidRPr="00E02341">
              <w:rPr>
                <w:szCs w:val="24"/>
              </w:rPr>
              <w:t>18%</w:t>
            </w:r>
          </w:p>
        </w:tc>
        <w:tc>
          <w:tcPr>
            <w:tcW w:w="1701" w:type="dxa"/>
            <w:vAlign w:val="center"/>
          </w:tcPr>
          <w:p w:rsidR="002C5B50" w:rsidRPr="00E02341" w:rsidRDefault="002C5B50" w:rsidP="00351A42">
            <w:pPr>
              <w:jc w:val="center"/>
              <w:rPr>
                <w:szCs w:val="24"/>
              </w:rPr>
            </w:pPr>
            <w:r w:rsidRPr="00E02341">
              <w:rPr>
                <w:szCs w:val="24"/>
              </w:rPr>
              <w:t>12</w:t>
            </w:r>
          </w:p>
        </w:tc>
        <w:tc>
          <w:tcPr>
            <w:tcW w:w="1559" w:type="dxa"/>
            <w:vAlign w:val="center"/>
          </w:tcPr>
          <w:p w:rsidR="002C5B50" w:rsidRPr="00E02341" w:rsidRDefault="002C5B50" w:rsidP="00351A42">
            <w:pPr>
              <w:jc w:val="center"/>
              <w:rPr>
                <w:szCs w:val="24"/>
              </w:rPr>
            </w:pPr>
            <w:r w:rsidRPr="00E02341">
              <w:rPr>
                <w:szCs w:val="24"/>
              </w:rPr>
              <w:t>14%</w:t>
            </w:r>
          </w:p>
        </w:tc>
        <w:tc>
          <w:tcPr>
            <w:tcW w:w="1701" w:type="dxa"/>
            <w:vAlign w:val="center"/>
          </w:tcPr>
          <w:p w:rsidR="002C5B50" w:rsidRPr="00E02341" w:rsidRDefault="002C5B50" w:rsidP="00351A42">
            <w:pPr>
              <w:jc w:val="center"/>
              <w:rPr>
                <w:szCs w:val="24"/>
              </w:rPr>
            </w:pPr>
            <w:r w:rsidRPr="00E02341">
              <w:rPr>
                <w:szCs w:val="24"/>
              </w:rPr>
              <w:t>12</w:t>
            </w:r>
          </w:p>
        </w:tc>
        <w:tc>
          <w:tcPr>
            <w:tcW w:w="1746" w:type="dxa"/>
          </w:tcPr>
          <w:p w:rsidR="002C5B50" w:rsidRPr="00E02341" w:rsidRDefault="002C5B50" w:rsidP="00351A42">
            <w:pPr>
              <w:jc w:val="center"/>
              <w:rPr>
                <w:szCs w:val="24"/>
                <w:highlight w:val="yellow"/>
              </w:rPr>
            </w:pPr>
            <w:r w:rsidRPr="00E02341">
              <w:rPr>
                <w:szCs w:val="24"/>
                <w:highlight w:val="yellow"/>
              </w:rPr>
              <w:t>12%</w:t>
            </w:r>
          </w:p>
        </w:tc>
      </w:tr>
    </w:tbl>
    <w:p w:rsidR="002C5B50" w:rsidRPr="00E02341" w:rsidRDefault="002C5B50" w:rsidP="002C5B50">
      <w:pPr>
        <w:rPr>
          <w:szCs w:val="24"/>
        </w:rPr>
      </w:pPr>
    </w:p>
    <w:p w:rsidR="002C5B50" w:rsidRDefault="002C5B50" w:rsidP="002C5B50">
      <w:pPr>
        <w:spacing w:after="200" w:line="276" w:lineRule="auto"/>
        <w:rPr>
          <w:b/>
          <w:szCs w:val="24"/>
        </w:rPr>
      </w:pPr>
    </w:p>
    <w:p w:rsidR="002C5B50" w:rsidRDefault="002C5B50" w:rsidP="002C5B50">
      <w:pPr>
        <w:spacing w:after="200" w:line="276" w:lineRule="auto"/>
        <w:rPr>
          <w:b/>
          <w:szCs w:val="24"/>
        </w:rPr>
      </w:pPr>
    </w:p>
    <w:p w:rsidR="002C5B50" w:rsidRPr="00E02341" w:rsidRDefault="002C5B50" w:rsidP="002C5B50">
      <w:pPr>
        <w:spacing w:after="200" w:line="276" w:lineRule="auto"/>
        <w:rPr>
          <w:b/>
          <w:szCs w:val="24"/>
        </w:rPr>
      </w:pPr>
      <w:r w:rsidRPr="00E02341">
        <w:rPr>
          <w:b/>
          <w:szCs w:val="24"/>
        </w:rPr>
        <w:t>Criminal Applications</w:t>
      </w:r>
    </w:p>
    <w:p w:rsidR="002C5B50" w:rsidRPr="00E02341" w:rsidRDefault="002C5B50" w:rsidP="002C5B50">
      <w:pPr>
        <w:spacing w:after="200" w:line="276" w:lineRule="auto"/>
        <w:rPr>
          <w:szCs w:val="24"/>
        </w:rPr>
      </w:pPr>
      <w:r w:rsidRPr="00E02341">
        <w:rPr>
          <w:szCs w:val="24"/>
        </w:rPr>
        <w:t>All three solemn KPIs remained unchanged as we were faced with a continuing elevated level of solemn work to deal with. Performance remained high with all 12 reporting periods showing performance meeting or exceeding all of the three benchmarks.</w:t>
      </w:r>
    </w:p>
    <w:p w:rsidR="002C5B50" w:rsidRPr="00E02341" w:rsidRDefault="002C5B50" w:rsidP="002C5B50">
      <w:pPr>
        <w:spacing w:after="200" w:line="276" w:lineRule="auto"/>
        <w:rPr>
          <w:szCs w:val="24"/>
        </w:rPr>
      </w:pPr>
      <w:r w:rsidRPr="00E02341">
        <w:rPr>
          <w:szCs w:val="24"/>
        </w:rPr>
        <w:t>In summary all three KPIs were set performance stretching benchmarks. Performance increased (compared with 2020/21) with all 12 reporting periods showing performance meeting or exceeding all of the three benchmarks.</w:t>
      </w:r>
    </w:p>
    <w:p w:rsidR="002C5B50" w:rsidRPr="00E02341" w:rsidRDefault="002C5B50" w:rsidP="002C5B50">
      <w:pPr>
        <w:spacing w:after="200" w:line="276" w:lineRule="auto"/>
        <w:rPr>
          <w:szCs w:val="24"/>
        </w:rPr>
      </w:pPr>
      <w:r w:rsidRPr="00E02341">
        <w:rPr>
          <w:szCs w:val="24"/>
        </w:rPr>
        <w:t>No KPIs appear to require change for 22-23. None of the indicators are consistently a long way away from the benchmark.</w:t>
      </w:r>
    </w:p>
    <w:tbl>
      <w:tblPr>
        <w:tblStyle w:val="TableGrid"/>
        <w:tblW w:w="9781" w:type="dxa"/>
        <w:tblInd w:w="-147" w:type="dxa"/>
        <w:tblLook w:val="04A0" w:firstRow="1" w:lastRow="0" w:firstColumn="1" w:lastColumn="0" w:noHBand="0" w:noVBand="1"/>
      </w:tblPr>
      <w:tblGrid>
        <w:gridCol w:w="572"/>
        <w:gridCol w:w="1252"/>
        <w:gridCol w:w="1472"/>
        <w:gridCol w:w="1661"/>
        <w:gridCol w:w="1472"/>
        <w:gridCol w:w="1661"/>
        <w:gridCol w:w="1691"/>
      </w:tblGrid>
      <w:tr w:rsidR="002C5B50" w:rsidRPr="00E02341" w:rsidTr="002C5B50">
        <w:trPr>
          <w:trHeight w:val="575"/>
        </w:trPr>
        <w:tc>
          <w:tcPr>
            <w:tcW w:w="555" w:type="dxa"/>
          </w:tcPr>
          <w:p w:rsidR="002C5B50" w:rsidRPr="00E02341" w:rsidRDefault="002C5B50" w:rsidP="00351A42">
            <w:pPr>
              <w:rPr>
                <w:b/>
                <w:szCs w:val="24"/>
              </w:rPr>
            </w:pPr>
          </w:p>
        </w:tc>
        <w:tc>
          <w:tcPr>
            <w:tcW w:w="1201" w:type="dxa"/>
          </w:tcPr>
          <w:p w:rsidR="002C5B50" w:rsidRPr="00E02341" w:rsidRDefault="002C5B50" w:rsidP="00351A42">
            <w:pPr>
              <w:rPr>
                <w:b/>
                <w:szCs w:val="24"/>
              </w:rPr>
            </w:pPr>
          </w:p>
        </w:tc>
        <w:tc>
          <w:tcPr>
            <w:tcW w:w="3000" w:type="dxa"/>
            <w:gridSpan w:val="2"/>
          </w:tcPr>
          <w:p w:rsidR="002C5B50" w:rsidRPr="00E02341" w:rsidRDefault="002C5B50" w:rsidP="00351A42">
            <w:pPr>
              <w:jc w:val="center"/>
              <w:rPr>
                <w:b/>
                <w:szCs w:val="24"/>
              </w:rPr>
            </w:pPr>
            <w:r w:rsidRPr="00E02341">
              <w:rPr>
                <w:b/>
                <w:szCs w:val="24"/>
              </w:rPr>
              <w:t xml:space="preserve">20/21 </w:t>
            </w:r>
          </w:p>
        </w:tc>
        <w:tc>
          <w:tcPr>
            <w:tcW w:w="3000" w:type="dxa"/>
            <w:gridSpan w:val="2"/>
          </w:tcPr>
          <w:p w:rsidR="002C5B50" w:rsidRPr="00E02341" w:rsidRDefault="002C5B50" w:rsidP="00351A42">
            <w:pPr>
              <w:jc w:val="center"/>
              <w:rPr>
                <w:b/>
                <w:szCs w:val="24"/>
              </w:rPr>
            </w:pPr>
            <w:r w:rsidRPr="00E02341">
              <w:rPr>
                <w:b/>
                <w:szCs w:val="24"/>
              </w:rPr>
              <w:t>21-22</w:t>
            </w:r>
          </w:p>
        </w:tc>
        <w:tc>
          <w:tcPr>
            <w:tcW w:w="2025" w:type="dxa"/>
          </w:tcPr>
          <w:p w:rsidR="002C5B50" w:rsidRPr="00E02341" w:rsidRDefault="002C5B50" w:rsidP="00351A42">
            <w:pPr>
              <w:jc w:val="center"/>
              <w:rPr>
                <w:b/>
                <w:szCs w:val="24"/>
              </w:rPr>
            </w:pPr>
            <w:r w:rsidRPr="00E02341">
              <w:rPr>
                <w:b/>
                <w:szCs w:val="24"/>
              </w:rPr>
              <w:t>22-23</w:t>
            </w:r>
          </w:p>
        </w:tc>
      </w:tr>
      <w:tr w:rsidR="002C5B50" w:rsidRPr="00E02341" w:rsidTr="002C5B50">
        <w:trPr>
          <w:trHeight w:val="575"/>
        </w:trPr>
        <w:tc>
          <w:tcPr>
            <w:tcW w:w="555" w:type="dxa"/>
            <w:vAlign w:val="center"/>
          </w:tcPr>
          <w:p w:rsidR="002C5B50" w:rsidRPr="00E02341" w:rsidRDefault="002C5B50" w:rsidP="00351A42">
            <w:pPr>
              <w:rPr>
                <w:b/>
                <w:szCs w:val="24"/>
              </w:rPr>
            </w:pPr>
            <w:r w:rsidRPr="00E02341">
              <w:rPr>
                <w:b/>
                <w:szCs w:val="24"/>
              </w:rPr>
              <w:t>KPI</w:t>
            </w:r>
          </w:p>
        </w:tc>
        <w:tc>
          <w:tcPr>
            <w:tcW w:w="1201" w:type="dxa"/>
            <w:vAlign w:val="center"/>
          </w:tcPr>
          <w:p w:rsidR="002C5B50" w:rsidRPr="00E02341" w:rsidRDefault="002C5B50" w:rsidP="00351A42">
            <w:pPr>
              <w:rPr>
                <w:b/>
                <w:szCs w:val="24"/>
              </w:rPr>
            </w:pPr>
            <w:r w:rsidRPr="00E02341">
              <w:rPr>
                <w:b/>
                <w:szCs w:val="24"/>
              </w:rPr>
              <w:t>Measure</w:t>
            </w:r>
          </w:p>
        </w:tc>
        <w:tc>
          <w:tcPr>
            <w:tcW w:w="1410" w:type="dxa"/>
          </w:tcPr>
          <w:p w:rsidR="002C5B50" w:rsidRPr="00E02341" w:rsidRDefault="002C5B50" w:rsidP="00351A42">
            <w:pPr>
              <w:jc w:val="center"/>
              <w:rPr>
                <w:b/>
                <w:szCs w:val="24"/>
              </w:rPr>
            </w:pPr>
            <w:r w:rsidRPr="00E02341">
              <w:rPr>
                <w:b/>
                <w:szCs w:val="24"/>
              </w:rPr>
              <w:t>Benchmark</w:t>
            </w:r>
          </w:p>
        </w:tc>
        <w:tc>
          <w:tcPr>
            <w:tcW w:w="1590" w:type="dxa"/>
          </w:tcPr>
          <w:p w:rsidR="002C5B50" w:rsidRPr="00E02341" w:rsidRDefault="002C5B50" w:rsidP="00351A42">
            <w:pPr>
              <w:jc w:val="center"/>
              <w:rPr>
                <w:b/>
                <w:szCs w:val="24"/>
              </w:rPr>
            </w:pPr>
            <w:r w:rsidRPr="00E02341">
              <w:rPr>
                <w:b/>
                <w:szCs w:val="24"/>
              </w:rPr>
              <w:t>Performance</w:t>
            </w:r>
          </w:p>
        </w:tc>
        <w:tc>
          <w:tcPr>
            <w:tcW w:w="1410" w:type="dxa"/>
          </w:tcPr>
          <w:p w:rsidR="002C5B50" w:rsidRPr="00E02341" w:rsidRDefault="002C5B50" w:rsidP="00351A42">
            <w:pPr>
              <w:jc w:val="center"/>
              <w:rPr>
                <w:b/>
                <w:szCs w:val="24"/>
              </w:rPr>
            </w:pPr>
            <w:r w:rsidRPr="00E02341">
              <w:rPr>
                <w:b/>
                <w:szCs w:val="24"/>
              </w:rPr>
              <w:t>Benchmark</w:t>
            </w:r>
          </w:p>
        </w:tc>
        <w:tc>
          <w:tcPr>
            <w:tcW w:w="1590" w:type="dxa"/>
          </w:tcPr>
          <w:p w:rsidR="002C5B50" w:rsidRPr="00E02341" w:rsidRDefault="002C5B50" w:rsidP="00351A42">
            <w:pPr>
              <w:jc w:val="center"/>
              <w:rPr>
                <w:b/>
                <w:szCs w:val="24"/>
              </w:rPr>
            </w:pPr>
            <w:r w:rsidRPr="00E02341">
              <w:rPr>
                <w:b/>
                <w:szCs w:val="24"/>
              </w:rPr>
              <w:t>Performance</w:t>
            </w:r>
          </w:p>
        </w:tc>
        <w:tc>
          <w:tcPr>
            <w:tcW w:w="2025" w:type="dxa"/>
          </w:tcPr>
          <w:p w:rsidR="002C5B50" w:rsidRPr="00E02341" w:rsidRDefault="002C5B50" w:rsidP="00351A42">
            <w:pPr>
              <w:jc w:val="center"/>
              <w:rPr>
                <w:b/>
                <w:szCs w:val="24"/>
              </w:rPr>
            </w:pPr>
            <w:r w:rsidRPr="00E02341">
              <w:rPr>
                <w:b/>
                <w:szCs w:val="24"/>
              </w:rPr>
              <w:t>Suggested benchmark</w:t>
            </w:r>
          </w:p>
        </w:tc>
      </w:tr>
      <w:tr w:rsidR="002C5B50" w:rsidRPr="00E02341" w:rsidTr="002C5B50">
        <w:trPr>
          <w:trHeight w:val="575"/>
        </w:trPr>
        <w:tc>
          <w:tcPr>
            <w:tcW w:w="555" w:type="dxa"/>
            <w:vAlign w:val="center"/>
          </w:tcPr>
          <w:p w:rsidR="002C5B50" w:rsidRPr="00E02341" w:rsidRDefault="002C5B50" w:rsidP="00351A42">
            <w:pPr>
              <w:rPr>
                <w:b/>
                <w:szCs w:val="24"/>
              </w:rPr>
            </w:pPr>
          </w:p>
        </w:tc>
        <w:tc>
          <w:tcPr>
            <w:tcW w:w="1201" w:type="dxa"/>
            <w:vAlign w:val="center"/>
          </w:tcPr>
          <w:p w:rsidR="002C5B50" w:rsidRPr="00E02341" w:rsidRDefault="002C5B50" w:rsidP="00351A42">
            <w:pPr>
              <w:rPr>
                <w:b/>
                <w:szCs w:val="24"/>
              </w:rPr>
            </w:pPr>
            <w:r w:rsidRPr="00E02341">
              <w:rPr>
                <w:b/>
                <w:szCs w:val="24"/>
              </w:rPr>
              <w:t>Solemn</w:t>
            </w:r>
          </w:p>
        </w:tc>
        <w:tc>
          <w:tcPr>
            <w:tcW w:w="1410" w:type="dxa"/>
          </w:tcPr>
          <w:p w:rsidR="002C5B50" w:rsidRPr="00E02341" w:rsidRDefault="002C5B50" w:rsidP="00351A42">
            <w:pPr>
              <w:jc w:val="center"/>
              <w:rPr>
                <w:b/>
                <w:szCs w:val="24"/>
              </w:rPr>
            </w:pPr>
          </w:p>
        </w:tc>
        <w:tc>
          <w:tcPr>
            <w:tcW w:w="1590" w:type="dxa"/>
          </w:tcPr>
          <w:p w:rsidR="002C5B50" w:rsidRPr="00E02341" w:rsidRDefault="002C5B50" w:rsidP="00351A42">
            <w:pPr>
              <w:jc w:val="center"/>
              <w:rPr>
                <w:b/>
                <w:szCs w:val="24"/>
              </w:rPr>
            </w:pPr>
          </w:p>
        </w:tc>
        <w:tc>
          <w:tcPr>
            <w:tcW w:w="1410" w:type="dxa"/>
          </w:tcPr>
          <w:p w:rsidR="002C5B50" w:rsidRPr="00E02341" w:rsidRDefault="002C5B50" w:rsidP="00351A42">
            <w:pPr>
              <w:jc w:val="center"/>
              <w:rPr>
                <w:b/>
                <w:szCs w:val="24"/>
              </w:rPr>
            </w:pPr>
          </w:p>
        </w:tc>
        <w:tc>
          <w:tcPr>
            <w:tcW w:w="1590" w:type="dxa"/>
          </w:tcPr>
          <w:p w:rsidR="002C5B50" w:rsidRPr="00E02341" w:rsidRDefault="002C5B50" w:rsidP="00351A42">
            <w:pPr>
              <w:jc w:val="center"/>
              <w:rPr>
                <w:b/>
                <w:szCs w:val="24"/>
              </w:rPr>
            </w:pPr>
          </w:p>
        </w:tc>
        <w:tc>
          <w:tcPr>
            <w:tcW w:w="2025" w:type="dxa"/>
          </w:tcPr>
          <w:p w:rsidR="002C5B50" w:rsidRPr="00E02341" w:rsidRDefault="002C5B50" w:rsidP="00351A42">
            <w:pPr>
              <w:jc w:val="center"/>
              <w:rPr>
                <w:b/>
                <w:szCs w:val="24"/>
              </w:rPr>
            </w:pPr>
          </w:p>
        </w:tc>
      </w:tr>
      <w:tr w:rsidR="002C5B50" w:rsidRPr="00E02341" w:rsidTr="002C5B50">
        <w:trPr>
          <w:trHeight w:val="571"/>
        </w:trPr>
        <w:tc>
          <w:tcPr>
            <w:tcW w:w="555" w:type="dxa"/>
          </w:tcPr>
          <w:p w:rsidR="002C5B50" w:rsidRPr="00E02341" w:rsidRDefault="002C5B50" w:rsidP="00351A42">
            <w:pPr>
              <w:rPr>
                <w:szCs w:val="24"/>
              </w:rPr>
            </w:pPr>
            <w:r w:rsidRPr="00E02341">
              <w:rPr>
                <w:szCs w:val="24"/>
              </w:rPr>
              <w:t>6</w:t>
            </w:r>
          </w:p>
        </w:tc>
        <w:tc>
          <w:tcPr>
            <w:tcW w:w="1201" w:type="dxa"/>
          </w:tcPr>
          <w:p w:rsidR="002C5B50" w:rsidRPr="00E02341" w:rsidRDefault="002C5B50" w:rsidP="00351A42">
            <w:pPr>
              <w:rPr>
                <w:szCs w:val="24"/>
              </w:rPr>
            </w:pPr>
            <w:r w:rsidRPr="00E02341">
              <w:rPr>
                <w:szCs w:val="24"/>
              </w:rPr>
              <w:t xml:space="preserve">Average Duration </w:t>
            </w:r>
          </w:p>
        </w:tc>
        <w:tc>
          <w:tcPr>
            <w:tcW w:w="1410" w:type="dxa"/>
          </w:tcPr>
          <w:p w:rsidR="002C5B50" w:rsidRPr="00E02341" w:rsidRDefault="002C5B50" w:rsidP="00351A42">
            <w:pPr>
              <w:jc w:val="center"/>
              <w:rPr>
                <w:szCs w:val="24"/>
              </w:rPr>
            </w:pPr>
            <w:r w:rsidRPr="00E02341">
              <w:rPr>
                <w:szCs w:val="24"/>
              </w:rPr>
              <w:t>5.1 days</w:t>
            </w:r>
          </w:p>
        </w:tc>
        <w:tc>
          <w:tcPr>
            <w:tcW w:w="1590" w:type="dxa"/>
          </w:tcPr>
          <w:p w:rsidR="002C5B50" w:rsidRPr="00E02341" w:rsidRDefault="002C5B50" w:rsidP="00351A42">
            <w:pPr>
              <w:jc w:val="center"/>
              <w:rPr>
                <w:szCs w:val="24"/>
              </w:rPr>
            </w:pPr>
            <w:r w:rsidRPr="00E02341">
              <w:rPr>
                <w:szCs w:val="24"/>
              </w:rPr>
              <w:t>12</w:t>
            </w:r>
          </w:p>
        </w:tc>
        <w:tc>
          <w:tcPr>
            <w:tcW w:w="1410" w:type="dxa"/>
            <w:vAlign w:val="center"/>
          </w:tcPr>
          <w:p w:rsidR="002C5B50" w:rsidRPr="00E02341" w:rsidRDefault="002C5B50" w:rsidP="00351A42">
            <w:pPr>
              <w:jc w:val="center"/>
              <w:rPr>
                <w:szCs w:val="24"/>
              </w:rPr>
            </w:pPr>
            <w:r w:rsidRPr="00E02341">
              <w:rPr>
                <w:szCs w:val="24"/>
              </w:rPr>
              <w:t>Unchanged</w:t>
            </w:r>
          </w:p>
        </w:tc>
        <w:tc>
          <w:tcPr>
            <w:tcW w:w="1590" w:type="dxa"/>
          </w:tcPr>
          <w:p w:rsidR="002C5B50" w:rsidRPr="00E02341" w:rsidRDefault="002C5B50" w:rsidP="00351A42">
            <w:pPr>
              <w:jc w:val="center"/>
              <w:rPr>
                <w:szCs w:val="24"/>
              </w:rPr>
            </w:pPr>
            <w:r w:rsidRPr="00E02341">
              <w:rPr>
                <w:szCs w:val="24"/>
              </w:rPr>
              <w:t>12</w:t>
            </w:r>
          </w:p>
        </w:tc>
        <w:tc>
          <w:tcPr>
            <w:tcW w:w="2025" w:type="dxa"/>
          </w:tcPr>
          <w:p w:rsidR="002C5B50" w:rsidRPr="00E02341" w:rsidRDefault="002C5B50" w:rsidP="00351A42">
            <w:pPr>
              <w:jc w:val="center"/>
              <w:rPr>
                <w:szCs w:val="24"/>
              </w:rPr>
            </w:pPr>
            <w:r w:rsidRPr="00E02341">
              <w:rPr>
                <w:szCs w:val="24"/>
              </w:rPr>
              <w:t>Keep same</w:t>
            </w:r>
          </w:p>
        </w:tc>
      </w:tr>
      <w:tr w:rsidR="002C5B50" w:rsidRPr="00E02341" w:rsidTr="002C5B50">
        <w:trPr>
          <w:trHeight w:val="742"/>
        </w:trPr>
        <w:tc>
          <w:tcPr>
            <w:tcW w:w="555" w:type="dxa"/>
          </w:tcPr>
          <w:p w:rsidR="002C5B50" w:rsidRPr="00E02341" w:rsidRDefault="002C5B50" w:rsidP="00351A42">
            <w:pPr>
              <w:rPr>
                <w:szCs w:val="24"/>
              </w:rPr>
            </w:pPr>
            <w:r w:rsidRPr="00E02341">
              <w:rPr>
                <w:szCs w:val="24"/>
              </w:rPr>
              <w:t>7</w:t>
            </w:r>
          </w:p>
        </w:tc>
        <w:tc>
          <w:tcPr>
            <w:tcW w:w="1201" w:type="dxa"/>
          </w:tcPr>
          <w:p w:rsidR="002C5B50" w:rsidRPr="00E02341" w:rsidRDefault="002C5B50" w:rsidP="00351A42">
            <w:pPr>
              <w:rPr>
                <w:szCs w:val="24"/>
              </w:rPr>
            </w:pPr>
            <w:r w:rsidRPr="00E02341">
              <w:rPr>
                <w:szCs w:val="24"/>
              </w:rPr>
              <w:t xml:space="preserve">Percent Granted </w:t>
            </w:r>
          </w:p>
        </w:tc>
        <w:tc>
          <w:tcPr>
            <w:tcW w:w="1410" w:type="dxa"/>
          </w:tcPr>
          <w:p w:rsidR="002C5B50" w:rsidRPr="00E02341" w:rsidRDefault="002C5B50" w:rsidP="00351A42">
            <w:pPr>
              <w:jc w:val="center"/>
              <w:rPr>
                <w:szCs w:val="24"/>
              </w:rPr>
            </w:pPr>
            <w:r w:rsidRPr="00E02341">
              <w:rPr>
                <w:szCs w:val="24"/>
              </w:rPr>
              <w:t>85%</w:t>
            </w:r>
          </w:p>
        </w:tc>
        <w:tc>
          <w:tcPr>
            <w:tcW w:w="1590" w:type="dxa"/>
          </w:tcPr>
          <w:p w:rsidR="002C5B50" w:rsidRPr="00E02341" w:rsidRDefault="002C5B50" w:rsidP="00351A42">
            <w:pPr>
              <w:jc w:val="center"/>
              <w:rPr>
                <w:szCs w:val="24"/>
              </w:rPr>
            </w:pPr>
            <w:r w:rsidRPr="00E02341">
              <w:rPr>
                <w:szCs w:val="24"/>
              </w:rPr>
              <w:t>12</w:t>
            </w:r>
          </w:p>
        </w:tc>
        <w:tc>
          <w:tcPr>
            <w:tcW w:w="1410" w:type="dxa"/>
            <w:vAlign w:val="center"/>
          </w:tcPr>
          <w:p w:rsidR="002C5B50" w:rsidRPr="00E02341" w:rsidRDefault="002C5B50" w:rsidP="00351A42">
            <w:pPr>
              <w:jc w:val="center"/>
              <w:rPr>
                <w:szCs w:val="24"/>
              </w:rPr>
            </w:pPr>
            <w:r w:rsidRPr="00E02341">
              <w:rPr>
                <w:szCs w:val="24"/>
              </w:rPr>
              <w:t>Unchanged</w:t>
            </w:r>
          </w:p>
        </w:tc>
        <w:tc>
          <w:tcPr>
            <w:tcW w:w="1590" w:type="dxa"/>
          </w:tcPr>
          <w:p w:rsidR="002C5B50" w:rsidRPr="00E02341" w:rsidRDefault="002C5B50" w:rsidP="00351A42">
            <w:pPr>
              <w:jc w:val="center"/>
              <w:rPr>
                <w:szCs w:val="24"/>
              </w:rPr>
            </w:pPr>
            <w:r w:rsidRPr="00E02341">
              <w:rPr>
                <w:szCs w:val="24"/>
              </w:rPr>
              <w:t>12</w:t>
            </w:r>
          </w:p>
        </w:tc>
        <w:tc>
          <w:tcPr>
            <w:tcW w:w="2025" w:type="dxa"/>
          </w:tcPr>
          <w:p w:rsidR="002C5B50" w:rsidRPr="00E02341" w:rsidRDefault="002C5B50" w:rsidP="00351A42">
            <w:pPr>
              <w:jc w:val="center"/>
              <w:rPr>
                <w:szCs w:val="24"/>
              </w:rPr>
            </w:pPr>
            <w:r w:rsidRPr="00E02341">
              <w:rPr>
                <w:szCs w:val="24"/>
              </w:rPr>
              <w:t>Keep same</w:t>
            </w:r>
          </w:p>
        </w:tc>
      </w:tr>
      <w:tr w:rsidR="002C5B50" w:rsidRPr="00E02341" w:rsidTr="002C5B50">
        <w:trPr>
          <w:trHeight w:val="765"/>
        </w:trPr>
        <w:tc>
          <w:tcPr>
            <w:tcW w:w="555" w:type="dxa"/>
          </w:tcPr>
          <w:p w:rsidR="002C5B50" w:rsidRPr="00E02341" w:rsidRDefault="002C5B50" w:rsidP="00351A42">
            <w:pPr>
              <w:rPr>
                <w:szCs w:val="24"/>
              </w:rPr>
            </w:pPr>
            <w:r w:rsidRPr="00E02341">
              <w:rPr>
                <w:szCs w:val="24"/>
              </w:rPr>
              <w:t>8</w:t>
            </w:r>
          </w:p>
        </w:tc>
        <w:tc>
          <w:tcPr>
            <w:tcW w:w="1201" w:type="dxa"/>
          </w:tcPr>
          <w:p w:rsidR="002C5B50" w:rsidRPr="00E02341" w:rsidRDefault="002C5B50" w:rsidP="00351A42">
            <w:pPr>
              <w:rPr>
                <w:szCs w:val="24"/>
              </w:rPr>
            </w:pPr>
            <w:r w:rsidRPr="00E02341">
              <w:rPr>
                <w:szCs w:val="24"/>
              </w:rPr>
              <w:t xml:space="preserve">Further Work </w:t>
            </w:r>
          </w:p>
        </w:tc>
        <w:tc>
          <w:tcPr>
            <w:tcW w:w="1410" w:type="dxa"/>
          </w:tcPr>
          <w:p w:rsidR="002C5B50" w:rsidRPr="00E02341" w:rsidRDefault="002C5B50" w:rsidP="00351A42">
            <w:pPr>
              <w:jc w:val="center"/>
              <w:rPr>
                <w:szCs w:val="24"/>
              </w:rPr>
            </w:pPr>
            <w:r w:rsidRPr="00E02341">
              <w:rPr>
                <w:szCs w:val="24"/>
              </w:rPr>
              <w:t>9%</w:t>
            </w:r>
          </w:p>
        </w:tc>
        <w:tc>
          <w:tcPr>
            <w:tcW w:w="1590" w:type="dxa"/>
          </w:tcPr>
          <w:p w:rsidR="002C5B50" w:rsidRPr="00E02341" w:rsidRDefault="002C5B50" w:rsidP="00351A42">
            <w:pPr>
              <w:jc w:val="center"/>
              <w:rPr>
                <w:szCs w:val="24"/>
              </w:rPr>
            </w:pPr>
            <w:r w:rsidRPr="00E02341">
              <w:rPr>
                <w:szCs w:val="24"/>
              </w:rPr>
              <w:t>12</w:t>
            </w:r>
          </w:p>
        </w:tc>
        <w:tc>
          <w:tcPr>
            <w:tcW w:w="1410" w:type="dxa"/>
            <w:vAlign w:val="center"/>
          </w:tcPr>
          <w:p w:rsidR="002C5B50" w:rsidRPr="00E02341" w:rsidRDefault="002C5B50" w:rsidP="00351A42">
            <w:pPr>
              <w:jc w:val="center"/>
              <w:rPr>
                <w:szCs w:val="24"/>
              </w:rPr>
            </w:pPr>
            <w:r w:rsidRPr="00E02341">
              <w:rPr>
                <w:szCs w:val="24"/>
              </w:rPr>
              <w:t>Unchanged</w:t>
            </w:r>
          </w:p>
        </w:tc>
        <w:tc>
          <w:tcPr>
            <w:tcW w:w="1590" w:type="dxa"/>
          </w:tcPr>
          <w:p w:rsidR="002C5B50" w:rsidRPr="00E02341" w:rsidRDefault="002C5B50" w:rsidP="00351A42">
            <w:pPr>
              <w:jc w:val="center"/>
              <w:rPr>
                <w:szCs w:val="24"/>
              </w:rPr>
            </w:pPr>
            <w:r w:rsidRPr="00E02341">
              <w:rPr>
                <w:szCs w:val="24"/>
              </w:rPr>
              <w:t>12</w:t>
            </w:r>
          </w:p>
        </w:tc>
        <w:tc>
          <w:tcPr>
            <w:tcW w:w="2025" w:type="dxa"/>
          </w:tcPr>
          <w:p w:rsidR="002C5B50" w:rsidRPr="00E02341" w:rsidRDefault="002C5B50" w:rsidP="00351A42">
            <w:pPr>
              <w:jc w:val="center"/>
              <w:rPr>
                <w:szCs w:val="24"/>
              </w:rPr>
            </w:pPr>
            <w:r w:rsidRPr="00E02341">
              <w:rPr>
                <w:szCs w:val="24"/>
              </w:rPr>
              <w:t>Keep same</w:t>
            </w:r>
          </w:p>
        </w:tc>
      </w:tr>
      <w:tr w:rsidR="002C5B50" w:rsidRPr="00E02341" w:rsidTr="002C5B50">
        <w:trPr>
          <w:trHeight w:val="477"/>
        </w:trPr>
        <w:tc>
          <w:tcPr>
            <w:tcW w:w="555" w:type="dxa"/>
          </w:tcPr>
          <w:p w:rsidR="002C5B50" w:rsidRPr="00E02341" w:rsidRDefault="002C5B50" w:rsidP="00351A42">
            <w:pPr>
              <w:rPr>
                <w:b/>
                <w:szCs w:val="24"/>
              </w:rPr>
            </w:pPr>
          </w:p>
        </w:tc>
        <w:tc>
          <w:tcPr>
            <w:tcW w:w="1201" w:type="dxa"/>
          </w:tcPr>
          <w:p w:rsidR="002C5B50" w:rsidRPr="00E02341" w:rsidRDefault="002C5B50" w:rsidP="00351A42">
            <w:pPr>
              <w:rPr>
                <w:b/>
                <w:szCs w:val="24"/>
              </w:rPr>
            </w:pPr>
            <w:r w:rsidRPr="00E02341">
              <w:rPr>
                <w:b/>
                <w:szCs w:val="24"/>
              </w:rPr>
              <w:t>Summary</w:t>
            </w:r>
          </w:p>
        </w:tc>
        <w:tc>
          <w:tcPr>
            <w:tcW w:w="1410" w:type="dxa"/>
          </w:tcPr>
          <w:p w:rsidR="002C5B50" w:rsidRPr="00E02341" w:rsidRDefault="002C5B50" w:rsidP="00351A42">
            <w:pPr>
              <w:jc w:val="center"/>
              <w:rPr>
                <w:b/>
                <w:szCs w:val="24"/>
              </w:rPr>
            </w:pPr>
          </w:p>
        </w:tc>
        <w:tc>
          <w:tcPr>
            <w:tcW w:w="1590" w:type="dxa"/>
          </w:tcPr>
          <w:p w:rsidR="002C5B50" w:rsidRPr="00E02341" w:rsidRDefault="002C5B50" w:rsidP="00351A42">
            <w:pPr>
              <w:jc w:val="center"/>
              <w:rPr>
                <w:b/>
                <w:szCs w:val="24"/>
              </w:rPr>
            </w:pPr>
          </w:p>
        </w:tc>
        <w:tc>
          <w:tcPr>
            <w:tcW w:w="1410" w:type="dxa"/>
            <w:vAlign w:val="center"/>
          </w:tcPr>
          <w:p w:rsidR="002C5B50" w:rsidRPr="00E02341" w:rsidRDefault="002C5B50" w:rsidP="00351A42">
            <w:pPr>
              <w:jc w:val="center"/>
              <w:rPr>
                <w:b/>
                <w:szCs w:val="24"/>
              </w:rPr>
            </w:pPr>
          </w:p>
        </w:tc>
        <w:tc>
          <w:tcPr>
            <w:tcW w:w="1590" w:type="dxa"/>
          </w:tcPr>
          <w:p w:rsidR="002C5B50" w:rsidRPr="00E02341" w:rsidRDefault="002C5B50" w:rsidP="00351A42">
            <w:pPr>
              <w:jc w:val="center"/>
              <w:rPr>
                <w:b/>
                <w:szCs w:val="24"/>
              </w:rPr>
            </w:pPr>
          </w:p>
        </w:tc>
        <w:tc>
          <w:tcPr>
            <w:tcW w:w="2025" w:type="dxa"/>
          </w:tcPr>
          <w:p w:rsidR="002C5B50" w:rsidRPr="00E02341" w:rsidRDefault="002C5B50" w:rsidP="00351A42">
            <w:pPr>
              <w:jc w:val="center"/>
              <w:rPr>
                <w:b/>
                <w:szCs w:val="24"/>
              </w:rPr>
            </w:pPr>
          </w:p>
        </w:tc>
      </w:tr>
      <w:tr w:rsidR="002C5B50" w:rsidRPr="00E02341" w:rsidTr="002C5B50">
        <w:trPr>
          <w:trHeight w:val="742"/>
        </w:trPr>
        <w:tc>
          <w:tcPr>
            <w:tcW w:w="555" w:type="dxa"/>
          </w:tcPr>
          <w:p w:rsidR="002C5B50" w:rsidRPr="00E02341" w:rsidRDefault="002C5B50" w:rsidP="00351A42">
            <w:pPr>
              <w:rPr>
                <w:szCs w:val="24"/>
              </w:rPr>
            </w:pPr>
            <w:r w:rsidRPr="00E02341">
              <w:rPr>
                <w:szCs w:val="24"/>
              </w:rPr>
              <w:t>9</w:t>
            </w:r>
          </w:p>
        </w:tc>
        <w:tc>
          <w:tcPr>
            <w:tcW w:w="1201" w:type="dxa"/>
          </w:tcPr>
          <w:p w:rsidR="002C5B50" w:rsidRPr="00E02341" w:rsidRDefault="002C5B50" w:rsidP="00351A42">
            <w:pPr>
              <w:rPr>
                <w:szCs w:val="24"/>
              </w:rPr>
            </w:pPr>
            <w:r w:rsidRPr="00E02341">
              <w:rPr>
                <w:szCs w:val="24"/>
              </w:rPr>
              <w:t>Average Duration</w:t>
            </w:r>
          </w:p>
        </w:tc>
        <w:tc>
          <w:tcPr>
            <w:tcW w:w="1410" w:type="dxa"/>
          </w:tcPr>
          <w:p w:rsidR="002C5B50" w:rsidRPr="00E02341" w:rsidRDefault="002C5B50" w:rsidP="00351A42">
            <w:pPr>
              <w:jc w:val="center"/>
              <w:rPr>
                <w:szCs w:val="24"/>
              </w:rPr>
            </w:pPr>
            <w:r w:rsidRPr="00E02341">
              <w:rPr>
                <w:szCs w:val="24"/>
              </w:rPr>
              <w:t>10 days</w:t>
            </w:r>
          </w:p>
        </w:tc>
        <w:tc>
          <w:tcPr>
            <w:tcW w:w="1590" w:type="dxa"/>
          </w:tcPr>
          <w:p w:rsidR="002C5B50" w:rsidRPr="00E02341" w:rsidRDefault="002C5B50" w:rsidP="00351A42">
            <w:pPr>
              <w:jc w:val="center"/>
              <w:rPr>
                <w:szCs w:val="24"/>
              </w:rPr>
            </w:pPr>
            <w:r w:rsidRPr="00E02341">
              <w:rPr>
                <w:szCs w:val="24"/>
              </w:rPr>
              <w:t>12</w:t>
            </w:r>
          </w:p>
        </w:tc>
        <w:tc>
          <w:tcPr>
            <w:tcW w:w="1410" w:type="dxa"/>
          </w:tcPr>
          <w:p w:rsidR="002C5B50" w:rsidRPr="00E02341" w:rsidRDefault="002C5B50" w:rsidP="00351A42">
            <w:pPr>
              <w:jc w:val="center"/>
              <w:rPr>
                <w:szCs w:val="24"/>
              </w:rPr>
            </w:pPr>
            <w:r w:rsidRPr="00E02341">
              <w:rPr>
                <w:szCs w:val="24"/>
              </w:rPr>
              <w:t>9 days</w:t>
            </w:r>
          </w:p>
        </w:tc>
        <w:tc>
          <w:tcPr>
            <w:tcW w:w="1590" w:type="dxa"/>
          </w:tcPr>
          <w:p w:rsidR="002C5B50" w:rsidRPr="00E02341" w:rsidRDefault="002C5B50" w:rsidP="00351A42">
            <w:pPr>
              <w:jc w:val="center"/>
              <w:rPr>
                <w:szCs w:val="24"/>
              </w:rPr>
            </w:pPr>
            <w:r w:rsidRPr="00E02341">
              <w:rPr>
                <w:szCs w:val="24"/>
              </w:rPr>
              <w:t>12</w:t>
            </w:r>
          </w:p>
        </w:tc>
        <w:tc>
          <w:tcPr>
            <w:tcW w:w="2025" w:type="dxa"/>
          </w:tcPr>
          <w:p w:rsidR="002C5B50" w:rsidRPr="00E02341" w:rsidRDefault="002C5B50" w:rsidP="00351A42">
            <w:pPr>
              <w:jc w:val="center"/>
              <w:rPr>
                <w:szCs w:val="24"/>
              </w:rPr>
            </w:pPr>
            <w:r w:rsidRPr="00E02341">
              <w:rPr>
                <w:szCs w:val="24"/>
              </w:rPr>
              <w:t>Keep same</w:t>
            </w:r>
          </w:p>
        </w:tc>
      </w:tr>
      <w:tr w:rsidR="002C5B50" w:rsidRPr="00E02341" w:rsidTr="002C5B50">
        <w:trPr>
          <w:trHeight w:val="765"/>
        </w:trPr>
        <w:tc>
          <w:tcPr>
            <w:tcW w:w="555" w:type="dxa"/>
          </w:tcPr>
          <w:p w:rsidR="002C5B50" w:rsidRPr="00E02341" w:rsidRDefault="002C5B50" w:rsidP="00351A42">
            <w:pPr>
              <w:rPr>
                <w:szCs w:val="24"/>
              </w:rPr>
            </w:pPr>
            <w:r w:rsidRPr="00E02341">
              <w:rPr>
                <w:szCs w:val="24"/>
              </w:rPr>
              <w:t>10</w:t>
            </w:r>
          </w:p>
        </w:tc>
        <w:tc>
          <w:tcPr>
            <w:tcW w:w="1201" w:type="dxa"/>
          </w:tcPr>
          <w:p w:rsidR="002C5B50" w:rsidRPr="00E02341" w:rsidRDefault="002C5B50" w:rsidP="00351A42">
            <w:pPr>
              <w:rPr>
                <w:szCs w:val="24"/>
              </w:rPr>
            </w:pPr>
            <w:r w:rsidRPr="00E02341">
              <w:rPr>
                <w:szCs w:val="24"/>
              </w:rPr>
              <w:t>Percent Granted</w:t>
            </w:r>
          </w:p>
        </w:tc>
        <w:tc>
          <w:tcPr>
            <w:tcW w:w="1410" w:type="dxa"/>
          </w:tcPr>
          <w:p w:rsidR="002C5B50" w:rsidRPr="00E02341" w:rsidRDefault="002C5B50" w:rsidP="00351A42">
            <w:pPr>
              <w:jc w:val="center"/>
              <w:rPr>
                <w:szCs w:val="24"/>
              </w:rPr>
            </w:pPr>
            <w:r w:rsidRPr="00E02341">
              <w:rPr>
                <w:szCs w:val="24"/>
              </w:rPr>
              <w:t>78%</w:t>
            </w:r>
          </w:p>
        </w:tc>
        <w:tc>
          <w:tcPr>
            <w:tcW w:w="1590" w:type="dxa"/>
          </w:tcPr>
          <w:p w:rsidR="002C5B50" w:rsidRPr="00E02341" w:rsidRDefault="002C5B50" w:rsidP="00351A42">
            <w:pPr>
              <w:jc w:val="center"/>
              <w:rPr>
                <w:szCs w:val="24"/>
              </w:rPr>
            </w:pPr>
            <w:r w:rsidRPr="00E02341">
              <w:rPr>
                <w:szCs w:val="24"/>
              </w:rPr>
              <w:t>9</w:t>
            </w:r>
          </w:p>
        </w:tc>
        <w:tc>
          <w:tcPr>
            <w:tcW w:w="1410" w:type="dxa"/>
          </w:tcPr>
          <w:p w:rsidR="002C5B50" w:rsidRPr="00E02341" w:rsidRDefault="002C5B50" w:rsidP="00351A42">
            <w:pPr>
              <w:jc w:val="center"/>
              <w:rPr>
                <w:szCs w:val="24"/>
              </w:rPr>
            </w:pPr>
            <w:r w:rsidRPr="00E02341">
              <w:rPr>
                <w:szCs w:val="24"/>
              </w:rPr>
              <w:t>79%</w:t>
            </w:r>
          </w:p>
        </w:tc>
        <w:tc>
          <w:tcPr>
            <w:tcW w:w="1590" w:type="dxa"/>
          </w:tcPr>
          <w:p w:rsidR="002C5B50" w:rsidRPr="00E02341" w:rsidRDefault="002C5B50" w:rsidP="00351A42">
            <w:pPr>
              <w:jc w:val="center"/>
              <w:rPr>
                <w:szCs w:val="24"/>
              </w:rPr>
            </w:pPr>
            <w:r w:rsidRPr="00E02341">
              <w:rPr>
                <w:szCs w:val="24"/>
              </w:rPr>
              <w:t>12</w:t>
            </w:r>
          </w:p>
        </w:tc>
        <w:tc>
          <w:tcPr>
            <w:tcW w:w="2025" w:type="dxa"/>
          </w:tcPr>
          <w:p w:rsidR="002C5B50" w:rsidRPr="00E02341" w:rsidRDefault="002C5B50" w:rsidP="00351A42">
            <w:pPr>
              <w:jc w:val="center"/>
              <w:rPr>
                <w:szCs w:val="24"/>
              </w:rPr>
            </w:pPr>
            <w:r w:rsidRPr="00E02341">
              <w:rPr>
                <w:szCs w:val="24"/>
              </w:rPr>
              <w:t>Keep same</w:t>
            </w:r>
          </w:p>
        </w:tc>
      </w:tr>
      <w:tr w:rsidR="002C5B50" w:rsidRPr="00E02341" w:rsidTr="002C5B50">
        <w:trPr>
          <w:trHeight w:val="742"/>
        </w:trPr>
        <w:tc>
          <w:tcPr>
            <w:tcW w:w="555" w:type="dxa"/>
          </w:tcPr>
          <w:p w:rsidR="002C5B50" w:rsidRPr="00E02341" w:rsidRDefault="002C5B50" w:rsidP="00351A42">
            <w:pPr>
              <w:rPr>
                <w:szCs w:val="24"/>
              </w:rPr>
            </w:pPr>
            <w:r w:rsidRPr="00E02341">
              <w:rPr>
                <w:szCs w:val="24"/>
              </w:rPr>
              <w:t>11</w:t>
            </w:r>
          </w:p>
        </w:tc>
        <w:tc>
          <w:tcPr>
            <w:tcW w:w="1201" w:type="dxa"/>
          </w:tcPr>
          <w:p w:rsidR="002C5B50" w:rsidRPr="00E02341" w:rsidRDefault="002C5B50" w:rsidP="00351A42">
            <w:pPr>
              <w:rPr>
                <w:szCs w:val="24"/>
              </w:rPr>
            </w:pPr>
            <w:r w:rsidRPr="00E02341">
              <w:rPr>
                <w:szCs w:val="24"/>
              </w:rPr>
              <w:t>Further Work</w:t>
            </w:r>
          </w:p>
        </w:tc>
        <w:tc>
          <w:tcPr>
            <w:tcW w:w="1410" w:type="dxa"/>
          </w:tcPr>
          <w:p w:rsidR="002C5B50" w:rsidRPr="00E02341" w:rsidRDefault="002C5B50" w:rsidP="00351A42">
            <w:pPr>
              <w:jc w:val="center"/>
              <w:rPr>
                <w:szCs w:val="24"/>
              </w:rPr>
            </w:pPr>
            <w:r w:rsidRPr="00E02341">
              <w:rPr>
                <w:szCs w:val="24"/>
              </w:rPr>
              <w:t>16%</w:t>
            </w:r>
          </w:p>
        </w:tc>
        <w:tc>
          <w:tcPr>
            <w:tcW w:w="1590" w:type="dxa"/>
          </w:tcPr>
          <w:p w:rsidR="002C5B50" w:rsidRPr="00E02341" w:rsidRDefault="002C5B50" w:rsidP="00351A42">
            <w:pPr>
              <w:jc w:val="center"/>
              <w:rPr>
                <w:szCs w:val="24"/>
              </w:rPr>
            </w:pPr>
            <w:r w:rsidRPr="00E02341">
              <w:rPr>
                <w:szCs w:val="24"/>
              </w:rPr>
              <w:t>11</w:t>
            </w:r>
          </w:p>
        </w:tc>
        <w:tc>
          <w:tcPr>
            <w:tcW w:w="1410" w:type="dxa"/>
          </w:tcPr>
          <w:p w:rsidR="002C5B50" w:rsidRPr="00E02341" w:rsidRDefault="002C5B50" w:rsidP="00351A42">
            <w:pPr>
              <w:jc w:val="center"/>
              <w:rPr>
                <w:szCs w:val="24"/>
              </w:rPr>
            </w:pPr>
            <w:r w:rsidRPr="00E02341">
              <w:rPr>
                <w:szCs w:val="24"/>
              </w:rPr>
              <w:t>15%</w:t>
            </w:r>
          </w:p>
        </w:tc>
        <w:tc>
          <w:tcPr>
            <w:tcW w:w="1590" w:type="dxa"/>
          </w:tcPr>
          <w:p w:rsidR="002C5B50" w:rsidRPr="00E02341" w:rsidRDefault="002C5B50" w:rsidP="00351A42">
            <w:pPr>
              <w:jc w:val="center"/>
              <w:rPr>
                <w:szCs w:val="24"/>
              </w:rPr>
            </w:pPr>
            <w:r w:rsidRPr="00E02341">
              <w:rPr>
                <w:szCs w:val="24"/>
              </w:rPr>
              <w:t>12</w:t>
            </w:r>
          </w:p>
        </w:tc>
        <w:tc>
          <w:tcPr>
            <w:tcW w:w="2025" w:type="dxa"/>
          </w:tcPr>
          <w:p w:rsidR="002C5B50" w:rsidRPr="00E02341" w:rsidRDefault="002C5B50" w:rsidP="00351A42">
            <w:pPr>
              <w:jc w:val="center"/>
              <w:rPr>
                <w:szCs w:val="24"/>
              </w:rPr>
            </w:pPr>
            <w:r w:rsidRPr="00E02341">
              <w:rPr>
                <w:szCs w:val="24"/>
              </w:rPr>
              <w:t>Keep same</w:t>
            </w:r>
          </w:p>
        </w:tc>
      </w:tr>
    </w:tbl>
    <w:p w:rsidR="002C5B50" w:rsidRDefault="002C5B50" w:rsidP="002C5B50">
      <w:pPr>
        <w:spacing w:after="200" w:line="276" w:lineRule="auto"/>
        <w:rPr>
          <w:b/>
          <w:szCs w:val="24"/>
        </w:rPr>
      </w:pPr>
    </w:p>
    <w:p w:rsidR="002C5B50" w:rsidRPr="00E02341" w:rsidRDefault="002C5B50" w:rsidP="002C5B50">
      <w:pPr>
        <w:spacing w:after="200" w:line="276" w:lineRule="auto"/>
        <w:rPr>
          <w:b/>
          <w:szCs w:val="24"/>
        </w:rPr>
      </w:pPr>
      <w:r w:rsidRPr="00E02341">
        <w:rPr>
          <w:b/>
          <w:szCs w:val="24"/>
        </w:rPr>
        <w:t>Children’s Applications</w:t>
      </w:r>
    </w:p>
    <w:p w:rsidR="002C5B50" w:rsidRPr="00E02341" w:rsidRDefault="002C5B50" w:rsidP="002C5B50">
      <w:pPr>
        <w:rPr>
          <w:szCs w:val="24"/>
        </w:rPr>
      </w:pPr>
      <w:r w:rsidRPr="00E02341">
        <w:rPr>
          <w:szCs w:val="24"/>
        </w:rPr>
        <w:t>Two of the three KPIs saw more demanding benchmarks set for 2021-22. Performance remained high with all 12 reporting periods showing performance meeting or exceeding all of the three benchmarks.</w:t>
      </w:r>
    </w:p>
    <w:p w:rsidR="002C5B50" w:rsidRPr="00E02341" w:rsidRDefault="002C5B50" w:rsidP="002C5B50">
      <w:pPr>
        <w:spacing w:after="200" w:line="276" w:lineRule="auto"/>
        <w:rPr>
          <w:szCs w:val="24"/>
        </w:rPr>
      </w:pPr>
    </w:p>
    <w:p w:rsidR="002C5B50" w:rsidRPr="00E02341" w:rsidRDefault="002C5B50" w:rsidP="002C5B50">
      <w:pPr>
        <w:spacing w:after="200" w:line="276" w:lineRule="auto"/>
        <w:rPr>
          <w:szCs w:val="24"/>
        </w:rPr>
      </w:pPr>
      <w:r w:rsidRPr="00E02341">
        <w:rPr>
          <w:szCs w:val="24"/>
        </w:rPr>
        <w:t>No KPIs appear to require change for 22-23. None of the indicators are consistently a long way away from the benchmark.</w:t>
      </w:r>
    </w:p>
    <w:tbl>
      <w:tblPr>
        <w:tblStyle w:val="TableGrid"/>
        <w:tblW w:w="9781" w:type="dxa"/>
        <w:tblInd w:w="-147" w:type="dxa"/>
        <w:tblLook w:val="04A0" w:firstRow="1" w:lastRow="0" w:firstColumn="1" w:lastColumn="0" w:noHBand="0" w:noVBand="1"/>
      </w:tblPr>
      <w:tblGrid>
        <w:gridCol w:w="719"/>
        <w:gridCol w:w="1147"/>
        <w:gridCol w:w="1472"/>
        <w:gridCol w:w="1661"/>
        <w:gridCol w:w="1472"/>
        <w:gridCol w:w="1661"/>
        <w:gridCol w:w="1649"/>
      </w:tblGrid>
      <w:tr w:rsidR="002C5B50" w:rsidRPr="00E02341" w:rsidTr="002C5B50">
        <w:trPr>
          <w:trHeight w:val="577"/>
        </w:trPr>
        <w:tc>
          <w:tcPr>
            <w:tcW w:w="719" w:type="dxa"/>
          </w:tcPr>
          <w:p w:rsidR="002C5B50" w:rsidRPr="00E02341" w:rsidRDefault="002C5B50" w:rsidP="00351A42">
            <w:pPr>
              <w:rPr>
                <w:b/>
                <w:szCs w:val="24"/>
              </w:rPr>
            </w:pPr>
          </w:p>
        </w:tc>
        <w:tc>
          <w:tcPr>
            <w:tcW w:w="1147" w:type="dxa"/>
          </w:tcPr>
          <w:p w:rsidR="002C5B50" w:rsidRPr="00E02341" w:rsidRDefault="002C5B50" w:rsidP="00351A42">
            <w:pPr>
              <w:rPr>
                <w:b/>
                <w:szCs w:val="24"/>
              </w:rPr>
            </w:pPr>
          </w:p>
        </w:tc>
        <w:tc>
          <w:tcPr>
            <w:tcW w:w="3133" w:type="dxa"/>
            <w:gridSpan w:val="2"/>
          </w:tcPr>
          <w:p w:rsidR="002C5B50" w:rsidRPr="00E02341" w:rsidRDefault="002C5B50" w:rsidP="00351A42">
            <w:pPr>
              <w:jc w:val="center"/>
              <w:rPr>
                <w:b/>
                <w:szCs w:val="24"/>
              </w:rPr>
            </w:pPr>
            <w:r w:rsidRPr="00E02341">
              <w:rPr>
                <w:b/>
                <w:szCs w:val="24"/>
              </w:rPr>
              <w:t xml:space="preserve">20/21 </w:t>
            </w:r>
          </w:p>
        </w:tc>
        <w:tc>
          <w:tcPr>
            <w:tcW w:w="3133" w:type="dxa"/>
            <w:gridSpan w:val="2"/>
          </w:tcPr>
          <w:p w:rsidR="002C5B50" w:rsidRPr="00E02341" w:rsidRDefault="002C5B50" w:rsidP="00351A42">
            <w:pPr>
              <w:jc w:val="center"/>
              <w:rPr>
                <w:b/>
                <w:szCs w:val="24"/>
              </w:rPr>
            </w:pPr>
            <w:r w:rsidRPr="00E02341">
              <w:rPr>
                <w:b/>
                <w:szCs w:val="24"/>
              </w:rPr>
              <w:t>21-22</w:t>
            </w:r>
          </w:p>
        </w:tc>
        <w:tc>
          <w:tcPr>
            <w:tcW w:w="1649" w:type="dxa"/>
          </w:tcPr>
          <w:p w:rsidR="002C5B50" w:rsidRPr="00E02341" w:rsidRDefault="002C5B50" w:rsidP="00351A42">
            <w:pPr>
              <w:jc w:val="center"/>
              <w:rPr>
                <w:b/>
                <w:szCs w:val="24"/>
              </w:rPr>
            </w:pPr>
            <w:r w:rsidRPr="00E02341">
              <w:rPr>
                <w:b/>
                <w:szCs w:val="24"/>
              </w:rPr>
              <w:t>22-23</w:t>
            </w:r>
          </w:p>
        </w:tc>
      </w:tr>
      <w:tr w:rsidR="002C5B50" w:rsidRPr="00E02341" w:rsidTr="002C5B50">
        <w:trPr>
          <w:trHeight w:val="577"/>
        </w:trPr>
        <w:tc>
          <w:tcPr>
            <w:tcW w:w="719" w:type="dxa"/>
          </w:tcPr>
          <w:p w:rsidR="002C5B50" w:rsidRPr="00E02341" w:rsidRDefault="002C5B50" w:rsidP="00351A42">
            <w:pPr>
              <w:rPr>
                <w:b/>
                <w:szCs w:val="24"/>
              </w:rPr>
            </w:pPr>
            <w:r w:rsidRPr="00E02341">
              <w:rPr>
                <w:b/>
                <w:szCs w:val="24"/>
              </w:rPr>
              <w:t>KPI</w:t>
            </w:r>
          </w:p>
        </w:tc>
        <w:tc>
          <w:tcPr>
            <w:tcW w:w="1147" w:type="dxa"/>
          </w:tcPr>
          <w:p w:rsidR="002C5B50" w:rsidRPr="00E02341" w:rsidRDefault="002C5B50" w:rsidP="00351A42">
            <w:pPr>
              <w:rPr>
                <w:b/>
                <w:szCs w:val="24"/>
              </w:rPr>
            </w:pPr>
            <w:r w:rsidRPr="00E02341">
              <w:rPr>
                <w:b/>
                <w:szCs w:val="24"/>
              </w:rPr>
              <w:t>Measure</w:t>
            </w:r>
          </w:p>
        </w:tc>
        <w:tc>
          <w:tcPr>
            <w:tcW w:w="1472" w:type="dxa"/>
          </w:tcPr>
          <w:p w:rsidR="002C5B50" w:rsidRPr="00E02341" w:rsidRDefault="002C5B50" w:rsidP="00351A42">
            <w:pPr>
              <w:jc w:val="center"/>
              <w:rPr>
                <w:b/>
                <w:szCs w:val="24"/>
              </w:rPr>
            </w:pPr>
            <w:r w:rsidRPr="00E02341">
              <w:rPr>
                <w:b/>
                <w:szCs w:val="24"/>
              </w:rPr>
              <w:t>Benchmark</w:t>
            </w:r>
          </w:p>
        </w:tc>
        <w:tc>
          <w:tcPr>
            <w:tcW w:w="1661" w:type="dxa"/>
          </w:tcPr>
          <w:p w:rsidR="002C5B50" w:rsidRPr="00E02341" w:rsidRDefault="002C5B50" w:rsidP="00351A42">
            <w:pPr>
              <w:jc w:val="center"/>
              <w:rPr>
                <w:b/>
                <w:szCs w:val="24"/>
              </w:rPr>
            </w:pPr>
            <w:r w:rsidRPr="00E02341">
              <w:rPr>
                <w:b/>
                <w:szCs w:val="24"/>
              </w:rPr>
              <w:t>Performance</w:t>
            </w:r>
          </w:p>
        </w:tc>
        <w:tc>
          <w:tcPr>
            <w:tcW w:w="1472" w:type="dxa"/>
          </w:tcPr>
          <w:p w:rsidR="002C5B50" w:rsidRPr="00E02341" w:rsidRDefault="002C5B50" w:rsidP="00351A42">
            <w:pPr>
              <w:jc w:val="center"/>
              <w:rPr>
                <w:b/>
                <w:szCs w:val="24"/>
              </w:rPr>
            </w:pPr>
            <w:r w:rsidRPr="00E02341">
              <w:rPr>
                <w:b/>
                <w:szCs w:val="24"/>
              </w:rPr>
              <w:t>Benchmark</w:t>
            </w:r>
          </w:p>
        </w:tc>
        <w:tc>
          <w:tcPr>
            <w:tcW w:w="1661" w:type="dxa"/>
          </w:tcPr>
          <w:p w:rsidR="002C5B50" w:rsidRPr="00E02341" w:rsidRDefault="002C5B50" w:rsidP="00351A42">
            <w:pPr>
              <w:jc w:val="center"/>
              <w:rPr>
                <w:b/>
                <w:szCs w:val="24"/>
              </w:rPr>
            </w:pPr>
            <w:r w:rsidRPr="00E02341">
              <w:rPr>
                <w:b/>
                <w:szCs w:val="24"/>
              </w:rPr>
              <w:t>Performance</w:t>
            </w:r>
          </w:p>
        </w:tc>
        <w:tc>
          <w:tcPr>
            <w:tcW w:w="1649" w:type="dxa"/>
          </w:tcPr>
          <w:p w:rsidR="002C5B50" w:rsidRPr="00E02341" w:rsidRDefault="002C5B50" w:rsidP="00351A42">
            <w:pPr>
              <w:jc w:val="center"/>
              <w:rPr>
                <w:b/>
                <w:szCs w:val="24"/>
              </w:rPr>
            </w:pPr>
            <w:r w:rsidRPr="00E02341">
              <w:rPr>
                <w:b/>
                <w:szCs w:val="24"/>
              </w:rPr>
              <w:t>Suggested benchmark</w:t>
            </w:r>
          </w:p>
        </w:tc>
      </w:tr>
      <w:tr w:rsidR="002C5B50" w:rsidRPr="00E02341" w:rsidTr="002C5B50">
        <w:trPr>
          <w:trHeight w:val="583"/>
        </w:trPr>
        <w:tc>
          <w:tcPr>
            <w:tcW w:w="719" w:type="dxa"/>
          </w:tcPr>
          <w:p w:rsidR="002C5B50" w:rsidRPr="00E02341" w:rsidRDefault="002C5B50" w:rsidP="00351A42">
            <w:pPr>
              <w:rPr>
                <w:szCs w:val="24"/>
              </w:rPr>
            </w:pPr>
            <w:r w:rsidRPr="00E02341">
              <w:rPr>
                <w:szCs w:val="24"/>
              </w:rPr>
              <w:t>12</w:t>
            </w:r>
          </w:p>
        </w:tc>
        <w:tc>
          <w:tcPr>
            <w:tcW w:w="1147" w:type="dxa"/>
          </w:tcPr>
          <w:p w:rsidR="002C5B50" w:rsidRPr="00E02341" w:rsidRDefault="002C5B50" w:rsidP="00351A42">
            <w:pPr>
              <w:rPr>
                <w:szCs w:val="24"/>
              </w:rPr>
            </w:pPr>
            <w:r w:rsidRPr="00E02341">
              <w:rPr>
                <w:szCs w:val="24"/>
              </w:rPr>
              <w:t xml:space="preserve">Average Duration </w:t>
            </w:r>
          </w:p>
        </w:tc>
        <w:tc>
          <w:tcPr>
            <w:tcW w:w="1472" w:type="dxa"/>
          </w:tcPr>
          <w:p w:rsidR="002C5B50" w:rsidRPr="00E02341" w:rsidRDefault="002C5B50" w:rsidP="00351A42">
            <w:pPr>
              <w:jc w:val="center"/>
              <w:rPr>
                <w:szCs w:val="24"/>
              </w:rPr>
            </w:pPr>
            <w:r w:rsidRPr="00E02341">
              <w:rPr>
                <w:szCs w:val="24"/>
              </w:rPr>
              <w:t>8.0</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7.5</w:t>
            </w:r>
          </w:p>
        </w:tc>
        <w:tc>
          <w:tcPr>
            <w:tcW w:w="1661" w:type="dxa"/>
          </w:tcPr>
          <w:p w:rsidR="002C5B50" w:rsidRPr="00E02341" w:rsidRDefault="002C5B50" w:rsidP="00351A42">
            <w:pPr>
              <w:jc w:val="center"/>
              <w:rPr>
                <w:szCs w:val="24"/>
              </w:rPr>
            </w:pPr>
            <w:r w:rsidRPr="00E02341">
              <w:rPr>
                <w:szCs w:val="24"/>
              </w:rPr>
              <w:t>12</w:t>
            </w:r>
          </w:p>
        </w:tc>
        <w:tc>
          <w:tcPr>
            <w:tcW w:w="164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567"/>
        </w:trPr>
        <w:tc>
          <w:tcPr>
            <w:tcW w:w="719" w:type="dxa"/>
          </w:tcPr>
          <w:p w:rsidR="002C5B50" w:rsidRPr="00E02341" w:rsidRDefault="002C5B50" w:rsidP="00351A42">
            <w:pPr>
              <w:rPr>
                <w:szCs w:val="24"/>
              </w:rPr>
            </w:pPr>
            <w:r w:rsidRPr="00E02341">
              <w:rPr>
                <w:szCs w:val="24"/>
              </w:rPr>
              <w:t>13</w:t>
            </w:r>
          </w:p>
        </w:tc>
        <w:tc>
          <w:tcPr>
            <w:tcW w:w="1147" w:type="dxa"/>
          </w:tcPr>
          <w:p w:rsidR="002C5B50" w:rsidRPr="00E02341" w:rsidRDefault="002C5B50" w:rsidP="00351A42">
            <w:pPr>
              <w:rPr>
                <w:szCs w:val="24"/>
              </w:rPr>
            </w:pPr>
            <w:r w:rsidRPr="00E02341">
              <w:rPr>
                <w:szCs w:val="24"/>
              </w:rPr>
              <w:t xml:space="preserve">Percent Granted </w:t>
            </w:r>
          </w:p>
        </w:tc>
        <w:tc>
          <w:tcPr>
            <w:tcW w:w="1472" w:type="dxa"/>
          </w:tcPr>
          <w:p w:rsidR="002C5B50" w:rsidRPr="00E02341" w:rsidRDefault="002C5B50" w:rsidP="00351A42">
            <w:pPr>
              <w:jc w:val="center"/>
              <w:rPr>
                <w:szCs w:val="24"/>
              </w:rPr>
            </w:pPr>
            <w:r w:rsidRPr="00E02341">
              <w:rPr>
                <w:szCs w:val="24"/>
              </w:rPr>
              <w:t>80%</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81%</w:t>
            </w:r>
          </w:p>
        </w:tc>
        <w:tc>
          <w:tcPr>
            <w:tcW w:w="1661" w:type="dxa"/>
          </w:tcPr>
          <w:p w:rsidR="002C5B50" w:rsidRPr="00E02341" w:rsidRDefault="002C5B50" w:rsidP="00351A42">
            <w:pPr>
              <w:jc w:val="center"/>
              <w:rPr>
                <w:szCs w:val="24"/>
              </w:rPr>
            </w:pPr>
            <w:r w:rsidRPr="00E02341">
              <w:rPr>
                <w:szCs w:val="24"/>
              </w:rPr>
              <w:t>12</w:t>
            </w:r>
          </w:p>
        </w:tc>
        <w:tc>
          <w:tcPr>
            <w:tcW w:w="164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567"/>
        </w:trPr>
        <w:tc>
          <w:tcPr>
            <w:tcW w:w="719" w:type="dxa"/>
          </w:tcPr>
          <w:p w:rsidR="002C5B50" w:rsidRPr="00E02341" w:rsidRDefault="002C5B50" w:rsidP="00351A42">
            <w:pPr>
              <w:rPr>
                <w:szCs w:val="24"/>
              </w:rPr>
            </w:pPr>
            <w:r w:rsidRPr="00E02341">
              <w:rPr>
                <w:szCs w:val="24"/>
              </w:rPr>
              <w:t>14</w:t>
            </w:r>
          </w:p>
        </w:tc>
        <w:tc>
          <w:tcPr>
            <w:tcW w:w="1147" w:type="dxa"/>
          </w:tcPr>
          <w:p w:rsidR="002C5B50" w:rsidRPr="00E02341" w:rsidRDefault="002C5B50" w:rsidP="00351A42">
            <w:pPr>
              <w:rPr>
                <w:szCs w:val="24"/>
              </w:rPr>
            </w:pPr>
            <w:r w:rsidRPr="00E02341">
              <w:rPr>
                <w:szCs w:val="24"/>
              </w:rPr>
              <w:t xml:space="preserve">Further Work </w:t>
            </w:r>
          </w:p>
        </w:tc>
        <w:tc>
          <w:tcPr>
            <w:tcW w:w="1472" w:type="dxa"/>
          </w:tcPr>
          <w:p w:rsidR="002C5B50" w:rsidRPr="00E02341" w:rsidRDefault="002C5B50" w:rsidP="00351A42">
            <w:pPr>
              <w:jc w:val="center"/>
              <w:rPr>
                <w:szCs w:val="24"/>
              </w:rPr>
            </w:pPr>
            <w:r w:rsidRPr="00E02341">
              <w:rPr>
                <w:szCs w:val="24"/>
              </w:rPr>
              <w:t>10%</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Unchanged</w:t>
            </w:r>
          </w:p>
        </w:tc>
        <w:tc>
          <w:tcPr>
            <w:tcW w:w="1661" w:type="dxa"/>
          </w:tcPr>
          <w:p w:rsidR="002C5B50" w:rsidRPr="00E02341" w:rsidRDefault="002C5B50" w:rsidP="00351A42">
            <w:pPr>
              <w:jc w:val="center"/>
              <w:rPr>
                <w:szCs w:val="24"/>
              </w:rPr>
            </w:pPr>
            <w:r w:rsidRPr="00E02341">
              <w:rPr>
                <w:szCs w:val="24"/>
              </w:rPr>
              <w:t>12</w:t>
            </w:r>
          </w:p>
        </w:tc>
        <w:tc>
          <w:tcPr>
            <w:tcW w:w="1649" w:type="dxa"/>
          </w:tcPr>
          <w:p w:rsidR="002C5B50" w:rsidRPr="00E02341" w:rsidRDefault="002C5B50" w:rsidP="00351A42">
            <w:pPr>
              <w:jc w:val="center"/>
              <w:rPr>
                <w:szCs w:val="24"/>
              </w:rPr>
            </w:pPr>
            <w:r w:rsidRPr="00E02341">
              <w:rPr>
                <w:szCs w:val="24"/>
              </w:rPr>
              <w:t>Keep same</w:t>
            </w:r>
          </w:p>
        </w:tc>
      </w:tr>
    </w:tbl>
    <w:p w:rsidR="002C5B50" w:rsidRPr="00E02341" w:rsidRDefault="002C5B50" w:rsidP="002C5B50">
      <w:pPr>
        <w:rPr>
          <w:b/>
          <w:szCs w:val="24"/>
          <w:highlight w:val="lightGray"/>
        </w:rPr>
      </w:pPr>
    </w:p>
    <w:p w:rsidR="002C5B50" w:rsidRPr="00E02341" w:rsidRDefault="002C5B50" w:rsidP="002C5B50">
      <w:pPr>
        <w:rPr>
          <w:b/>
          <w:szCs w:val="24"/>
          <w:highlight w:val="lightGray"/>
        </w:rPr>
      </w:pPr>
    </w:p>
    <w:p w:rsidR="002C5B50" w:rsidRPr="00E02341" w:rsidRDefault="002C5B50" w:rsidP="002C5B50">
      <w:pPr>
        <w:rPr>
          <w:b/>
          <w:szCs w:val="24"/>
          <w:highlight w:val="lightGray"/>
        </w:rPr>
      </w:pPr>
    </w:p>
    <w:p w:rsidR="002C5B50" w:rsidRDefault="002C5B50" w:rsidP="002C5B50">
      <w:pPr>
        <w:spacing w:after="160" w:line="259" w:lineRule="auto"/>
        <w:rPr>
          <w:b/>
          <w:szCs w:val="24"/>
        </w:rPr>
      </w:pPr>
      <w:r>
        <w:br w:type="page"/>
      </w:r>
    </w:p>
    <w:p w:rsidR="002C5B50" w:rsidRPr="00E02341" w:rsidRDefault="002C5B50" w:rsidP="002C5B50">
      <w:pPr>
        <w:pStyle w:val="Heading2"/>
      </w:pPr>
      <w:r w:rsidRPr="00E02341">
        <w:lastRenderedPageBreak/>
        <w:t>Civil Accounts</w:t>
      </w:r>
    </w:p>
    <w:p w:rsidR="002C5B50" w:rsidRPr="00E02341" w:rsidRDefault="002C5B50" w:rsidP="002C5B50">
      <w:pPr>
        <w:rPr>
          <w:szCs w:val="24"/>
        </w:rPr>
      </w:pPr>
    </w:p>
    <w:p w:rsidR="002C5B50" w:rsidRPr="00E02341" w:rsidRDefault="002C5B50" w:rsidP="002C5B50">
      <w:pPr>
        <w:rPr>
          <w:szCs w:val="24"/>
        </w:rPr>
      </w:pPr>
      <w:r w:rsidRPr="00E02341">
        <w:rPr>
          <w:szCs w:val="24"/>
        </w:rPr>
        <w:t>The three Durations KPIs (1,2,3) and the Paid in full KPI (4) were set more demanding benchmarks for 2021/22.  The first two durations indicators - for A&amp;A/ABWOR and legal aid</w:t>
      </w:r>
      <w:r w:rsidRPr="00E02341">
        <w:rPr>
          <w:rStyle w:val="FootnoteReference"/>
          <w:szCs w:val="24"/>
        </w:rPr>
        <w:footnoteReference w:id="2"/>
      </w:r>
      <w:r w:rsidRPr="00E02341">
        <w:rPr>
          <w:szCs w:val="24"/>
        </w:rPr>
        <w:t xml:space="preserve"> met the new benchmarks in the first 6 months.  However in the second half of the year the loss of experienced staff affected performance as described in the main paper.</w:t>
      </w:r>
    </w:p>
    <w:p w:rsidR="002C5B50" w:rsidRPr="00E02341" w:rsidRDefault="002C5B50" w:rsidP="002C5B50">
      <w:pPr>
        <w:rPr>
          <w:szCs w:val="24"/>
        </w:rPr>
      </w:pPr>
    </w:p>
    <w:p w:rsidR="002C5B50" w:rsidRPr="00E02341" w:rsidRDefault="002C5B50" w:rsidP="002C5B50">
      <w:pPr>
        <w:rPr>
          <w:szCs w:val="24"/>
        </w:rPr>
      </w:pPr>
      <w:r w:rsidRPr="00E02341">
        <w:rPr>
          <w:szCs w:val="24"/>
        </w:rPr>
        <w:t>We feel though that there is scope in Civil negotiations to reduce the benchmark from 42 days to 30 days. This retains some slack but given where we are in regards to staffing it seems prudent to retain some slack and review it again next year once we see how we have recruited &amp; fully trained new staff.</w:t>
      </w:r>
    </w:p>
    <w:p w:rsidR="002C5B50" w:rsidRPr="00E02341" w:rsidRDefault="002C5B50" w:rsidP="002C5B50">
      <w:pPr>
        <w:rPr>
          <w:szCs w:val="24"/>
        </w:rPr>
      </w:pPr>
    </w:p>
    <w:tbl>
      <w:tblPr>
        <w:tblStyle w:val="TableGrid"/>
        <w:tblW w:w="10774" w:type="dxa"/>
        <w:tblInd w:w="-431" w:type="dxa"/>
        <w:tblLayout w:type="fixed"/>
        <w:tblLook w:val="04A0" w:firstRow="1" w:lastRow="0" w:firstColumn="1" w:lastColumn="0" w:noHBand="0" w:noVBand="1"/>
      </w:tblPr>
      <w:tblGrid>
        <w:gridCol w:w="1017"/>
        <w:gridCol w:w="1677"/>
        <w:gridCol w:w="1560"/>
        <w:gridCol w:w="1701"/>
        <w:gridCol w:w="1515"/>
        <w:gridCol w:w="1745"/>
        <w:gridCol w:w="1559"/>
      </w:tblGrid>
      <w:tr w:rsidR="002C5B50" w:rsidRPr="00E02341" w:rsidTr="002C5B50">
        <w:trPr>
          <w:trHeight w:val="520"/>
        </w:trPr>
        <w:tc>
          <w:tcPr>
            <w:tcW w:w="1017" w:type="dxa"/>
          </w:tcPr>
          <w:p w:rsidR="002C5B50" w:rsidRPr="00E02341" w:rsidRDefault="002C5B50" w:rsidP="00351A42">
            <w:pPr>
              <w:rPr>
                <w:b/>
                <w:szCs w:val="24"/>
              </w:rPr>
            </w:pPr>
          </w:p>
        </w:tc>
        <w:tc>
          <w:tcPr>
            <w:tcW w:w="1677" w:type="dxa"/>
          </w:tcPr>
          <w:p w:rsidR="002C5B50" w:rsidRPr="00E02341" w:rsidRDefault="002C5B50" w:rsidP="00351A42">
            <w:pPr>
              <w:rPr>
                <w:b/>
                <w:szCs w:val="24"/>
              </w:rPr>
            </w:pPr>
          </w:p>
        </w:tc>
        <w:tc>
          <w:tcPr>
            <w:tcW w:w="1560" w:type="dxa"/>
          </w:tcPr>
          <w:p w:rsidR="002C5B50" w:rsidRPr="00E02341" w:rsidRDefault="002C5B50" w:rsidP="00351A42">
            <w:pPr>
              <w:jc w:val="center"/>
              <w:rPr>
                <w:b/>
                <w:szCs w:val="24"/>
              </w:rPr>
            </w:pPr>
            <w:r w:rsidRPr="00E02341">
              <w:rPr>
                <w:b/>
                <w:szCs w:val="24"/>
              </w:rPr>
              <w:t xml:space="preserve">20/21 </w:t>
            </w:r>
          </w:p>
        </w:tc>
        <w:tc>
          <w:tcPr>
            <w:tcW w:w="1701" w:type="dxa"/>
          </w:tcPr>
          <w:p w:rsidR="002C5B50" w:rsidRPr="00E02341" w:rsidRDefault="002C5B50" w:rsidP="00351A42">
            <w:pPr>
              <w:jc w:val="center"/>
              <w:rPr>
                <w:b/>
                <w:szCs w:val="24"/>
              </w:rPr>
            </w:pPr>
          </w:p>
        </w:tc>
        <w:tc>
          <w:tcPr>
            <w:tcW w:w="1515" w:type="dxa"/>
          </w:tcPr>
          <w:p w:rsidR="002C5B50" w:rsidRPr="00E02341" w:rsidRDefault="002C5B50" w:rsidP="00351A42">
            <w:pPr>
              <w:jc w:val="center"/>
              <w:rPr>
                <w:b/>
                <w:szCs w:val="24"/>
              </w:rPr>
            </w:pPr>
            <w:r w:rsidRPr="00E02341">
              <w:rPr>
                <w:b/>
                <w:szCs w:val="24"/>
              </w:rPr>
              <w:t>21-22</w:t>
            </w:r>
          </w:p>
        </w:tc>
        <w:tc>
          <w:tcPr>
            <w:tcW w:w="1745" w:type="dxa"/>
          </w:tcPr>
          <w:p w:rsidR="002C5B50" w:rsidRPr="00E02341" w:rsidRDefault="002C5B50" w:rsidP="00351A42">
            <w:pPr>
              <w:jc w:val="center"/>
              <w:rPr>
                <w:b/>
                <w:szCs w:val="24"/>
              </w:rPr>
            </w:pPr>
          </w:p>
        </w:tc>
        <w:tc>
          <w:tcPr>
            <w:tcW w:w="1559" w:type="dxa"/>
          </w:tcPr>
          <w:p w:rsidR="002C5B50" w:rsidRPr="00E02341" w:rsidRDefault="002C5B50" w:rsidP="00351A42">
            <w:pPr>
              <w:jc w:val="center"/>
              <w:rPr>
                <w:b/>
                <w:szCs w:val="24"/>
              </w:rPr>
            </w:pPr>
            <w:r w:rsidRPr="00E02341">
              <w:rPr>
                <w:b/>
                <w:szCs w:val="24"/>
              </w:rPr>
              <w:t>22-23</w:t>
            </w:r>
          </w:p>
        </w:tc>
      </w:tr>
      <w:tr w:rsidR="002C5B50" w:rsidRPr="00E02341" w:rsidTr="002C5B50">
        <w:trPr>
          <w:trHeight w:val="520"/>
        </w:trPr>
        <w:tc>
          <w:tcPr>
            <w:tcW w:w="1017" w:type="dxa"/>
          </w:tcPr>
          <w:p w:rsidR="002C5B50" w:rsidRPr="00E02341" w:rsidRDefault="002C5B50" w:rsidP="00351A42">
            <w:pPr>
              <w:rPr>
                <w:b/>
                <w:szCs w:val="24"/>
              </w:rPr>
            </w:pPr>
            <w:r w:rsidRPr="00E02341">
              <w:rPr>
                <w:b/>
                <w:szCs w:val="24"/>
              </w:rPr>
              <w:t>KPI</w:t>
            </w:r>
          </w:p>
        </w:tc>
        <w:tc>
          <w:tcPr>
            <w:tcW w:w="1677" w:type="dxa"/>
          </w:tcPr>
          <w:p w:rsidR="002C5B50" w:rsidRPr="00E02341" w:rsidRDefault="002C5B50" w:rsidP="00351A42">
            <w:pPr>
              <w:rPr>
                <w:b/>
                <w:szCs w:val="24"/>
              </w:rPr>
            </w:pPr>
            <w:r w:rsidRPr="00E02341">
              <w:rPr>
                <w:b/>
                <w:szCs w:val="24"/>
              </w:rPr>
              <w:t>Measure</w:t>
            </w:r>
          </w:p>
        </w:tc>
        <w:tc>
          <w:tcPr>
            <w:tcW w:w="1560" w:type="dxa"/>
          </w:tcPr>
          <w:p w:rsidR="002C5B50" w:rsidRPr="00E02341" w:rsidRDefault="002C5B50" w:rsidP="00351A42">
            <w:pPr>
              <w:jc w:val="center"/>
              <w:rPr>
                <w:b/>
                <w:szCs w:val="24"/>
              </w:rPr>
            </w:pPr>
            <w:r w:rsidRPr="00E02341">
              <w:rPr>
                <w:b/>
                <w:szCs w:val="24"/>
              </w:rPr>
              <w:t>Benchmark</w:t>
            </w:r>
          </w:p>
        </w:tc>
        <w:tc>
          <w:tcPr>
            <w:tcW w:w="1701" w:type="dxa"/>
          </w:tcPr>
          <w:p w:rsidR="002C5B50" w:rsidRPr="00E02341" w:rsidRDefault="002C5B50" w:rsidP="00351A42">
            <w:pPr>
              <w:jc w:val="center"/>
              <w:rPr>
                <w:b/>
                <w:szCs w:val="24"/>
              </w:rPr>
            </w:pPr>
            <w:r w:rsidRPr="00E02341">
              <w:rPr>
                <w:b/>
                <w:szCs w:val="24"/>
              </w:rPr>
              <w:t>Performance</w:t>
            </w:r>
          </w:p>
        </w:tc>
        <w:tc>
          <w:tcPr>
            <w:tcW w:w="1515" w:type="dxa"/>
          </w:tcPr>
          <w:p w:rsidR="002C5B50" w:rsidRPr="00E02341" w:rsidRDefault="002C5B50" w:rsidP="00351A42">
            <w:pPr>
              <w:jc w:val="center"/>
              <w:rPr>
                <w:b/>
                <w:szCs w:val="24"/>
              </w:rPr>
            </w:pPr>
            <w:r w:rsidRPr="00E02341">
              <w:rPr>
                <w:b/>
                <w:szCs w:val="24"/>
              </w:rPr>
              <w:t>Benchmark</w:t>
            </w:r>
          </w:p>
        </w:tc>
        <w:tc>
          <w:tcPr>
            <w:tcW w:w="1745" w:type="dxa"/>
          </w:tcPr>
          <w:p w:rsidR="002C5B50" w:rsidRPr="00E02341" w:rsidRDefault="002C5B50" w:rsidP="00351A42">
            <w:pPr>
              <w:jc w:val="center"/>
              <w:rPr>
                <w:b/>
                <w:szCs w:val="24"/>
              </w:rPr>
            </w:pPr>
            <w:r w:rsidRPr="00E02341">
              <w:rPr>
                <w:b/>
                <w:szCs w:val="24"/>
              </w:rPr>
              <w:t>Performance</w:t>
            </w:r>
          </w:p>
        </w:tc>
        <w:tc>
          <w:tcPr>
            <w:tcW w:w="1559" w:type="dxa"/>
          </w:tcPr>
          <w:p w:rsidR="002C5B50" w:rsidRPr="00E02341" w:rsidRDefault="002C5B50" w:rsidP="00351A42">
            <w:pPr>
              <w:jc w:val="center"/>
              <w:rPr>
                <w:b/>
                <w:szCs w:val="24"/>
              </w:rPr>
            </w:pPr>
            <w:r w:rsidRPr="00E02341">
              <w:rPr>
                <w:b/>
                <w:szCs w:val="24"/>
              </w:rPr>
              <w:t>Suggested benchmark</w:t>
            </w:r>
          </w:p>
        </w:tc>
      </w:tr>
      <w:tr w:rsidR="002C5B50" w:rsidRPr="00E02341" w:rsidTr="002C5B50">
        <w:trPr>
          <w:trHeight w:val="520"/>
        </w:trPr>
        <w:tc>
          <w:tcPr>
            <w:tcW w:w="1017" w:type="dxa"/>
          </w:tcPr>
          <w:p w:rsidR="002C5B50" w:rsidRPr="00E02341" w:rsidRDefault="002C5B50" w:rsidP="00351A42">
            <w:pPr>
              <w:rPr>
                <w:szCs w:val="24"/>
              </w:rPr>
            </w:pPr>
            <w:r w:rsidRPr="00E02341">
              <w:rPr>
                <w:szCs w:val="24"/>
              </w:rPr>
              <w:t>1</w:t>
            </w:r>
          </w:p>
        </w:tc>
        <w:tc>
          <w:tcPr>
            <w:tcW w:w="1677" w:type="dxa"/>
          </w:tcPr>
          <w:p w:rsidR="002C5B50" w:rsidRPr="00E02341" w:rsidRDefault="002C5B50" w:rsidP="00351A42">
            <w:pPr>
              <w:rPr>
                <w:szCs w:val="24"/>
              </w:rPr>
            </w:pPr>
            <w:r w:rsidRPr="00E02341">
              <w:rPr>
                <w:szCs w:val="24"/>
              </w:rPr>
              <w:t xml:space="preserve">Duration Civil A&amp;A  &amp; ABWOR </w:t>
            </w:r>
          </w:p>
        </w:tc>
        <w:tc>
          <w:tcPr>
            <w:tcW w:w="1560" w:type="dxa"/>
          </w:tcPr>
          <w:p w:rsidR="002C5B50" w:rsidRPr="00E02341" w:rsidRDefault="002C5B50" w:rsidP="00351A42">
            <w:pPr>
              <w:jc w:val="center"/>
              <w:rPr>
                <w:szCs w:val="24"/>
              </w:rPr>
            </w:pPr>
            <w:r w:rsidRPr="00E02341">
              <w:rPr>
                <w:szCs w:val="24"/>
              </w:rPr>
              <w:t>22.1</w:t>
            </w:r>
          </w:p>
        </w:tc>
        <w:tc>
          <w:tcPr>
            <w:tcW w:w="1701" w:type="dxa"/>
          </w:tcPr>
          <w:p w:rsidR="002C5B50" w:rsidRPr="00E02341" w:rsidRDefault="002C5B50" w:rsidP="00351A42">
            <w:pPr>
              <w:jc w:val="center"/>
              <w:rPr>
                <w:szCs w:val="24"/>
              </w:rPr>
            </w:pPr>
            <w:r w:rsidRPr="00E02341">
              <w:rPr>
                <w:szCs w:val="24"/>
              </w:rPr>
              <w:t>12</w:t>
            </w:r>
          </w:p>
        </w:tc>
        <w:tc>
          <w:tcPr>
            <w:tcW w:w="1515" w:type="dxa"/>
          </w:tcPr>
          <w:p w:rsidR="002C5B50" w:rsidRPr="00E02341" w:rsidRDefault="002C5B50" w:rsidP="00351A42">
            <w:pPr>
              <w:jc w:val="center"/>
              <w:rPr>
                <w:szCs w:val="24"/>
              </w:rPr>
            </w:pPr>
            <w:r w:rsidRPr="00E02341">
              <w:rPr>
                <w:szCs w:val="24"/>
              </w:rPr>
              <w:t>19.0</w:t>
            </w:r>
          </w:p>
        </w:tc>
        <w:tc>
          <w:tcPr>
            <w:tcW w:w="1745" w:type="dxa"/>
          </w:tcPr>
          <w:p w:rsidR="002C5B50" w:rsidRPr="00E02341" w:rsidRDefault="002C5B50" w:rsidP="00351A42">
            <w:pPr>
              <w:jc w:val="center"/>
              <w:rPr>
                <w:szCs w:val="24"/>
              </w:rPr>
            </w:pPr>
            <w:r w:rsidRPr="00E02341">
              <w:rPr>
                <w:szCs w:val="24"/>
              </w:rPr>
              <w:t>6</w:t>
            </w:r>
          </w:p>
        </w:tc>
        <w:tc>
          <w:tcPr>
            <w:tcW w:w="155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488"/>
        </w:trPr>
        <w:tc>
          <w:tcPr>
            <w:tcW w:w="1017" w:type="dxa"/>
          </w:tcPr>
          <w:p w:rsidR="002C5B50" w:rsidRPr="00E02341" w:rsidRDefault="002C5B50" w:rsidP="00351A42">
            <w:pPr>
              <w:rPr>
                <w:szCs w:val="24"/>
              </w:rPr>
            </w:pPr>
            <w:r w:rsidRPr="00E02341">
              <w:rPr>
                <w:szCs w:val="24"/>
              </w:rPr>
              <w:t>2</w:t>
            </w:r>
          </w:p>
        </w:tc>
        <w:tc>
          <w:tcPr>
            <w:tcW w:w="1677" w:type="dxa"/>
          </w:tcPr>
          <w:p w:rsidR="002C5B50" w:rsidRPr="00E02341" w:rsidRDefault="002C5B50" w:rsidP="00351A42">
            <w:pPr>
              <w:rPr>
                <w:szCs w:val="24"/>
              </w:rPr>
            </w:pPr>
            <w:r w:rsidRPr="00E02341">
              <w:rPr>
                <w:szCs w:val="24"/>
              </w:rPr>
              <w:t xml:space="preserve">Duration Civil legal aid </w:t>
            </w:r>
          </w:p>
        </w:tc>
        <w:tc>
          <w:tcPr>
            <w:tcW w:w="1560" w:type="dxa"/>
          </w:tcPr>
          <w:p w:rsidR="002C5B50" w:rsidRPr="00E02341" w:rsidRDefault="002C5B50" w:rsidP="00351A42">
            <w:pPr>
              <w:jc w:val="center"/>
              <w:rPr>
                <w:szCs w:val="24"/>
              </w:rPr>
            </w:pPr>
            <w:r w:rsidRPr="00E02341">
              <w:rPr>
                <w:szCs w:val="24"/>
              </w:rPr>
              <w:t>24.2</w:t>
            </w:r>
          </w:p>
        </w:tc>
        <w:tc>
          <w:tcPr>
            <w:tcW w:w="1701" w:type="dxa"/>
          </w:tcPr>
          <w:p w:rsidR="002C5B50" w:rsidRPr="00E02341" w:rsidRDefault="002C5B50" w:rsidP="00351A42">
            <w:pPr>
              <w:jc w:val="center"/>
              <w:rPr>
                <w:szCs w:val="24"/>
              </w:rPr>
            </w:pPr>
            <w:r w:rsidRPr="00E02341">
              <w:rPr>
                <w:szCs w:val="24"/>
              </w:rPr>
              <w:t>12</w:t>
            </w:r>
          </w:p>
        </w:tc>
        <w:tc>
          <w:tcPr>
            <w:tcW w:w="1515" w:type="dxa"/>
          </w:tcPr>
          <w:p w:rsidR="002C5B50" w:rsidRPr="00E02341" w:rsidRDefault="002C5B50" w:rsidP="00351A42">
            <w:pPr>
              <w:jc w:val="center"/>
              <w:rPr>
                <w:szCs w:val="24"/>
              </w:rPr>
            </w:pPr>
            <w:r w:rsidRPr="00E02341">
              <w:rPr>
                <w:szCs w:val="24"/>
              </w:rPr>
              <w:t>23.0</w:t>
            </w:r>
          </w:p>
        </w:tc>
        <w:tc>
          <w:tcPr>
            <w:tcW w:w="1745" w:type="dxa"/>
          </w:tcPr>
          <w:p w:rsidR="002C5B50" w:rsidRPr="00E02341" w:rsidRDefault="002C5B50" w:rsidP="00351A42">
            <w:pPr>
              <w:jc w:val="center"/>
              <w:rPr>
                <w:szCs w:val="24"/>
              </w:rPr>
            </w:pPr>
            <w:r w:rsidRPr="00E02341">
              <w:rPr>
                <w:szCs w:val="24"/>
              </w:rPr>
              <w:t>6</w:t>
            </w:r>
          </w:p>
        </w:tc>
        <w:tc>
          <w:tcPr>
            <w:tcW w:w="155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520"/>
        </w:trPr>
        <w:tc>
          <w:tcPr>
            <w:tcW w:w="1017" w:type="dxa"/>
          </w:tcPr>
          <w:p w:rsidR="002C5B50" w:rsidRPr="00E02341" w:rsidRDefault="002C5B50" w:rsidP="00351A42">
            <w:pPr>
              <w:rPr>
                <w:szCs w:val="24"/>
                <w:highlight w:val="yellow"/>
              </w:rPr>
            </w:pPr>
            <w:r w:rsidRPr="00E02341">
              <w:rPr>
                <w:szCs w:val="24"/>
                <w:highlight w:val="yellow"/>
              </w:rPr>
              <w:t>3</w:t>
            </w:r>
          </w:p>
        </w:tc>
        <w:tc>
          <w:tcPr>
            <w:tcW w:w="1677" w:type="dxa"/>
          </w:tcPr>
          <w:p w:rsidR="002C5B50" w:rsidRPr="00E02341" w:rsidRDefault="002C5B50" w:rsidP="00351A42">
            <w:pPr>
              <w:rPr>
                <w:szCs w:val="24"/>
                <w:highlight w:val="yellow"/>
              </w:rPr>
            </w:pPr>
            <w:r w:rsidRPr="00E02341">
              <w:rPr>
                <w:szCs w:val="24"/>
                <w:highlight w:val="yellow"/>
              </w:rPr>
              <w:t>Duration Negotiations</w:t>
            </w:r>
          </w:p>
        </w:tc>
        <w:tc>
          <w:tcPr>
            <w:tcW w:w="1560" w:type="dxa"/>
          </w:tcPr>
          <w:p w:rsidR="002C5B50" w:rsidRPr="00E02341" w:rsidRDefault="002C5B50" w:rsidP="00351A42">
            <w:pPr>
              <w:jc w:val="center"/>
              <w:rPr>
                <w:szCs w:val="24"/>
              </w:rPr>
            </w:pPr>
            <w:r w:rsidRPr="00E02341">
              <w:rPr>
                <w:szCs w:val="24"/>
              </w:rPr>
              <w:t>50.6</w:t>
            </w:r>
          </w:p>
        </w:tc>
        <w:tc>
          <w:tcPr>
            <w:tcW w:w="1701" w:type="dxa"/>
          </w:tcPr>
          <w:p w:rsidR="002C5B50" w:rsidRPr="00E02341" w:rsidRDefault="002C5B50" w:rsidP="00351A42">
            <w:pPr>
              <w:jc w:val="center"/>
              <w:rPr>
                <w:szCs w:val="24"/>
              </w:rPr>
            </w:pPr>
            <w:r w:rsidRPr="00E02341">
              <w:rPr>
                <w:szCs w:val="24"/>
              </w:rPr>
              <w:t>12</w:t>
            </w:r>
          </w:p>
        </w:tc>
        <w:tc>
          <w:tcPr>
            <w:tcW w:w="1515" w:type="dxa"/>
          </w:tcPr>
          <w:p w:rsidR="002C5B50" w:rsidRPr="00E02341" w:rsidRDefault="002C5B50" w:rsidP="00351A42">
            <w:pPr>
              <w:jc w:val="center"/>
              <w:rPr>
                <w:szCs w:val="24"/>
              </w:rPr>
            </w:pPr>
            <w:r w:rsidRPr="00E02341">
              <w:rPr>
                <w:szCs w:val="24"/>
              </w:rPr>
              <w:t>42.0</w:t>
            </w:r>
          </w:p>
        </w:tc>
        <w:tc>
          <w:tcPr>
            <w:tcW w:w="1745" w:type="dxa"/>
          </w:tcPr>
          <w:p w:rsidR="002C5B50" w:rsidRPr="00E02341" w:rsidRDefault="002C5B50" w:rsidP="00351A42">
            <w:pPr>
              <w:jc w:val="center"/>
              <w:rPr>
                <w:szCs w:val="24"/>
              </w:rPr>
            </w:pPr>
            <w:r w:rsidRPr="00E02341">
              <w:rPr>
                <w:szCs w:val="24"/>
              </w:rPr>
              <w:t>12</w:t>
            </w:r>
          </w:p>
        </w:tc>
        <w:tc>
          <w:tcPr>
            <w:tcW w:w="1559" w:type="dxa"/>
          </w:tcPr>
          <w:p w:rsidR="002C5B50" w:rsidRPr="00E02341" w:rsidRDefault="002C5B50" w:rsidP="00351A42">
            <w:pPr>
              <w:jc w:val="center"/>
              <w:rPr>
                <w:szCs w:val="24"/>
              </w:rPr>
            </w:pPr>
            <w:r w:rsidRPr="00E02341">
              <w:rPr>
                <w:szCs w:val="24"/>
                <w:highlight w:val="yellow"/>
              </w:rPr>
              <w:t>30</w:t>
            </w:r>
          </w:p>
        </w:tc>
      </w:tr>
      <w:tr w:rsidR="002C5B50" w:rsidRPr="00E02341" w:rsidTr="002C5B50">
        <w:trPr>
          <w:trHeight w:val="488"/>
        </w:trPr>
        <w:tc>
          <w:tcPr>
            <w:tcW w:w="1017" w:type="dxa"/>
          </w:tcPr>
          <w:p w:rsidR="002C5B50" w:rsidRPr="00E02341" w:rsidRDefault="002C5B50" w:rsidP="00351A42">
            <w:pPr>
              <w:rPr>
                <w:szCs w:val="24"/>
              </w:rPr>
            </w:pPr>
            <w:r w:rsidRPr="00E02341">
              <w:rPr>
                <w:szCs w:val="24"/>
              </w:rPr>
              <w:t>4</w:t>
            </w:r>
          </w:p>
        </w:tc>
        <w:tc>
          <w:tcPr>
            <w:tcW w:w="1677" w:type="dxa"/>
          </w:tcPr>
          <w:p w:rsidR="002C5B50" w:rsidRPr="00E02341" w:rsidRDefault="002C5B50" w:rsidP="00351A42">
            <w:pPr>
              <w:rPr>
                <w:szCs w:val="24"/>
              </w:rPr>
            </w:pPr>
            <w:r w:rsidRPr="00E02341">
              <w:rPr>
                <w:szCs w:val="24"/>
              </w:rPr>
              <w:t>Paid in full</w:t>
            </w:r>
          </w:p>
        </w:tc>
        <w:tc>
          <w:tcPr>
            <w:tcW w:w="1560" w:type="dxa"/>
          </w:tcPr>
          <w:p w:rsidR="002C5B50" w:rsidRPr="00E02341" w:rsidRDefault="002C5B50" w:rsidP="00351A42">
            <w:pPr>
              <w:jc w:val="center"/>
              <w:rPr>
                <w:szCs w:val="24"/>
              </w:rPr>
            </w:pPr>
            <w:r w:rsidRPr="00E02341">
              <w:rPr>
                <w:szCs w:val="24"/>
              </w:rPr>
              <w:t>63.2%</w:t>
            </w:r>
          </w:p>
        </w:tc>
        <w:tc>
          <w:tcPr>
            <w:tcW w:w="1701" w:type="dxa"/>
          </w:tcPr>
          <w:p w:rsidR="002C5B50" w:rsidRPr="00E02341" w:rsidRDefault="002C5B50" w:rsidP="00351A42">
            <w:pPr>
              <w:jc w:val="center"/>
              <w:rPr>
                <w:szCs w:val="24"/>
              </w:rPr>
            </w:pPr>
            <w:r w:rsidRPr="00E02341">
              <w:rPr>
                <w:szCs w:val="24"/>
              </w:rPr>
              <w:t>12</w:t>
            </w:r>
          </w:p>
        </w:tc>
        <w:tc>
          <w:tcPr>
            <w:tcW w:w="1515" w:type="dxa"/>
          </w:tcPr>
          <w:p w:rsidR="002C5B50" w:rsidRPr="00E02341" w:rsidRDefault="002C5B50" w:rsidP="00351A42">
            <w:pPr>
              <w:jc w:val="center"/>
              <w:rPr>
                <w:szCs w:val="24"/>
              </w:rPr>
            </w:pPr>
            <w:r w:rsidRPr="00E02341">
              <w:rPr>
                <w:szCs w:val="24"/>
              </w:rPr>
              <w:t>67.5%</w:t>
            </w:r>
          </w:p>
        </w:tc>
        <w:tc>
          <w:tcPr>
            <w:tcW w:w="1745" w:type="dxa"/>
          </w:tcPr>
          <w:p w:rsidR="002C5B50" w:rsidRPr="00E02341" w:rsidRDefault="002C5B50" w:rsidP="00351A42">
            <w:pPr>
              <w:jc w:val="center"/>
              <w:rPr>
                <w:szCs w:val="24"/>
              </w:rPr>
            </w:pPr>
            <w:r w:rsidRPr="00E02341">
              <w:rPr>
                <w:szCs w:val="24"/>
              </w:rPr>
              <w:t>12</w:t>
            </w:r>
          </w:p>
        </w:tc>
        <w:tc>
          <w:tcPr>
            <w:tcW w:w="155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1041"/>
        </w:trPr>
        <w:tc>
          <w:tcPr>
            <w:tcW w:w="1017" w:type="dxa"/>
          </w:tcPr>
          <w:p w:rsidR="002C5B50" w:rsidRPr="00E02341" w:rsidRDefault="002C5B50" w:rsidP="00351A42">
            <w:pPr>
              <w:rPr>
                <w:szCs w:val="24"/>
              </w:rPr>
            </w:pPr>
            <w:r w:rsidRPr="00E02341">
              <w:rPr>
                <w:szCs w:val="24"/>
              </w:rPr>
              <w:t>5</w:t>
            </w:r>
          </w:p>
        </w:tc>
        <w:tc>
          <w:tcPr>
            <w:tcW w:w="1677" w:type="dxa"/>
          </w:tcPr>
          <w:p w:rsidR="002C5B50" w:rsidRPr="00E02341" w:rsidRDefault="002C5B50" w:rsidP="00351A42">
            <w:pPr>
              <w:rPr>
                <w:szCs w:val="24"/>
              </w:rPr>
            </w:pPr>
            <w:r w:rsidRPr="00E02341">
              <w:rPr>
                <w:szCs w:val="24"/>
              </w:rPr>
              <w:t>Further work</w:t>
            </w:r>
          </w:p>
        </w:tc>
        <w:tc>
          <w:tcPr>
            <w:tcW w:w="1560" w:type="dxa"/>
          </w:tcPr>
          <w:p w:rsidR="002C5B50" w:rsidRPr="00E02341" w:rsidRDefault="002C5B50" w:rsidP="00351A42">
            <w:pPr>
              <w:jc w:val="center"/>
              <w:rPr>
                <w:szCs w:val="24"/>
              </w:rPr>
            </w:pPr>
            <w:r w:rsidRPr="00E02341">
              <w:rPr>
                <w:szCs w:val="24"/>
              </w:rPr>
              <w:t>14.1%</w:t>
            </w:r>
          </w:p>
        </w:tc>
        <w:tc>
          <w:tcPr>
            <w:tcW w:w="1701" w:type="dxa"/>
          </w:tcPr>
          <w:p w:rsidR="002C5B50" w:rsidRPr="00E02341" w:rsidRDefault="002C5B50" w:rsidP="00351A42">
            <w:pPr>
              <w:jc w:val="center"/>
              <w:rPr>
                <w:szCs w:val="24"/>
              </w:rPr>
            </w:pPr>
            <w:r w:rsidRPr="00E02341">
              <w:rPr>
                <w:szCs w:val="24"/>
              </w:rPr>
              <w:t>8</w:t>
            </w:r>
          </w:p>
        </w:tc>
        <w:tc>
          <w:tcPr>
            <w:tcW w:w="1515" w:type="dxa"/>
          </w:tcPr>
          <w:p w:rsidR="002C5B50" w:rsidRPr="00E02341" w:rsidRDefault="002C5B50" w:rsidP="00351A42">
            <w:pPr>
              <w:jc w:val="center"/>
              <w:rPr>
                <w:szCs w:val="24"/>
              </w:rPr>
            </w:pPr>
            <w:r w:rsidRPr="00E02341">
              <w:rPr>
                <w:szCs w:val="24"/>
              </w:rPr>
              <w:t>Keep same</w:t>
            </w:r>
          </w:p>
        </w:tc>
        <w:tc>
          <w:tcPr>
            <w:tcW w:w="1745" w:type="dxa"/>
          </w:tcPr>
          <w:p w:rsidR="002C5B50" w:rsidRPr="00E02341" w:rsidRDefault="002C5B50" w:rsidP="00351A42">
            <w:pPr>
              <w:jc w:val="center"/>
              <w:rPr>
                <w:szCs w:val="24"/>
              </w:rPr>
            </w:pPr>
            <w:r w:rsidRPr="00E02341">
              <w:rPr>
                <w:szCs w:val="24"/>
              </w:rPr>
              <w:t>12</w:t>
            </w:r>
          </w:p>
        </w:tc>
        <w:tc>
          <w:tcPr>
            <w:tcW w:w="1559" w:type="dxa"/>
          </w:tcPr>
          <w:p w:rsidR="002C5B50" w:rsidRPr="00E02341" w:rsidRDefault="002C5B50" w:rsidP="00351A42">
            <w:pPr>
              <w:jc w:val="center"/>
              <w:rPr>
                <w:szCs w:val="24"/>
              </w:rPr>
            </w:pPr>
            <w:r w:rsidRPr="00E02341">
              <w:rPr>
                <w:szCs w:val="24"/>
              </w:rPr>
              <w:t>Keep same</w:t>
            </w:r>
          </w:p>
        </w:tc>
      </w:tr>
    </w:tbl>
    <w:p w:rsidR="002C5B50" w:rsidRDefault="002C5B50" w:rsidP="002C5B50">
      <w:pPr>
        <w:spacing w:after="200" w:line="276" w:lineRule="auto"/>
        <w:rPr>
          <w:b/>
          <w:szCs w:val="24"/>
        </w:rPr>
      </w:pPr>
    </w:p>
    <w:p w:rsidR="002C5B50" w:rsidRPr="00E02341" w:rsidRDefault="002C5B50" w:rsidP="002C5B50">
      <w:pPr>
        <w:spacing w:after="200" w:line="276" w:lineRule="auto"/>
        <w:rPr>
          <w:b/>
          <w:szCs w:val="24"/>
        </w:rPr>
      </w:pPr>
      <w:r w:rsidRPr="00E02341">
        <w:rPr>
          <w:b/>
          <w:szCs w:val="24"/>
        </w:rPr>
        <w:t>Criminal Accounts</w:t>
      </w:r>
    </w:p>
    <w:p w:rsidR="002C5B50" w:rsidRPr="00E02341" w:rsidRDefault="002C5B50" w:rsidP="002C5B50">
      <w:pPr>
        <w:spacing w:after="200" w:line="276" w:lineRule="auto"/>
        <w:rPr>
          <w:szCs w:val="24"/>
        </w:rPr>
      </w:pPr>
      <w:r w:rsidRPr="00E02341">
        <w:rPr>
          <w:szCs w:val="24"/>
        </w:rPr>
        <w:t>The benchmarks for three KPIs were advanced for 21-22.  In one of them - Criminal A&amp;A durations –  we see some scope to reduce the benchmark further.   If boycotts of police station duty continue then we might be looking at a shift in the % of A&amp;A that go automatically through the system (i.e. a higher % of what remains will be assessed). As such it is felt better to be prudent and reduce the benchmark from 9 days to 8 day</w:t>
      </w:r>
      <w:r>
        <w:rPr>
          <w:szCs w:val="24"/>
        </w:rPr>
        <w:t>s and to review again next year.</w:t>
      </w:r>
    </w:p>
    <w:tbl>
      <w:tblPr>
        <w:tblStyle w:val="TableGrid"/>
        <w:tblW w:w="10456" w:type="dxa"/>
        <w:tblInd w:w="-720" w:type="dxa"/>
        <w:tblLook w:val="04A0" w:firstRow="1" w:lastRow="0" w:firstColumn="1" w:lastColumn="0" w:noHBand="0" w:noVBand="1"/>
      </w:tblPr>
      <w:tblGrid>
        <w:gridCol w:w="575"/>
        <w:gridCol w:w="2146"/>
        <w:gridCol w:w="1472"/>
        <w:gridCol w:w="1661"/>
        <w:gridCol w:w="1472"/>
        <w:gridCol w:w="1661"/>
        <w:gridCol w:w="1469"/>
      </w:tblGrid>
      <w:tr w:rsidR="002C5B50" w:rsidRPr="00E02341" w:rsidTr="002C5B50">
        <w:trPr>
          <w:trHeight w:val="307"/>
        </w:trPr>
        <w:tc>
          <w:tcPr>
            <w:tcW w:w="575" w:type="dxa"/>
          </w:tcPr>
          <w:p w:rsidR="002C5B50" w:rsidRPr="00E02341" w:rsidRDefault="002C5B50" w:rsidP="00351A42">
            <w:pPr>
              <w:rPr>
                <w:b/>
                <w:szCs w:val="24"/>
              </w:rPr>
            </w:pPr>
          </w:p>
        </w:tc>
        <w:tc>
          <w:tcPr>
            <w:tcW w:w="2146" w:type="dxa"/>
          </w:tcPr>
          <w:p w:rsidR="002C5B50" w:rsidRPr="00E02341" w:rsidRDefault="002C5B50" w:rsidP="00351A42">
            <w:pPr>
              <w:rPr>
                <w:b/>
                <w:szCs w:val="24"/>
              </w:rPr>
            </w:pPr>
          </w:p>
        </w:tc>
        <w:tc>
          <w:tcPr>
            <w:tcW w:w="1472" w:type="dxa"/>
          </w:tcPr>
          <w:p w:rsidR="002C5B50" w:rsidRPr="00E02341" w:rsidRDefault="002C5B50" w:rsidP="00351A42">
            <w:pPr>
              <w:jc w:val="center"/>
              <w:rPr>
                <w:b/>
                <w:szCs w:val="24"/>
              </w:rPr>
            </w:pPr>
            <w:r w:rsidRPr="00E02341">
              <w:rPr>
                <w:b/>
                <w:szCs w:val="24"/>
              </w:rPr>
              <w:t xml:space="preserve">20/21 </w:t>
            </w:r>
          </w:p>
        </w:tc>
        <w:tc>
          <w:tcPr>
            <w:tcW w:w="1661" w:type="dxa"/>
          </w:tcPr>
          <w:p w:rsidR="002C5B50" w:rsidRPr="00E02341" w:rsidRDefault="002C5B50" w:rsidP="00351A42">
            <w:pPr>
              <w:jc w:val="center"/>
              <w:rPr>
                <w:b/>
                <w:szCs w:val="24"/>
              </w:rPr>
            </w:pPr>
          </w:p>
        </w:tc>
        <w:tc>
          <w:tcPr>
            <w:tcW w:w="1472" w:type="dxa"/>
          </w:tcPr>
          <w:p w:rsidR="002C5B50" w:rsidRPr="00E02341" w:rsidRDefault="002C5B50" w:rsidP="00351A42">
            <w:pPr>
              <w:jc w:val="center"/>
              <w:rPr>
                <w:b/>
                <w:szCs w:val="24"/>
              </w:rPr>
            </w:pPr>
            <w:r w:rsidRPr="00E02341">
              <w:rPr>
                <w:b/>
                <w:szCs w:val="24"/>
              </w:rPr>
              <w:t>21-22</w:t>
            </w:r>
          </w:p>
        </w:tc>
        <w:tc>
          <w:tcPr>
            <w:tcW w:w="1661" w:type="dxa"/>
          </w:tcPr>
          <w:p w:rsidR="002C5B50" w:rsidRPr="00E02341" w:rsidRDefault="002C5B50" w:rsidP="00351A42">
            <w:pPr>
              <w:jc w:val="center"/>
              <w:rPr>
                <w:b/>
                <w:szCs w:val="24"/>
              </w:rPr>
            </w:pPr>
          </w:p>
        </w:tc>
        <w:tc>
          <w:tcPr>
            <w:tcW w:w="1469" w:type="dxa"/>
          </w:tcPr>
          <w:p w:rsidR="002C5B50" w:rsidRPr="00E02341" w:rsidRDefault="002C5B50" w:rsidP="00351A42">
            <w:pPr>
              <w:jc w:val="center"/>
              <w:rPr>
                <w:b/>
                <w:szCs w:val="24"/>
              </w:rPr>
            </w:pPr>
            <w:r w:rsidRPr="00E02341">
              <w:rPr>
                <w:b/>
                <w:szCs w:val="24"/>
              </w:rPr>
              <w:t>22-23</w:t>
            </w:r>
          </w:p>
        </w:tc>
      </w:tr>
      <w:tr w:rsidR="002C5B50" w:rsidRPr="00E02341" w:rsidTr="002C5B50">
        <w:trPr>
          <w:trHeight w:val="307"/>
        </w:trPr>
        <w:tc>
          <w:tcPr>
            <w:tcW w:w="575" w:type="dxa"/>
          </w:tcPr>
          <w:p w:rsidR="002C5B50" w:rsidRPr="00E02341" w:rsidRDefault="002C5B50" w:rsidP="00351A42">
            <w:pPr>
              <w:rPr>
                <w:b/>
                <w:szCs w:val="24"/>
              </w:rPr>
            </w:pPr>
            <w:r w:rsidRPr="00E02341">
              <w:rPr>
                <w:b/>
                <w:szCs w:val="24"/>
              </w:rPr>
              <w:t>KPI</w:t>
            </w:r>
          </w:p>
        </w:tc>
        <w:tc>
          <w:tcPr>
            <w:tcW w:w="2146" w:type="dxa"/>
          </w:tcPr>
          <w:p w:rsidR="002C5B50" w:rsidRPr="00E02341" w:rsidRDefault="002C5B50" w:rsidP="00351A42">
            <w:pPr>
              <w:rPr>
                <w:b/>
                <w:szCs w:val="24"/>
              </w:rPr>
            </w:pPr>
            <w:r w:rsidRPr="00E02341">
              <w:rPr>
                <w:b/>
                <w:szCs w:val="24"/>
              </w:rPr>
              <w:t>Measure</w:t>
            </w:r>
          </w:p>
        </w:tc>
        <w:tc>
          <w:tcPr>
            <w:tcW w:w="1472" w:type="dxa"/>
          </w:tcPr>
          <w:p w:rsidR="002C5B50" w:rsidRPr="00E02341" w:rsidRDefault="002C5B50" w:rsidP="00351A42">
            <w:pPr>
              <w:jc w:val="center"/>
              <w:rPr>
                <w:b/>
                <w:szCs w:val="24"/>
              </w:rPr>
            </w:pPr>
            <w:r w:rsidRPr="00E02341">
              <w:rPr>
                <w:b/>
                <w:szCs w:val="24"/>
              </w:rPr>
              <w:t>Benchmark</w:t>
            </w:r>
          </w:p>
        </w:tc>
        <w:tc>
          <w:tcPr>
            <w:tcW w:w="1661" w:type="dxa"/>
          </w:tcPr>
          <w:p w:rsidR="002C5B50" w:rsidRPr="00E02341" w:rsidRDefault="002C5B50" w:rsidP="00351A42">
            <w:pPr>
              <w:jc w:val="center"/>
              <w:rPr>
                <w:b/>
                <w:szCs w:val="24"/>
              </w:rPr>
            </w:pPr>
            <w:r w:rsidRPr="00E02341">
              <w:rPr>
                <w:b/>
                <w:szCs w:val="24"/>
              </w:rPr>
              <w:t>Performance</w:t>
            </w:r>
          </w:p>
        </w:tc>
        <w:tc>
          <w:tcPr>
            <w:tcW w:w="1472" w:type="dxa"/>
          </w:tcPr>
          <w:p w:rsidR="002C5B50" w:rsidRPr="00E02341" w:rsidRDefault="002C5B50" w:rsidP="00351A42">
            <w:pPr>
              <w:jc w:val="center"/>
              <w:rPr>
                <w:b/>
                <w:szCs w:val="24"/>
              </w:rPr>
            </w:pPr>
            <w:r w:rsidRPr="00E02341">
              <w:rPr>
                <w:b/>
                <w:szCs w:val="24"/>
              </w:rPr>
              <w:t>Benchmark</w:t>
            </w:r>
          </w:p>
        </w:tc>
        <w:tc>
          <w:tcPr>
            <w:tcW w:w="1661" w:type="dxa"/>
          </w:tcPr>
          <w:p w:rsidR="002C5B50" w:rsidRPr="00E02341" w:rsidRDefault="002C5B50" w:rsidP="00351A42">
            <w:pPr>
              <w:jc w:val="center"/>
              <w:rPr>
                <w:b/>
                <w:szCs w:val="24"/>
              </w:rPr>
            </w:pPr>
            <w:r w:rsidRPr="00E02341">
              <w:rPr>
                <w:b/>
                <w:szCs w:val="24"/>
              </w:rPr>
              <w:t>Performance</w:t>
            </w:r>
          </w:p>
        </w:tc>
        <w:tc>
          <w:tcPr>
            <w:tcW w:w="1469" w:type="dxa"/>
          </w:tcPr>
          <w:p w:rsidR="002C5B50" w:rsidRPr="00E02341" w:rsidRDefault="002C5B50" w:rsidP="00351A42">
            <w:pPr>
              <w:jc w:val="center"/>
              <w:rPr>
                <w:b/>
                <w:szCs w:val="24"/>
              </w:rPr>
            </w:pPr>
            <w:r w:rsidRPr="00E02341">
              <w:rPr>
                <w:b/>
                <w:szCs w:val="24"/>
              </w:rPr>
              <w:t>Suggested benchmark</w:t>
            </w:r>
          </w:p>
        </w:tc>
      </w:tr>
      <w:tr w:rsidR="002C5B50" w:rsidRPr="00E02341" w:rsidTr="002C5B50">
        <w:trPr>
          <w:trHeight w:val="307"/>
        </w:trPr>
        <w:tc>
          <w:tcPr>
            <w:tcW w:w="575" w:type="dxa"/>
          </w:tcPr>
          <w:p w:rsidR="002C5B50" w:rsidRPr="00E02341" w:rsidRDefault="002C5B50" w:rsidP="00351A42">
            <w:pPr>
              <w:rPr>
                <w:szCs w:val="24"/>
                <w:highlight w:val="yellow"/>
              </w:rPr>
            </w:pPr>
            <w:r w:rsidRPr="00E02341">
              <w:rPr>
                <w:szCs w:val="24"/>
                <w:highlight w:val="yellow"/>
              </w:rPr>
              <w:t>6</w:t>
            </w:r>
          </w:p>
        </w:tc>
        <w:tc>
          <w:tcPr>
            <w:tcW w:w="2146" w:type="dxa"/>
          </w:tcPr>
          <w:p w:rsidR="002C5B50" w:rsidRPr="00E02341" w:rsidRDefault="002C5B50" w:rsidP="00351A42">
            <w:pPr>
              <w:rPr>
                <w:szCs w:val="24"/>
                <w:highlight w:val="yellow"/>
              </w:rPr>
            </w:pPr>
            <w:r w:rsidRPr="00E02341">
              <w:rPr>
                <w:szCs w:val="24"/>
                <w:highlight w:val="yellow"/>
              </w:rPr>
              <w:t>Duration Criminal A&amp;A</w:t>
            </w:r>
          </w:p>
        </w:tc>
        <w:tc>
          <w:tcPr>
            <w:tcW w:w="1472" w:type="dxa"/>
          </w:tcPr>
          <w:p w:rsidR="002C5B50" w:rsidRPr="00E02341" w:rsidRDefault="002C5B50" w:rsidP="00351A42">
            <w:pPr>
              <w:jc w:val="center"/>
              <w:rPr>
                <w:szCs w:val="24"/>
              </w:rPr>
            </w:pPr>
            <w:r w:rsidRPr="00E02341">
              <w:rPr>
                <w:szCs w:val="24"/>
              </w:rPr>
              <w:t>9.6</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9.0</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highlight w:val="yellow"/>
              </w:rPr>
              <w:t>8 days</w:t>
            </w:r>
          </w:p>
        </w:tc>
      </w:tr>
      <w:tr w:rsidR="002C5B50" w:rsidRPr="00E02341" w:rsidTr="002C5B50">
        <w:trPr>
          <w:trHeight w:val="289"/>
        </w:trPr>
        <w:tc>
          <w:tcPr>
            <w:tcW w:w="575" w:type="dxa"/>
          </w:tcPr>
          <w:p w:rsidR="002C5B50" w:rsidRPr="00E02341" w:rsidRDefault="002C5B50" w:rsidP="00351A42">
            <w:pPr>
              <w:rPr>
                <w:szCs w:val="24"/>
              </w:rPr>
            </w:pPr>
            <w:r w:rsidRPr="00E02341">
              <w:rPr>
                <w:szCs w:val="24"/>
              </w:rPr>
              <w:lastRenderedPageBreak/>
              <w:t>7</w:t>
            </w:r>
          </w:p>
        </w:tc>
        <w:tc>
          <w:tcPr>
            <w:tcW w:w="2146" w:type="dxa"/>
          </w:tcPr>
          <w:p w:rsidR="002C5B50" w:rsidRPr="00E02341" w:rsidRDefault="002C5B50" w:rsidP="00351A42">
            <w:pPr>
              <w:rPr>
                <w:szCs w:val="24"/>
              </w:rPr>
            </w:pPr>
            <w:r w:rsidRPr="00E02341">
              <w:rPr>
                <w:szCs w:val="24"/>
              </w:rPr>
              <w:t>Duration Criminal ABWOR Auto</w:t>
            </w:r>
          </w:p>
        </w:tc>
        <w:tc>
          <w:tcPr>
            <w:tcW w:w="1472" w:type="dxa"/>
          </w:tcPr>
          <w:p w:rsidR="002C5B50" w:rsidRPr="00E02341" w:rsidRDefault="002C5B50" w:rsidP="00351A42">
            <w:pPr>
              <w:jc w:val="center"/>
              <w:rPr>
                <w:szCs w:val="24"/>
              </w:rPr>
            </w:pPr>
            <w:r w:rsidRPr="00E02341">
              <w:rPr>
                <w:szCs w:val="24"/>
              </w:rPr>
              <w:t>6.4</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6.2</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307"/>
        </w:trPr>
        <w:tc>
          <w:tcPr>
            <w:tcW w:w="575" w:type="dxa"/>
          </w:tcPr>
          <w:p w:rsidR="002C5B50" w:rsidRPr="00E02341" w:rsidRDefault="002C5B50" w:rsidP="00351A42">
            <w:pPr>
              <w:rPr>
                <w:szCs w:val="24"/>
              </w:rPr>
            </w:pPr>
            <w:r w:rsidRPr="00E02341">
              <w:rPr>
                <w:szCs w:val="24"/>
              </w:rPr>
              <w:t>8</w:t>
            </w:r>
          </w:p>
        </w:tc>
        <w:tc>
          <w:tcPr>
            <w:tcW w:w="2146" w:type="dxa"/>
          </w:tcPr>
          <w:p w:rsidR="002C5B50" w:rsidRPr="00E02341" w:rsidRDefault="002C5B50" w:rsidP="00351A42">
            <w:pPr>
              <w:rPr>
                <w:szCs w:val="24"/>
              </w:rPr>
            </w:pPr>
            <w:r w:rsidRPr="00E02341">
              <w:rPr>
                <w:szCs w:val="24"/>
              </w:rPr>
              <w:t xml:space="preserve">Duration Criminal ABWOR </w:t>
            </w:r>
            <w:proofErr w:type="spellStart"/>
            <w:r w:rsidRPr="00E02341">
              <w:rPr>
                <w:szCs w:val="24"/>
              </w:rPr>
              <w:t>Non auto</w:t>
            </w:r>
            <w:proofErr w:type="spellEnd"/>
          </w:p>
        </w:tc>
        <w:tc>
          <w:tcPr>
            <w:tcW w:w="1472" w:type="dxa"/>
          </w:tcPr>
          <w:p w:rsidR="002C5B50" w:rsidRPr="00E02341" w:rsidRDefault="002C5B50" w:rsidP="00351A42">
            <w:pPr>
              <w:jc w:val="center"/>
              <w:rPr>
                <w:szCs w:val="24"/>
              </w:rPr>
            </w:pPr>
            <w:r w:rsidRPr="00E02341">
              <w:rPr>
                <w:szCs w:val="24"/>
              </w:rPr>
              <w:t>12.3</w:t>
            </w:r>
          </w:p>
        </w:tc>
        <w:tc>
          <w:tcPr>
            <w:tcW w:w="1661" w:type="dxa"/>
          </w:tcPr>
          <w:p w:rsidR="002C5B50" w:rsidRPr="00E02341" w:rsidRDefault="002C5B50" w:rsidP="00351A42">
            <w:pPr>
              <w:jc w:val="center"/>
              <w:rPr>
                <w:szCs w:val="24"/>
              </w:rPr>
            </w:pPr>
            <w:r w:rsidRPr="00E02341">
              <w:rPr>
                <w:szCs w:val="24"/>
              </w:rPr>
              <w:t>9</w:t>
            </w:r>
          </w:p>
        </w:tc>
        <w:tc>
          <w:tcPr>
            <w:tcW w:w="1472" w:type="dxa"/>
          </w:tcPr>
          <w:p w:rsidR="002C5B50" w:rsidRPr="00E02341" w:rsidRDefault="002C5B50" w:rsidP="00351A42">
            <w:pPr>
              <w:jc w:val="center"/>
              <w:rPr>
                <w:szCs w:val="24"/>
              </w:rPr>
            </w:pPr>
            <w:r w:rsidRPr="00E02341">
              <w:rPr>
                <w:szCs w:val="24"/>
              </w:rPr>
              <w:t>Keep same</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289"/>
        </w:trPr>
        <w:tc>
          <w:tcPr>
            <w:tcW w:w="575" w:type="dxa"/>
          </w:tcPr>
          <w:p w:rsidR="002C5B50" w:rsidRPr="00E02341" w:rsidRDefault="002C5B50" w:rsidP="00351A42">
            <w:pPr>
              <w:rPr>
                <w:szCs w:val="24"/>
              </w:rPr>
            </w:pPr>
            <w:r w:rsidRPr="00E02341">
              <w:rPr>
                <w:szCs w:val="24"/>
              </w:rPr>
              <w:t>9</w:t>
            </w:r>
          </w:p>
        </w:tc>
        <w:tc>
          <w:tcPr>
            <w:tcW w:w="2146" w:type="dxa"/>
          </w:tcPr>
          <w:p w:rsidR="002C5B50" w:rsidRPr="00E02341" w:rsidRDefault="002C5B50" w:rsidP="00351A42">
            <w:pPr>
              <w:rPr>
                <w:szCs w:val="24"/>
              </w:rPr>
            </w:pPr>
            <w:r w:rsidRPr="00E02341">
              <w:rPr>
                <w:szCs w:val="24"/>
              </w:rPr>
              <w:t>Duration Criminal Auto</w:t>
            </w:r>
          </w:p>
        </w:tc>
        <w:tc>
          <w:tcPr>
            <w:tcW w:w="1472" w:type="dxa"/>
          </w:tcPr>
          <w:p w:rsidR="002C5B50" w:rsidRPr="00E02341" w:rsidRDefault="002C5B50" w:rsidP="00351A42">
            <w:pPr>
              <w:jc w:val="center"/>
              <w:rPr>
                <w:szCs w:val="24"/>
              </w:rPr>
            </w:pPr>
            <w:r w:rsidRPr="00E02341">
              <w:rPr>
                <w:szCs w:val="24"/>
              </w:rPr>
              <w:t>6.4</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Keep same</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307"/>
        </w:trPr>
        <w:tc>
          <w:tcPr>
            <w:tcW w:w="575" w:type="dxa"/>
          </w:tcPr>
          <w:p w:rsidR="002C5B50" w:rsidRPr="00E02341" w:rsidRDefault="002C5B50" w:rsidP="00351A42">
            <w:pPr>
              <w:rPr>
                <w:szCs w:val="24"/>
              </w:rPr>
            </w:pPr>
            <w:r w:rsidRPr="00E02341">
              <w:rPr>
                <w:szCs w:val="24"/>
              </w:rPr>
              <w:t>10</w:t>
            </w:r>
          </w:p>
        </w:tc>
        <w:tc>
          <w:tcPr>
            <w:tcW w:w="2146" w:type="dxa"/>
          </w:tcPr>
          <w:p w:rsidR="002C5B50" w:rsidRPr="00E02341" w:rsidRDefault="002C5B50" w:rsidP="00351A42">
            <w:pPr>
              <w:rPr>
                <w:szCs w:val="24"/>
              </w:rPr>
            </w:pPr>
            <w:r w:rsidRPr="00E02341">
              <w:rPr>
                <w:szCs w:val="24"/>
              </w:rPr>
              <w:t xml:space="preserve">Duration Criminal </w:t>
            </w:r>
            <w:proofErr w:type="spellStart"/>
            <w:r w:rsidRPr="00E02341">
              <w:rPr>
                <w:szCs w:val="24"/>
              </w:rPr>
              <w:t>Non auto</w:t>
            </w:r>
            <w:proofErr w:type="spellEnd"/>
          </w:p>
        </w:tc>
        <w:tc>
          <w:tcPr>
            <w:tcW w:w="1472" w:type="dxa"/>
          </w:tcPr>
          <w:p w:rsidR="002C5B50" w:rsidRPr="00E02341" w:rsidRDefault="002C5B50" w:rsidP="00351A42">
            <w:pPr>
              <w:jc w:val="center"/>
              <w:rPr>
                <w:szCs w:val="24"/>
              </w:rPr>
            </w:pPr>
            <w:r w:rsidRPr="00E02341">
              <w:rPr>
                <w:szCs w:val="24"/>
              </w:rPr>
              <w:t>12.7</w:t>
            </w:r>
          </w:p>
        </w:tc>
        <w:tc>
          <w:tcPr>
            <w:tcW w:w="1661" w:type="dxa"/>
          </w:tcPr>
          <w:p w:rsidR="002C5B50" w:rsidRPr="00E02341" w:rsidRDefault="002C5B50" w:rsidP="00351A42">
            <w:pPr>
              <w:jc w:val="center"/>
              <w:rPr>
                <w:szCs w:val="24"/>
              </w:rPr>
            </w:pPr>
            <w:r w:rsidRPr="00E02341">
              <w:rPr>
                <w:szCs w:val="24"/>
              </w:rPr>
              <w:t>11</w:t>
            </w:r>
          </w:p>
        </w:tc>
        <w:tc>
          <w:tcPr>
            <w:tcW w:w="1472" w:type="dxa"/>
          </w:tcPr>
          <w:p w:rsidR="002C5B50" w:rsidRPr="00E02341" w:rsidRDefault="002C5B50" w:rsidP="00351A42">
            <w:pPr>
              <w:jc w:val="center"/>
              <w:rPr>
                <w:szCs w:val="24"/>
              </w:rPr>
            </w:pPr>
            <w:r w:rsidRPr="00E02341">
              <w:rPr>
                <w:szCs w:val="24"/>
              </w:rPr>
              <w:t>Keep same</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307"/>
        </w:trPr>
        <w:tc>
          <w:tcPr>
            <w:tcW w:w="575" w:type="dxa"/>
          </w:tcPr>
          <w:p w:rsidR="002C5B50" w:rsidRPr="00E02341" w:rsidRDefault="002C5B50" w:rsidP="00351A42">
            <w:pPr>
              <w:rPr>
                <w:szCs w:val="24"/>
              </w:rPr>
            </w:pPr>
            <w:r w:rsidRPr="00E02341">
              <w:rPr>
                <w:szCs w:val="24"/>
              </w:rPr>
              <w:t>11</w:t>
            </w:r>
          </w:p>
        </w:tc>
        <w:tc>
          <w:tcPr>
            <w:tcW w:w="2146" w:type="dxa"/>
          </w:tcPr>
          <w:p w:rsidR="002C5B50" w:rsidRPr="00E02341" w:rsidRDefault="002C5B50" w:rsidP="00351A42">
            <w:pPr>
              <w:rPr>
                <w:szCs w:val="24"/>
              </w:rPr>
            </w:pPr>
            <w:r w:rsidRPr="00E02341">
              <w:rPr>
                <w:szCs w:val="24"/>
              </w:rPr>
              <w:t>Duration Solemn</w:t>
            </w:r>
          </w:p>
        </w:tc>
        <w:tc>
          <w:tcPr>
            <w:tcW w:w="1472" w:type="dxa"/>
          </w:tcPr>
          <w:p w:rsidR="002C5B50" w:rsidRPr="00E02341" w:rsidRDefault="002C5B50" w:rsidP="00351A42">
            <w:pPr>
              <w:jc w:val="center"/>
              <w:rPr>
                <w:szCs w:val="24"/>
              </w:rPr>
            </w:pPr>
            <w:r w:rsidRPr="00E02341">
              <w:rPr>
                <w:szCs w:val="24"/>
              </w:rPr>
              <w:t>18.1</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Keep same</w:t>
            </w:r>
          </w:p>
        </w:tc>
        <w:tc>
          <w:tcPr>
            <w:tcW w:w="1661" w:type="dxa"/>
          </w:tcPr>
          <w:p w:rsidR="002C5B50" w:rsidRPr="00E02341" w:rsidRDefault="002C5B50" w:rsidP="00351A42">
            <w:pPr>
              <w:jc w:val="center"/>
              <w:rPr>
                <w:szCs w:val="24"/>
              </w:rPr>
            </w:pPr>
            <w:r w:rsidRPr="00E02341">
              <w:rPr>
                <w:szCs w:val="24"/>
              </w:rPr>
              <w:t>11</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289"/>
        </w:trPr>
        <w:tc>
          <w:tcPr>
            <w:tcW w:w="575" w:type="dxa"/>
          </w:tcPr>
          <w:p w:rsidR="002C5B50" w:rsidRPr="00E02341" w:rsidRDefault="002C5B50" w:rsidP="00351A42">
            <w:pPr>
              <w:rPr>
                <w:szCs w:val="24"/>
              </w:rPr>
            </w:pPr>
            <w:r w:rsidRPr="00E02341">
              <w:rPr>
                <w:szCs w:val="24"/>
              </w:rPr>
              <w:t>12</w:t>
            </w:r>
          </w:p>
        </w:tc>
        <w:tc>
          <w:tcPr>
            <w:tcW w:w="2146" w:type="dxa"/>
          </w:tcPr>
          <w:p w:rsidR="002C5B50" w:rsidRPr="00E02341" w:rsidRDefault="002C5B50" w:rsidP="00351A42">
            <w:pPr>
              <w:rPr>
                <w:szCs w:val="24"/>
              </w:rPr>
            </w:pPr>
            <w:r w:rsidRPr="00E02341">
              <w:rPr>
                <w:szCs w:val="24"/>
              </w:rPr>
              <w:t>Duration Negotiations</w:t>
            </w:r>
          </w:p>
        </w:tc>
        <w:tc>
          <w:tcPr>
            <w:tcW w:w="1472" w:type="dxa"/>
          </w:tcPr>
          <w:p w:rsidR="002C5B50" w:rsidRPr="00E02341" w:rsidRDefault="002C5B50" w:rsidP="00351A42">
            <w:pPr>
              <w:jc w:val="center"/>
              <w:rPr>
                <w:szCs w:val="24"/>
              </w:rPr>
            </w:pPr>
            <w:r w:rsidRPr="00E02341">
              <w:rPr>
                <w:szCs w:val="24"/>
              </w:rPr>
              <w:t>39.9</w:t>
            </w:r>
          </w:p>
        </w:tc>
        <w:tc>
          <w:tcPr>
            <w:tcW w:w="1661" w:type="dxa"/>
          </w:tcPr>
          <w:p w:rsidR="002C5B50" w:rsidRPr="00E02341" w:rsidRDefault="002C5B50" w:rsidP="00351A42">
            <w:pPr>
              <w:jc w:val="center"/>
              <w:rPr>
                <w:szCs w:val="24"/>
              </w:rPr>
            </w:pPr>
            <w:r w:rsidRPr="00E02341">
              <w:rPr>
                <w:szCs w:val="24"/>
              </w:rPr>
              <w:t>10</w:t>
            </w:r>
          </w:p>
        </w:tc>
        <w:tc>
          <w:tcPr>
            <w:tcW w:w="1472" w:type="dxa"/>
          </w:tcPr>
          <w:p w:rsidR="002C5B50" w:rsidRPr="00E02341" w:rsidRDefault="002C5B50" w:rsidP="00351A42">
            <w:pPr>
              <w:jc w:val="center"/>
              <w:rPr>
                <w:szCs w:val="24"/>
              </w:rPr>
            </w:pPr>
            <w:r w:rsidRPr="00E02341">
              <w:rPr>
                <w:szCs w:val="24"/>
              </w:rPr>
              <w:t>32.5</w:t>
            </w:r>
          </w:p>
        </w:tc>
        <w:tc>
          <w:tcPr>
            <w:tcW w:w="1661" w:type="dxa"/>
          </w:tcPr>
          <w:p w:rsidR="002C5B50" w:rsidRPr="00E02341" w:rsidRDefault="002C5B50" w:rsidP="00351A42">
            <w:pPr>
              <w:jc w:val="center"/>
              <w:rPr>
                <w:szCs w:val="24"/>
              </w:rPr>
            </w:pPr>
            <w:r w:rsidRPr="00E02341">
              <w:rPr>
                <w:szCs w:val="24"/>
              </w:rPr>
              <w:t>10</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307"/>
        </w:trPr>
        <w:tc>
          <w:tcPr>
            <w:tcW w:w="575" w:type="dxa"/>
          </w:tcPr>
          <w:p w:rsidR="002C5B50" w:rsidRPr="00E02341" w:rsidRDefault="002C5B50" w:rsidP="00351A42">
            <w:pPr>
              <w:rPr>
                <w:szCs w:val="24"/>
              </w:rPr>
            </w:pPr>
            <w:r w:rsidRPr="00E02341">
              <w:rPr>
                <w:szCs w:val="24"/>
              </w:rPr>
              <w:t>13</w:t>
            </w:r>
          </w:p>
        </w:tc>
        <w:tc>
          <w:tcPr>
            <w:tcW w:w="2146" w:type="dxa"/>
          </w:tcPr>
          <w:p w:rsidR="002C5B50" w:rsidRPr="00E02341" w:rsidRDefault="002C5B50" w:rsidP="00351A42">
            <w:pPr>
              <w:rPr>
                <w:szCs w:val="24"/>
              </w:rPr>
            </w:pPr>
            <w:r w:rsidRPr="00E02341">
              <w:rPr>
                <w:szCs w:val="24"/>
              </w:rPr>
              <w:t>Paid in full</w:t>
            </w:r>
          </w:p>
        </w:tc>
        <w:tc>
          <w:tcPr>
            <w:tcW w:w="1472" w:type="dxa"/>
          </w:tcPr>
          <w:p w:rsidR="002C5B50" w:rsidRPr="00E02341" w:rsidRDefault="002C5B50" w:rsidP="00351A42">
            <w:pPr>
              <w:jc w:val="center"/>
              <w:rPr>
                <w:szCs w:val="24"/>
              </w:rPr>
            </w:pPr>
            <w:r w:rsidRPr="00E02341">
              <w:rPr>
                <w:szCs w:val="24"/>
              </w:rPr>
              <w:t>93.0%</w:t>
            </w:r>
          </w:p>
        </w:tc>
        <w:tc>
          <w:tcPr>
            <w:tcW w:w="1661" w:type="dxa"/>
          </w:tcPr>
          <w:p w:rsidR="002C5B50" w:rsidRPr="00E02341" w:rsidRDefault="002C5B50" w:rsidP="00351A42">
            <w:pPr>
              <w:jc w:val="center"/>
              <w:rPr>
                <w:szCs w:val="24"/>
              </w:rPr>
            </w:pPr>
            <w:r w:rsidRPr="00E02341">
              <w:rPr>
                <w:szCs w:val="24"/>
              </w:rPr>
              <w:t>9</w:t>
            </w:r>
          </w:p>
        </w:tc>
        <w:tc>
          <w:tcPr>
            <w:tcW w:w="1472" w:type="dxa"/>
          </w:tcPr>
          <w:p w:rsidR="002C5B50" w:rsidRPr="00E02341" w:rsidRDefault="002C5B50" w:rsidP="00351A42">
            <w:pPr>
              <w:jc w:val="center"/>
              <w:rPr>
                <w:szCs w:val="24"/>
              </w:rPr>
            </w:pPr>
            <w:r w:rsidRPr="00E02341">
              <w:rPr>
                <w:szCs w:val="24"/>
              </w:rPr>
              <w:t>Keep same</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596"/>
        </w:trPr>
        <w:tc>
          <w:tcPr>
            <w:tcW w:w="575" w:type="dxa"/>
          </w:tcPr>
          <w:p w:rsidR="002C5B50" w:rsidRPr="00E02341" w:rsidRDefault="002C5B50" w:rsidP="00351A42">
            <w:pPr>
              <w:rPr>
                <w:szCs w:val="24"/>
              </w:rPr>
            </w:pPr>
            <w:r w:rsidRPr="00E02341">
              <w:rPr>
                <w:szCs w:val="24"/>
              </w:rPr>
              <w:t>14</w:t>
            </w:r>
          </w:p>
        </w:tc>
        <w:tc>
          <w:tcPr>
            <w:tcW w:w="2146" w:type="dxa"/>
          </w:tcPr>
          <w:p w:rsidR="002C5B50" w:rsidRPr="00E02341" w:rsidRDefault="002C5B50" w:rsidP="00351A42">
            <w:pPr>
              <w:rPr>
                <w:szCs w:val="24"/>
              </w:rPr>
            </w:pPr>
            <w:r w:rsidRPr="00E02341">
              <w:rPr>
                <w:szCs w:val="24"/>
              </w:rPr>
              <w:t>Further work</w:t>
            </w:r>
          </w:p>
        </w:tc>
        <w:tc>
          <w:tcPr>
            <w:tcW w:w="1472" w:type="dxa"/>
          </w:tcPr>
          <w:p w:rsidR="002C5B50" w:rsidRPr="00E02341" w:rsidRDefault="002C5B50" w:rsidP="00351A42">
            <w:pPr>
              <w:jc w:val="center"/>
              <w:rPr>
                <w:szCs w:val="24"/>
              </w:rPr>
            </w:pPr>
            <w:r w:rsidRPr="00E02341">
              <w:rPr>
                <w:szCs w:val="24"/>
              </w:rPr>
              <w:t>4.5%</w:t>
            </w:r>
          </w:p>
        </w:tc>
        <w:tc>
          <w:tcPr>
            <w:tcW w:w="1661" w:type="dxa"/>
          </w:tcPr>
          <w:p w:rsidR="002C5B50" w:rsidRPr="00E02341" w:rsidRDefault="002C5B50" w:rsidP="00351A42">
            <w:pPr>
              <w:jc w:val="center"/>
              <w:rPr>
                <w:szCs w:val="24"/>
              </w:rPr>
            </w:pPr>
            <w:r w:rsidRPr="00E02341">
              <w:rPr>
                <w:szCs w:val="24"/>
              </w:rPr>
              <w:t>10</w:t>
            </w:r>
          </w:p>
        </w:tc>
        <w:tc>
          <w:tcPr>
            <w:tcW w:w="1472" w:type="dxa"/>
          </w:tcPr>
          <w:p w:rsidR="002C5B50" w:rsidRPr="00E02341" w:rsidRDefault="002C5B50" w:rsidP="00351A42">
            <w:pPr>
              <w:jc w:val="center"/>
              <w:rPr>
                <w:szCs w:val="24"/>
              </w:rPr>
            </w:pPr>
            <w:r w:rsidRPr="00E02341">
              <w:rPr>
                <w:szCs w:val="24"/>
              </w:rPr>
              <w:t>Keep same</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bl>
    <w:p w:rsidR="002C5B50" w:rsidRDefault="002C5B50" w:rsidP="002C5B50">
      <w:pPr>
        <w:spacing w:after="200" w:line="276" w:lineRule="auto"/>
        <w:rPr>
          <w:b/>
          <w:szCs w:val="24"/>
        </w:rPr>
      </w:pPr>
    </w:p>
    <w:p w:rsidR="002C5B50" w:rsidRPr="00E02341" w:rsidRDefault="002C5B50" w:rsidP="002C5B50">
      <w:pPr>
        <w:spacing w:after="200" w:line="276" w:lineRule="auto"/>
        <w:rPr>
          <w:b/>
          <w:szCs w:val="24"/>
        </w:rPr>
      </w:pPr>
      <w:r w:rsidRPr="00E02341">
        <w:rPr>
          <w:b/>
          <w:szCs w:val="24"/>
        </w:rPr>
        <w:t>Children’s Accounts</w:t>
      </w:r>
    </w:p>
    <w:p w:rsidR="002C5B50" w:rsidRPr="00E02341" w:rsidRDefault="002C5B50" w:rsidP="002C5B50">
      <w:pPr>
        <w:spacing w:after="200" w:line="276" w:lineRule="auto"/>
        <w:rPr>
          <w:szCs w:val="24"/>
        </w:rPr>
      </w:pPr>
      <w:r w:rsidRPr="00E02341">
        <w:rPr>
          <w:szCs w:val="24"/>
        </w:rPr>
        <w:t>Four out of the five benchmarks were moved for 2021-22.  With KPI 18 - Children’s % Paid in full – issues regarding how the accounts were being sent in and claims made have been addressed due to the assessment team working with firms to make the necessary improvements. It makes  sense to increase this benchmark but again to retain a little slack. Given the position over the last year increasing the benchmark from 41% to 55% should allow for a more realistic benchmark.</w:t>
      </w:r>
    </w:p>
    <w:tbl>
      <w:tblPr>
        <w:tblStyle w:val="TableGrid"/>
        <w:tblW w:w="10439" w:type="dxa"/>
        <w:tblInd w:w="-572" w:type="dxa"/>
        <w:tblLook w:val="04A0" w:firstRow="1" w:lastRow="0" w:firstColumn="1" w:lastColumn="0" w:noHBand="0" w:noVBand="1"/>
      </w:tblPr>
      <w:tblGrid>
        <w:gridCol w:w="1144"/>
        <w:gridCol w:w="1560"/>
        <w:gridCol w:w="1472"/>
        <w:gridCol w:w="1661"/>
        <w:gridCol w:w="1472"/>
        <w:gridCol w:w="1661"/>
        <w:gridCol w:w="1469"/>
      </w:tblGrid>
      <w:tr w:rsidR="002C5B50" w:rsidRPr="00E02341" w:rsidTr="002C5B50">
        <w:trPr>
          <w:trHeight w:val="326"/>
        </w:trPr>
        <w:tc>
          <w:tcPr>
            <w:tcW w:w="1144" w:type="dxa"/>
          </w:tcPr>
          <w:p w:rsidR="002C5B50" w:rsidRPr="00E02341" w:rsidRDefault="002C5B50" w:rsidP="00351A42">
            <w:pPr>
              <w:rPr>
                <w:b/>
                <w:szCs w:val="24"/>
              </w:rPr>
            </w:pPr>
          </w:p>
        </w:tc>
        <w:tc>
          <w:tcPr>
            <w:tcW w:w="1560" w:type="dxa"/>
          </w:tcPr>
          <w:p w:rsidR="002C5B50" w:rsidRPr="00E02341" w:rsidRDefault="002C5B50" w:rsidP="00351A42">
            <w:pPr>
              <w:rPr>
                <w:b/>
                <w:szCs w:val="24"/>
              </w:rPr>
            </w:pPr>
          </w:p>
        </w:tc>
        <w:tc>
          <w:tcPr>
            <w:tcW w:w="1472" w:type="dxa"/>
          </w:tcPr>
          <w:p w:rsidR="002C5B50" w:rsidRPr="00E02341" w:rsidRDefault="002C5B50" w:rsidP="00351A42">
            <w:pPr>
              <w:jc w:val="center"/>
              <w:rPr>
                <w:b/>
                <w:szCs w:val="24"/>
              </w:rPr>
            </w:pPr>
            <w:r w:rsidRPr="00E02341">
              <w:rPr>
                <w:b/>
                <w:szCs w:val="24"/>
              </w:rPr>
              <w:t xml:space="preserve">20/21 </w:t>
            </w:r>
          </w:p>
        </w:tc>
        <w:tc>
          <w:tcPr>
            <w:tcW w:w="1661" w:type="dxa"/>
          </w:tcPr>
          <w:p w:rsidR="002C5B50" w:rsidRPr="00E02341" w:rsidRDefault="002C5B50" w:rsidP="00351A42">
            <w:pPr>
              <w:jc w:val="center"/>
              <w:rPr>
                <w:b/>
                <w:szCs w:val="24"/>
              </w:rPr>
            </w:pPr>
          </w:p>
        </w:tc>
        <w:tc>
          <w:tcPr>
            <w:tcW w:w="1472" w:type="dxa"/>
          </w:tcPr>
          <w:p w:rsidR="002C5B50" w:rsidRPr="00E02341" w:rsidRDefault="002C5B50" w:rsidP="00351A42">
            <w:pPr>
              <w:jc w:val="center"/>
              <w:rPr>
                <w:b/>
                <w:szCs w:val="24"/>
              </w:rPr>
            </w:pPr>
            <w:r w:rsidRPr="00E02341">
              <w:rPr>
                <w:b/>
                <w:szCs w:val="24"/>
              </w:rPr>
              <w:t>21-22</w:t>
            </w:r>
          </w:p>
        </w:tc>
        <w:tc>
          <w:tcPr>
            <w:tcW w:w="1661" w:type="dxa"/>
          </w:tcPr>
          <w:p w:rsidR="002C5B50" w:rsidRPr="00E02341" w:rsidRDefault="002C5B50" w:rsidP="00351A42">
            <w:pPr>
              <w:jc w:val="center"/>
              <w:rPr>
                <w:b/>
                <w:szCs w:val="24"/>
              </w:rPr>
            </w:pPr>
          </w:p>
        </w:tc>
        <w:tc>
          <w:tcPr>
            <w:tcW w:w="1469" w:type="dxa"/>
          </w:tcPr>
          <w:p w:rsidR="002C5B50" w:rsidRPr="00E02341" w:rsidRDefault="002C5B50" w:rsidP="00351A42">
            <w:pPr>
              <w:jc w:val="center"/>
              <w:rPr>
                <w:b/>
                <w:szCs w:val="24"/>
              </w:rPr>
            </w:pPr>
            <w:r w:rsidRPr="00E02341">
              <w:rPr>
                <w:b/>
                <w:szCs w:val="24"/>
              </w:rPr>
              <w:t>22-23</w:t>
            </w:r>
          </w:p>
        </w:tc>
      </w:tr>
      <w:tr w:rsidR="002C5B50" w:rsidRPr="00E02341" w:rsidTr="002C5B50">
        <w:trPr>
          <w:trHeight w:val="326"/>
        </w:trPr>
        <w:tc>
          <w:tcPr>
            <w:tcW w:w="1144" w:type="dxa"/>
          </w:tcPr>
          <w:p w:rsidR="002C5B50" w:rsidRPr="00E02341" w:rsidRDefault="002C5B50" w:rsidP="00351A42">
            <w:pPr>
              <w:rPr>
                <w:b/>
                <w:szCs w:val="24"/>
              </w:rPr>
            </w:pPr>
            <w:r w:rsidRPr="00E02341">
              <w:rPr>
                <w:b/>
                <w:szCs w:val="24"/>
              </w:rPr>
              <w:t>KPI</w:t>
            </w:r>
          </w:p>
        </w:tc>
        <w:tc>
          <w:tcPr>
            <w:tcW w:w="1560" w:type="dxa"/>
          </w:tcPr>
          <w:p w:rsidR="002C5B50" w:rsidRPr="00E02341" w:rsidRDefault="002C5B50" w:rsidP="00351A42">
            <w:pPr>
              <w:rPr>
                <w:b/>
                <w:szCs w:val="24"/>
              </w:rPr>
            </w:pPr>
            <w:r w:rsidRPr="00E02341">
              <w:rPr>
                <w:b/>
                <w:szCs w:val="24"/>
              </w:rPr>
              <w:t>Measure</w:t>
            </w:r>
          </w:p>
        </w:tc>
        <w:tc>
          <w:tcPr>
            <w:tcW w:w="1472" w:type="dxa"/>
          </w:tcPr>
          <w:p w:rsidR="002C5B50" w:rsidRPr="00E02341" w:rsidRDefault="002C5B50" w:rsidP="00351A42">
            <w:pPr>
              <w:jc w:val="center"/>
              <w:rPr>
                <w:b/>
                <w:szCs w:val="24"/>
              </w:rPr>
            </w:pPr>
            <w:r w:rsidRPr="00E02341">
              <w:rPr>
                <w:b/>
                <w:szCs w:val="24"/>
              </w:rPr>
              <w:t>Benchmark</w:t>
            </w:r>
          </w:p>
        </w:tc>
        <w:tc>
          <w:tcPr>
            <w:tcW w:w="1661" w:type="dxa"/>
          </w:tcPr>
          <w:p w:rsidR="002C5B50" w:rsidRPr="00E02341" w:rsidRDefault="002C5B50" w:rsidP="00351A42">
            <w:pPr>
              <w:jc w:val="center"/>
              <w:rPr>
                <w:b/>
                <w:szCs w:val="24"/>
              </w:rPr>
            </w:pPr>
            <w:r w:rsidRPr="00E02341">
              <w:rPr>
                <w:b/>
                <w:szCs w:val="24"/>
              </w:rPr>
              <w:t>Performance</w:t>
            </w:r>
          </w:p>
        </w:tc>
        <w:tc>
          <w:tcPr>
            <w:tcW w:w="1472" w:type="dxa"/>
          </w:tcPr>
          <w:p w:rsidR="002C5B50" w:rsidRPr="00E02341" w:rsidRDefault="002C5B50" w:rsidP="00351A42">
            <w:pPr>
              <w:jc w:val="center"/>
              <w:rPr>
                <w:b/>
                <w:szCs w:val="24"/>
              </w:rPr>
            </w:pPr>
            <w:r w:rsidRPr="00E02341">
              <w:rPr>
                <w:b/>
                <w:szCs w:val="24"/>
              </w:rPr>
              <w:t>Benchmark</w:t>
            </w:r>
          </w:p>
        </w:tc>
        <w:tc>
          <w:tcPr>
            <w:tcW w:w="1661" w:type="dxa"/>
          </w:tcPr>
          <w:p w:rsidR="002C5B50" w:rsidRPr="00E02341" w:rsidRDefault="002C5B50" w:rsidP="00351A42">
            <w:pPr>
              <w:jc w:val="center"/>
              <w:rPr>
                <w:b/>
                <w:szCs w:val="24"/>
              </w:rPr>
            </w:pPr>
            <w:r w:rsidRPr="00E02341">
              <w:rPr>
                <w:b/>
                <w:szCs w:val="24"/>
              </w:rPr>
              <w:t>Performance</w:t>
            </w:r>
          </w:p>
        </w:tc>
        <w:tc>
          <w:tcPr>
            <w:tcW w:w="1469" w:type="dxa"/>
          </w:tcPr>
          <w:p w:rsidR="002C5B50" w:rsidRPr="00E02341" w:rsidRDefault="002C5B50" w:rsidP="00351A42">
            <w:pPr>
              <w:jc w:val="center"/>
              <w:rPr>
                <w:b/>
                <w:szCs w:val="24"/>
              </w:rPr>
            </w:pPr>
            <w:r w:rsidRPr="00E02341">
              <w:rPr>
                <w:b/>
                <w:szCs w:val="24"/>
              </w:rPr>
              <w:t>Suggested benchmark</w:t>
            </w:r>
          </w:p>
        </w:tc>
      </w:tr>
      <w:tr w:rsidR="002C5B50" w:rsidRPr="00E02341" w:rsidTr="002C5B50">
        <w:trPr>
          <w:trHeight w:val="326"/>
        </w:trPr>
        <w:tc>
          <w:tcPr>
            <w:tcW w:w="1144" w:type="dxa"/>
          </w:tcPr>
          <w:p w:rsidR="002C5B50" w:rsidRPr="00E02341" w:rsidRDefault="002C5B50" w:rsidP="00351A42">
            <w:pPr>
              <w:rPr>
                <w:szCs w:val="24"/>
              </w:rPr>
            </w:pPr>
            <w:r w:rsidRPr="00E02341">
              <w:rPr>
                <w:szCs w:val="24"/>
              </w:rPr>
              <w:t>15</w:t>
            </w:r>
          </w:p>
        </w:tc>
        <w:tc>
          <w:tcPr>
            <w:tcW w:w="1560" w:type="dxa"/>
          </w:tcPr>
          <w:p w:rsidR="002C5B50" w:rsidRPr="00E02341" w:rsidRDefault="002C5B50" w:rsidP="00351A42">
            <w:pPr>
              <w:rPr>
                <w:szCs w:val="24"/>
              </w:rPr>
            </w:pPr>
            <w:r w:rsidRPr="00E02341">
              <w:rPr>
                <w:szCs w:val="24"/>
              </w:rPr>
              <w:t>Duration Children’s A&amp;A  &amp; ABWOR</w:t>
            </w:r>
          </w:p>
        </w:tc>
        <w:tc>
          <w:tcPr>
            <w:tcW w:w="1472" w:type="dxa"/>
          </w:tcPr>
          <w:p w:rsidR="002C5B50" w:rsidRPr="00E02341" w:rsidRDefault="002C5B50" w:rsidP="00351A42">
            <w:pPr>
              <w:jc w:val="center"/>
              <w:rPr>
                <w:szCs w:val="24"/>
              </w:rPr>
            </w:pPr>
            <w:r w:rsidRPr="00E02341">
              <w:rPr>
                <w:szCs w:val="24"/>
              </w:rPr>
              <w:t>23.0</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17.0</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307"/>
        </w:trPr>
        <w:tc>
          <w:tcPr>
            <w:tcW w:w="1144" w:type="dxa"/>
          </w:tcPr>
          <w:p w:rsidR="002C5B50" w:rsidRPr="00E02341" w:rsidRDefault="002C5B50" w:rsidP="00351A42">
            <w:pPr>
              <w:rPr>
                <w:szCs w:val="24"/>
              </w:rPr>
            </w:pPr>
            <w:r w:rsidRPr="00E02341">
              <w:rPr>
                <w:szCs w:val="24"/>
              </w:rPr>
              <w:t>16</w:t>
            </w:r>
          </w:p>
        </w:tc>
        <w:tc>
          <w:tcPr>
            <w:tcW w:w="1560" w:type="dxa"/>
          </w:tcPr>
          <w:p w:rsidR="002C5B50" w:rsidRPr="00E02341" w:rsidRDefault="002C5B50" w:rsidP="00351A42">
            <w:pPr>
              <w:rPr>
                <w:szCs w:val="24"/>
              </w:rPr>
            </w:pPr>
            <w:r w:rsidRPr="00E02341">
              <w:rPr>
                <w:szCs w:val="24"/>
              </w:rPr>
              <w:t>Duration Children’s legal aid</w:t>
            </w:r>
          </w:p>
        </w:tc>
        <w:tc>
          <w:tcPr>
            <w:tcW w:w="1472" w:type="dxa"/>
          </w:tcPr>
          <w:p w:rsidR="002C5B50" w:rsidRPr="00E02341" w:rsidRDefault="002C5B50" w:rsidP="00351A42">
            <w:pPr>
              <w:jc w:val="center"/>
              <w:rPr>
                <w:szCs w:val="24"/>
              </w:rPr>
            </w:pPr>
            <w:r w:rsidRPr="00E02341">
              <w:rPr>
                <w:szCs w:val="24"/>
              </w:rPr>
              <w:t>23.0</w:t>
            </w:r>
          </w:p>
        </w:tc>
        <w:tc>
          <w:tcPr>
            <w:tcW w:w="1661" w:type="dxa"/>
          </w:tcPr>
          <w:p w:rsidR="002C5B50" w:rsidRPr="00E02341" w:rsidRDefault="002C5B50" w:rsidP="00351A42">
            <w:pPr>
              <w:jc w:val="center"/>
              <w:rPr>
                <w:szCs w:val="24"/>
              </w:rPr>
            </w:pPr>
            <w:r w:rsidRPr="00E02341">
              <w:rPr>
                <w:szCs w:val="24"/>
              </w:rPr>
              <w:t>10</w:t>
            </w:r>
          </w:p>
        </w:tc>
        <w:tc>
          <w:tcPr>
            <w:tcW w:w="1472" w:type="dxa"/>
          </w:tcPr>
          <w:p w:rsidR="002C5B50" w:rsidRPr="00E02341" w:rsidRDefault="002C5B50" w:rsidP="00351A42">
            <w:pPr>
              <w:jc w:val="center"/>
              <w:rPr>
                <w:szCs w:val="24"/>
              </w:rPr>
            </w:pPr>
            <w:r w:rsidRPr="00E02341">
              <w:rPr>
                <w:szCs w:val="24"/>
              </w:rPr>
              <w:t>20.0</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326"/>
        </w:trPr>
        <w:tc>
          <w:tcPr>
            <w:tcW w:w="1144" w:type="dxa"/>
          </w:tcPr>
          <w:p w:rsidR="002C5B50" w:rsidRPr="00E02341" w:rsidRDefault="002C5B50" w:rsidP="00351A42">
            <w:pPr>
              <w:rPr>
                <w:szCs w:val="24"/>
              </w:rPr>
            </w:pPr>
            <w:r w:rsidRPr="00E02341">
              <w:rPr>
                <w:szCs w:val="24"/>
              </w:rPr>
              <w:t>17</w:t>
            </w:r>
          </w:p>
        </w:tc>
        <w:tc>
          <w:tcPr>
            <w:tcW w:w="1560" w:type="dxa"/>
          </w:tcPr>
          <w:p w:rsidR="002C5B50" w:rsidRPr="00E02341" w:rsidRDefault="002C5B50" w:rsidP="00351A42">
            <w:pPr>
              <w:rPr>
                <w:szCs w:val="24"/>
              </w:rPr>
            </w:pPr>
            <w:r w:rsidRPr="00E02341">
              <w:rPr>
                <w:szCs w:val="24"/>
              </w:rPr>
              <w:t>Duration Negotiations</w:t>
            </w:r>
          </w:p>
        </w:tc>
        <w:tc>
          <w:tcPr>
            <w:tcW w:w="1472" w:type="dxa"/>
          </w:tcPr>
          <w:p w:rsidR="002C5B50" w:rsidRPr="00E02341" w:rsidRDefault="002C5B50" w:rsidP="00351A42">
            <w:pPr>
              <w:jc w:val="center"/>
              <w:rPr>
                <w:szCs w:val="24"/>
              </w:rPr>
            </w:pPr>
            <w:r w:rsidRPr="00E02341">
              <w:rPr>
                <w:szCs w:val="24"/>
              </w:rPr>
              <w:t>31.4</w:t>
            </w:r>
          </w:p>
        </w:tc>
        <w:tc>
          <w:tcPr>
            <w:tcW w:w="1661" w:type="dxa"/>
          </w:tcPr>
          <w:p w:rsidR="002C5B50" w:rsidRPr="00E02341" w:rsidRDefault="002C5B50" w:rsidP="00351A42">
            <w:pPr>
              <w:jc w:val="center"/>
              <w:rPr>
                <w:szCs w:val="24"/>
              </w:rPr>
            </w:pPr>
            <w:r w:rsidRPr="00E02341">
              <w:rPr>
                <w:szCs w:val="24"/>
              </w:rPr>
              <w:t>8</w:t>
            </w:r>
          </w:p>
        </w:tc>
        <w:tc>
          <w:tcPr>
            <w:tcW w:w="1472" w:type="dxa"/>
          </w:tcPr>
          <w:p w:rsidR="002C5B50" w:rsidRPr="00E02341" w:rsidRDefault="002C5B50" w:rsidP="00351A42">
            <w:pPr>
              <w:jc w:val="center"/>
              <w:rPr>
                <w:szCs w:val="24"/>
              </w:rPr>
            </w:pPr>
            <w:r w:rsidRPr="00E02341">
              <w:rPr>
                <w:szCs w:val="24"/>
              </w:rPr>
              <w:t>29.0</w:t>
            </w:r>
          </w:p>
        </w:tc>
        <w:tc>
          <w:tcPr>
            <w:tcW w:w="1661" w:type="dxa"/>
          </w:tcPr>
          <w:p w:rsidR="002C5B50" w:rsidRPr="00E02341" w:rsidRDefault="002C5B50" w:rsidP="00351A42">
            <w:pPr>
              <w:jc w:val="center"/>
              <w:rPr>
                <w:szCs w:val="24"/>
              </w:rPr>
            </w:pPr>
            <w:r w:rsidRPr="00E02341">
              <w:rPr>
                <w:szCs w:val="24"/>
              </w:rPr>
              <w:t>8</w:t>
            </w:r>
          </w:p>
        </w:tc>
        <w:tc>
          <w:tcPr>
            <w:tcW w:w="1469" w:type="dxa"/>
          </w:tcPr>
          <w:p w:rsidR="002C5B50" w:rsidRPr="00E02341" w:rsidRDefault="002C5B50" w:rsidP="00351A42">
            <w:pPr>
              <w:jc w:val="center"/>
              <w:rPr>
                <w:szCs w:val="24"/>
              </w:rPr>
            </w:pPr>
            <w:r w:rsidRPr="00E02341">
              <w:rPr>
                <w:szCs w:val="24"/>
              </w:rPr>
              <w:t>Keep same</w:t>
            </w:r>
          </w:p>
        </w:tc>
      </w:tr>
      <w:tr w:rsidR="002C5B50" w:rsidRPr="00E02341" w:rsidTr="002C5B50">
        <w:trPr>
          <w:trHeight w:val="307"/>
        </w:trPr>
        <w:tc>
          <w:tcPr>
            <w:tcW w:w="1144" w:type="dxa"/>
          </w:tcPr>
          <w:p w:rsidR="002C5B50" w:rsidRPr="00E02341" w:rsidRDefault="002C5B50" w:rsidP="00351A42">
            <w:pPr>
              <w:rPr>
                <w:szCs w:val="24"/>
                <w:highlight w:val="yellow"/>
              </w:rPr>
            </w:pPr>
            <w:r w:rsidRPr="00E02341">
              <w:rPr>
                <w:szCs w:val="24"/>
                <w:highlight w:val="yellow"/>
              </w:rPr>
              <w:t>18</w:t>
            </w:r>
          </w:p>
        </w:tc>
        <w:tc>
          <w:tcPr>
            <w:tcW w:w="1560" w:type="dxa"/>
          </w:tcPr>
          <w:p w:rsidR="002C5B50" w:rsidRPr="00E02341" w:rsidRDefault="002C5B50" w:rsidP="00351A42">
            <w:pPr>
              <w:rPr>
                <w:szCs w:val="24"/>
                <w:highlight w:val="yellow"/>
              </w:rPr>
            </w:pPr>
            <w:r w:rsidRPr="00E02341">
              <w:rPr>
                <w:szCs w:val="24"/>
                <w:highlight w:val="yellow"/>
              </w:rPr>
              <w:t>Paid in full</w:t>
            </w:r>
          </w:p>
        </w:tc>
        <w:tc>
          <w:tcPr>
            <w:tcW w:w="1472" w:type="dxa"/>
          </w:tcPr>
          <w:p w:rsidR="002C5B50" w:rsidRPr="00E02341" w:rsidRDefault="002C5B50" w:rsidP="00351A42">
            <w:pPr>
              <w:jc w:val="center"/>
              <w:rPr>
                <w:szCs w:val="24"/>
              </w:rPr>
            </w:pPr>
            <w:r w:rsidRPr="00E02341">
              <w:rPr>
                <w:szCs w:val="24"/>
              </w:rPr>
              <w:t>35.3%</w:t>
            </w:r>
          </w:p>
        </w:tc>
        <w:tc>
          <w:tcPr>
            <w:tcW w:w="1661" w:type="dxa"/>
          </w:tcPr>
          <w:p w:rsidR="002C5B50" w:rsidRPr="00E02341" w:rsidRDefault="002C5B50" w:rsidP="00351A42">
            <w:pPr>
              <w:jc w:val="center"/>
              <w:rPr>
                <w:szCs w:val="24"/>
              </w:rPr>
            </w:pPr>
            <w:r w:rsidRPr="00E02341">
              <w:rPr>
                <w:szCs w:val="24"/>
              </w:rPr>
              <w:t>12</w:t>
            </w:r>
          </w:p>
        </w:tc>
        <w:tc>
          <w:tcPr>
            <w:tcW w:w="1472" w:type="dxa"/>
          </w:tcPr>
          <w:p w:rsidR="002C5B50" w:rsidRPr="00E02341" w:rsidRDefault="002C5B50" w:rsidP="00351A42">
            <w:pPr>
              <w:jc w:val="center"/>
              <w:rPr>
                <w:szCs w:val="24"/>
              </w:rPr>
            </w:pPr>
            <w:r w:rsidRPr="00E02341">
              <w:rPr>
                <w:szCs w:val="24"/>
              </w:rPr>
              <w:t>41%</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highlight w:val="yellow"/>
              </w:rPr>
              <w:t>55%</w:t>
            </w:r>
          </w:p>
        </w:tc>
      </w:tr>
      <w:tr w:rsidR="002C5B50" w:rsidRPr="00E02341" w:rsidTr="002C5B50">
        <w:trPr>
          <w:trHeight w:val="653"/>
        </w:trPr>
        <w:tc>
          <w:tcPr>
            <w:tcW w:w="1144" w:type="dxa"/>
          </w:tcPr>
          <w:p w:rsidR="002C5B50" w:rsidRPr="00E02341" w:rsidRDefault="002C5B50" w:rsidP="00351A42">
            <w:pPr>
              <w:rPr>
                <w:szCs w:val="24"/>
              </w:rPr>
            </w:pPr>
            <w:r w:rsidRPr="00E02341">
              <w:rPr>
                <w:szCs w:val="24"/>
              </w:rPr>
              <w:t>19</w:t>
            </w:r>
          </w:p>
        </w:tc>
        <w:tc>
          <w:tcPr>
            <w:tcW w:w="1560" w:type="dxa"/>
          </w:tcPr>
          <w:p w:rsidR="002C5B50" w:rsidRPr="00E02341" w:rsidRDefault="002C5B50" w:rsidP="00351A42">
            <w:pPr>
              <w:rPr>
                <w:szCs w:val="24"/>
              </w:rPr>
            </w:pPr>
            <w:r w:rsidRPr="00E02341">
              <w:rPr>
                <w:szCs w:val="24"/>
              </w:rPr>
              <w:t>Ratio of Negotiations to Initial Assessments</w:t>
            </w:r>
          </w:p>
        </w:tc>
        <w:tc>
          <w:tcPr>
            <w:tcW w:w="1472" w:type="dxa"/>
          </w:tcPr>
          <w:p w:rsidR="002C5B50" w:rsidRPr="00E02341" w:rsidRDefault="002C5B50" w:rsidP="00351A42">
            <w:pPr>
              <w:jc w:val="center"/>
              <w:rPr>
                <w:szCs w:val="24"/>
              </w:rPr>
            </w:pPr>
            <w:r w:rsidRPr="00E02341">
              <w:rPr>
                <w:szCs w:val="24"/>
              </w:rPr>
              <w:t>35%</w:t>
            </w:r>
          </w:p>
        </w:tc>
        <w:tc>
          <w:tcPr>
            <w:tcW w:w="1661" w:type="dxa"/>
          </w:tcPr>
          <w:p w:rsidR="002C5B50" w:rsidRPr="00E02341" w:rsidRDefault="002C5B50" w:rsidP="00351A42">
            <w:pPr>
              <w:jc w:val="center"/>
              <w:rPr>
                <w:szCs w:val="24"/>
              </w:rPr>
            </w:pPr>
            <w:r w:rsidRPr="00E02341">
              <w:rPr>
                <w:szCs w:val="24"/>
              </w:rPr>
              <w:t>11</w:t>
            </w:r>
          </w:p>
        </w:tc>
        <w:tc>
          <w:tcPr>
            <w:tcW w:w="1472" w:type="dxa"/>
          </w:tcPr>
          <w:p w:rsidR="002C5B50" w:rsidRPr="00E02341" w:rsidRDefault="002C5B50" w:rsidP="00351A42">
            <w:pPr>
              <w:jc w:val="center"/>
              <w:rPr>
                <w:szCs w:val="24"/>
              </w:rPr>
            </w:pPr>
            <w:r w:rsidRPr="00E02341">
              <w:rPr>
                <w:szCs w:val="24"/>
              </w:rPr>
              <w:t>Keep same at 35%</w:t>
            </w:r>
          </w:p>
        </w:tc>
        <w:tc>
          <w:tcPr>
            <w:tcW w:w="1661" w:type="dxa"/>
          </w:tcPr>
          <w:p w:rsidR="002C5B50" w:rsidRPr="00E02341" w:rsidRDefault="002C5B50" w:rsidP="00351A42">
            <w:pPr>
              <w:jc w:val="center"/>
              <w:rPr>
                <w:szCs w:val="24"/>
              </w:rPr>
            </w:pPr>
            <w:r w:rsidRPr="00E02341">
              <w:rPr>
                <w:szCs w:val="24"/>
              </w:rPr>
              <w:t>12</w:t>
            </w:r>
          </w:p>
        </w:tc>
        <w:tc>
          <w:tcPr>
            <w:tcW w:w="1469" w:type="dxa"/>
          </w:tcPr>
          <w:p w:rsidR="002C5B50" w:rsidRPr="00E02341" w:rsidRDefault="002C5B50" w:rsidP="00351A42">
            <w:pPr>
              <w:jc w:val="center"/>
              <w:rPr>
                <w:szCs w:val="24"/>
              </w:rPr>
            </w:pPr>
            <w:r w:rsidRPr="00E02341">
              <w:rPr>
                <w:szCs w:val="24"/>
              </w:rPr>
              <w:t>Keep same</w:t>
            </w:r>
          </w:p>
        </w:tc>
      </w:tr>
    </w:tbl>
    <w:p w:rsidR="002C5B50" w:rsidRPr="00E02341" w:rsidRDefault="002C5B50" w:rsidP="002C5B50">
      <w:pPr>
        <w:rPr>
          <w:b/>
          <w:szCs w:val="24"/>
        </w:rPr>
      </w:pPr>
    </w:p>
    <w:p w:rsidR="002C5B50" w:rsidRPr="00E02341" w:rsidRDefault="002C5B50" w:rsidP="002C5B50">
      <w:pPr>
        <w:rPr>
          <w:szCs w:val="24"/>
          <w:u w:val="single"/>
        </w:rPr>
      </w:pPr>
    </w:p>
    <w:p w:rsidR="002C5B50" w:rsidRPr="00E02341" w:rsidRDefault="002C5B50" w:rsidP="002C5B50">
      <w:pPr>
        <w:rPr>
          <w:szCs w:val="24"/>
        </w:rPr>
      </w:pPr>
    </w:p>
    <w:p w:rsidR="002C5B50" w:rsidRDefault="002C5B50" w:rsidP="00F77A60"/>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BB" w:rsidRDefault="000441BB" w:rsidP="00F77A60">
      <w:r>
        <w:separator/>
      </w:r>
    </w:p>
  </w:endnote>
  <w:endnote w:type="continuationSeparator" w:id="0">
    <w:p w:rsidR="000441BB" w:rsidRDefault="000441BB"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CA1A5C">
      <w:rPr>
        <w:b/>
        <w:noProof/>
      </w:rPr>
      <w:t>2</w:t>
    </w:r>
    <w:r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Pr="00101A53"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CA1A5C">
      <w:rPr>
        <w:b/>
        <w:noProof/>
      </w:rPr>
      <w:t>1</w:t>
    </w:r>
    <w:r w:rsidRPr="00101A53">
      <w:rPr>
        <w:b/>
        <w:noProof/>
      </w:rPr>
      <w:fldChar w:fldCharType="end"/>
    </w:r>
  </w:p>
  <w:p w:rsidR="00CC5CAD" w:rsidRDefault="00CC5CAD"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CA1A5C">
      <w:rPr>
        <w:b/>
        <w:noProof/>
      </w:rPr>
      <w:t>10</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BB" w:rsidRDefault="000441BB" w:rsidP="00F77A60">
      <w:r>
        <w:separator/>
      </w:r>
    </w:p>
  </w:footnote>
  <w:footnote w:type="continuationSeparator" w:id="0">
    <w:p w:rsidR="000441BB" w:rsidRDefault="000441BB"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 w:id="2">
    <w:p w:rsidR="002C5B50" w:rsidRPr="006A0FB0" w:rsidRDefault="002C5B50" w:rsidP="002C5B50">
      <w:pPr>
        <w:pStyle w:val="FootnoteText"/>
        <w:rPr>
          <w:lang w:val="en-US"/>
        </w:rPr>
      </w:pPr>
      <w:r>
        <w:rPr>
          <w:rStyle w:val="FootnoteReference"/>
        </w:rPr>
        <w:footnoteRef/>
      </w:r>
      <w:r>
        <w:t xml:space="preserve"> Both of initial 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pPr>
    <w:r>
      <w:rPr>
        <w:noProof/>
        <w:lang w:eastAsia="en-GB"/>
      </w:rPr>
      <w:drawing>
        <wp:anchor distT="0" distB="0" distL="114300" distR="114300" simplePos="0" relativeHeight="251658752" behindDoc="1" locked="0" layoutInCell="1" allowOverlap="1" wp14:anchorId="237404CD" wp14:editId="34E8FF92">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69A1485F" wp14:editId="6B62578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tabs>
        <w:tab w:val="clear" w:pos="4513"/>
        <w:tab w:val="clear" w:pos="9026"/>
        <w:tab w:val="right" w:pos="9356"/>
      </w:tabs>
    </w:pPr>
    <w:r>
      <w:rPr>
        <w:noProof/>
        <w:lang w:eastAsia="en-GB"/>
      </w:rPr>
      <w:drawing>
        <wp:anchor distT="0" distB="0" distL="114300" distR="114300" simplePos="0" relativeHeight="251659776" behindDoc="0" locked="0" layoutInCell="1" allowOverlap="1" wp14:anchorId="36C4A8EA" wp14:editId="3190EEF4">
          <wp:simplePos x="0" y="0"/>
          <wp:positionH relativeFrom="margin">
            <wp:align>left</wp:align>
          </wp:positionH>
          <wp:positionV relativeFrom="paragraph">
            <wp:posOffset>-36830</wp:posOffset>
          </wp:positionV>
          <wp:extent cx="687070" cy="855345"/>
          <wp:effectExtent l="0" t="0" r="0" b="190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C5CAD" w:rsidRDefault="00CC5CAD" w:rsidP="00C6614E">
    <w:pPr>
      <w:pStyle w:val="Header"/>
      <w:tabs>
        <w:tab w:val="clear" w:pos="4513"/>
        <w:tab w:val="clear" w:pos="9026"/>
        <w:tab w:val="right" w:pos="9356"/>
      </w:tabs>
      <w:jc w:val="right"/>
    </w:pPr>
  </w:p>
  <w:p w:rsidR="00CC5CAD" w:rsidRPr="004937CF" w:rsidRDefault="00CC5CAD" w:rsidP="00461223">
    <w:pPr>
      <w:pStyle w:val="Header"/>
      <w:tabs>
        <w:tab w:val="clear" w:pos="4513"/>
        <w:tab w:val="clear" w:pos="9026"/>
        <w:tab w:val="right" w:pos="9356"/>
      </w:tabs>
    </w:pPr>
    <w:r>
      <w:t xml:space="preserve">                                                          </w:t>
    </w:r>
    <w:r w:rsidRPr="004937CF">
      <w:t xml:space="preserve">Report No: </w:t>
    </w:r>
    <w:r w:rsidR="00F01B8A" w:rsidRPr="00F01B8A">
      <w:rPr>
        <w:b/>
      </w:rPr>
      <w:t>SLAB/2022/08</w:t>
    </w:r>
  </w:p>
  <w:p w:rsidR="00CC5CAD" w:rsidRPr="00C6614E" w:rsidRDefault="00CC5CAD" w:rsidP="00461223">
    <w:pPr>
      <w:pStyle w:val="Header"/>
      <w:tabs>
        <w:tab w:val="clear" w:pos="4513"/>
        <w:tab w:val="clear" w:pos="9026"/>
        <w:tab w:val="right" w:pos="9356"/>
      </w:tabs>
      <w:rPr>
        <w:color w:val="FF0000"/>
      </w:rPr>
    </w:pPr>
    <w:r w:rsidRPr="004937CF">
      <w:t xml:space="preserve">                                                                        </w:t>
    </w:r>
    <w:r>
      <w:t>Agenda Item:</w:t>
    </w:r>
    <w:r w:rsidR="00C04AEE" w:rsidRPr="00691EEF">
      <w:rPr>
        <w:b/>
      </w:rPr>
      <w:t>1</w:t>
    </w:r>
    <w:r w:rsidR="00F01B8A" w:rsidRPr="00691EEF">
      <w:rPr>
        <w:b/>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3003F46C" wp14:editId="22C49CBE">
          <wp:simplePos x="0" y="0"/>
          <wp:positionH relativeFrom="page">
            <wp:align>right</wp:align>
          </wp:positionH>
          <wp:positionV relativeFrom="page">
            <wp:align>top</wp:align>
          </wp:positionV>
          <wp:extent cx="1466850" cy="1551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BDDFC4" wp14:editId="6E3E4BA0">
          <wp:simplePos x="0" y="0"/>
          <wp:positionH relativeFrom="page">
            <wp:posOffset>9229725</wp:posOffset>
          </wp:positionH>
          <wp:positionV relativeFrom="page">
            <wp:posOffset>0</wp:posOffset>
          </wp:positionV>
          <wp:extent cx="1466850" cy="15512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66E828D7" wp14:editId="7373B9B6">
          <wp:simplePos x="0" y="0"/>
          <wp:positionH relativeFrom="margin">
            <wp:align>left</wp:align>
          </wp:positionH>
          <wp:positionV relativeFrom="paragraph">
            <wp:posOffset>-36830</wp:posOffset>
          </wp:positionV>
          <wp:extent cx="687070" cy="855345"/>
          <wp:effectExtent l="0" t="0" r="0" b="1905"/>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4D5"/>
    <w:multiLevelType w:val="hybridMultilevel"/>
    <w:tmpl w:val="47D62B8A"/>
    <w:lvl w:ilvl="0" w:tplc="B3C8A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E06"/>
    <w:rsid w:val="000441BB"/>
    <w:rsid w:val="00044538"/>
    <w:rsid w:val="00051AC2"/>
    <w:rsid w:val="000560AD"/>
    <w:rsid w:val="00063598"/>
    <w:rsid w:val="00080DE8"/>
    <w:rsid w:val="00086616"/>
    <w:rsid w:val="000A2B0E"/>
    <w:rsid w:val="000B0640"/>
    <w:rsid w:val="000C516C"/>
    <w:rsid w:val="000C57D2"/>
    <w:rsid w:val="000C5A49"/>
    <w:rsid w:val="000D0B6B"/>
    <w:rsid w:val="000D73B0"/>
    <w:rsid w:val="000E3FE4"/>
    <w:rsid w:val="00105CA2"/>
    <w:rsid w:val="0010770C"/>
    <w:rsid w:val="00120C47"/>
    <w:rsid w:val="00137436"/>
    <w:rsid w:val="00145918"/>
    <w:rsid w:val="0015504B"/>
    <w:rsid w:val="00170322"/>
    <w:rsid w:val="0018144C"/>
    <w:rsid w:val="00187439"/>
    <w:rsid w:val="00187849"/>
    <w:rsid w:val="001919A6"/>
    <w:rsid w:val="0019555F"/>
    <w:rsid w:val="001A7BD4"/>
    <w:rsid w:val="001D4098"/>
    <w:rsid w:val="001D5482"/>
    <w:rsid w:val="001E33DE"/>
    <w:rsid w:val="001E3A28"/>
    <w:rsid w:val="001E7685"/>
    <w:rsid w:val="00202FE4"/>
    <w:rsid w:val="002123E8"/>
    <w:rsid w:val="0021682A"/>
    <w:rsid w:val="00223EA9"/>
    <w:rsid w:val="00252145"/>
    <w:rsid w:val="0025567A"/>
    <w:rsid w:val="0026583B"/>
    <w:rsid w:val="00283516"/>
    <w:rsid w:val="002914E8"/>
    <w:rsid w:val="002A3EFE"/>
    <w:rsid w:val="002A64B7"/>
    <w:rsid w:val="002C2E9B"/>
    <w:rsid w:val="002C4DBD"/>
    <w:rsid w:val="002C5B50"/>
    <w:rsid w:val="002C7908"/>
    <w:rsid w:val="002D21F4"/>
    <w:rsid w:val="002E7277"/>
    <w:rsid w:val="002F51BE"/>
    <w:rsid w:val="00311C6D"/>
    <w:rsid w:val="00321038"/>
    <w:rsid w:val="00321DB0"/>
    <w:rsid w:val="0032656E"/>
    <w:rsid w:val="0033355E"/>
    <w:rsid w:val="00351752"/>
    <w:rsid w:val="00362F68"/>
    <w:rsid w:val="003668F1"/>
    <w:rsid w:val="003A0A2C"/>
    <w:rsid w:val="003B2D94"/>
    <w:rsid w:val="003B760F"/>
    <w:rsid w:val="003E7699"/>
    <w:rsid w:val="003F4451"/>
    <w:rsid w:val="0040024D"/>
    <w:rsid w:val="00400936"/>
    <w:rsid w:val="004055EB"/>
    <w:rsid w:val="0042254A"/>
    <w:rsid w:val="00422617"/>
    <w:rsid w:val="00427445"/>
    <w:rsid w:val="004362D6"/>
    <w:rsid w:val="004434BF"/>
    <w:rsid w:val="00456FD3"/>
    <w:rsid w:val="00461223"/>
    <w:rsid w:val="004625C4"/>
    <w:rsid w:val="00482AF7"/>
    <w:rsid w:val="00485AC0"/>
    <w:rsid w:val="0048763C"/>
    <w:rsid w:val="004937CF"/>
    <w:rsid w:val="004B1D93"/>
    <w:rsid w:val="004B2705"/>
    <w:rsid w:val="004B6F48"/>
    <w:rsid w:val="004D790E"/>
    <w:rsid w:val="004D7E09"/>
    <w:rsid w:val="004E19B0"/>
    <w:rsid w:val="004E6118"/>
    <w:rsid w:val="004E73BE"/>
    <w:rsid w:val="004F6B02"/>
    <w:rsid w:val="0054415F"/>
    <w:rsid w:val="00554E4A"/>
    <w:rsid w:val="00555C4F"/>
    <w:rsid w:val="00561AF0"/>
    <w:rsid w:val="00574993"/>
    <w:rsid w:val="005B3F5B"/>
    <w:rsid w:val="005C1ABD"/>
    <w:rsid w:val="005C2543"/>
    <w:rsid w:val="0060111E"/>
    <w:rsid w:val="00603164"/>
    <w:rsid w:val="00632219"/>
    <w:rsid w:val="0063512D"/>
    <w:rsid w:val="006411AF"/>
    <w:rsid w:val="00642FD6"/>
    <w:rsid w:val="006504B1"/>
    <w:rsid w:val="006513C1"/>
    <w:rsid w:val="006522B7"/>
    <w:rsid w:val="00657598"/>
    <w:rsid w:val="00691EEF"/>
    <w:rsid w:val="006B1FFD"/>
    <w:rsid w:val="006B2E35"/>
    <w:rsid w:val="006C7198"/>
    <w:rsid w:val="006D0876"/>
    <w:rsid w:val="006E79C0"/>
    <w:rsid w:val="006F31C4"/>
    <w:rsid w:val="006F7D1E"/>
    <w:rsid w:val="007133F0"/>
    <w:rsid w:val="00724EB9"/>
    <w:rsid w:val="00725184"/>
    <w:rsid w:val="00726223"/>
    <w:rsid w:val="007370EB"/>
    <w:rsid w:val="00753411"/>
    <w:rsid w:val="00754ED7"/>
    <w:rsid w:val="00756202"/>
    <w:rsid w:val="0076314A"/>
    <w:rsid w:val="007645F1"/>
    <w:rsid w:val="0077465E"/>
    <w:rsid w:val="00780489"/>
    <w:rsid w:val="00791949"/>
    <w:rsid w:val="007A3C32"/>
    <w:rsid w:val="007B1BC1"/>
    <w:rsid w:val="007D6A9E"/>
    <w:rsid w:val="008049D4"/>
    <w:rsid w:val="008107CC"/>
    <w:rsid w:val="00820BBC"/>
    <w:rsid w:val="00826B72"/>
    <w:rsid w:val="00846BFA"/>
    <w:rsid w:val="008529D4"/>
    <w:rsid w:val="00863FEE"/>
    <w:rsid w:val="00866D6E"/>
    <w:rsid w:val="0088718D"/>
    <w:rsid w:val="00896000"/>
    <w:rsid w:val="00896A40"/>
    <w:rsid w:val="008E61BE"/>
    <w:rsid w:val="008E730C"/>
    <w:rsid w:val="008F7E2B"/>
    <w:rsid w:val="00911E6E"/>
    <w:rsid w:val="00933302"/>
    <w:rsid w:val="00981FF5"/>
    <w:rsid w:val="0099141A"/>
    <w:rsid w:val="009918EF"/>
    <w:rsid w:val="00997FD4"/>
    <w:rsid w:val="009A188B"/>
    <w:rsid w:val="009A4FB2"/>
    <w:rsid w:val="009A7243"/>
    <w:rsid w:val="009E4B8C"/>
    <w:rsid w:val="00A1427A"/>
    <w:rsid w:val="00A16EB6"/>
    <w:rsid w:val="00A36E39"/>
    <w:rsid w:val="00A44900"/>
    <w:rsid w:val="00A620A4"/>
    <w:rsid w:val="00A64F5A"/>
    <w:rsid w:val="00A66EE1"/>
    <w:rsid w:val="00AA376A"/>
    <w:rsid w:val="00AD2776"/>
    <w:rsid w:val="00AF1F74"/>
    <w:rsid w:val="00B323B8"/>
    <w:rsid w:val="00B36EE1"/>
    <w:rsid w:val="00B476D9"/>
    <w:rsid w:val="00B527B8"/>
    <w:rsid w:val="00B65A0D"/>
    <w:rsid w:val="00B677D5"/>
    <w:rsid w:val="00B762B4"/>
    <w:rsid w:val="00B77EB7"/>
    <w:rsid w:val="00B8080B"/>
    <w:rsid w:val="00B81AB3"/>
    <w:rsid w:val="00B84F7A"/>
    <w:rsid w:val="00BB0034"/>
    <w:rsid w:val="00BC75B3"/>
    <w:rsid w:val="00BD1DF7"/>
    <w:rsid w:val="00BD6D08"/>
    <w:rsid w:val="00BE0BE8"/>
    <w:rsid w:val="00C04AEE"/>
    <w:rsid w:val="00C22F9A"/>
    <w:rsid w:val="00C31E77"/>
    <w:rsid w:val="00C34DE0"/>
    <w:rsid w:val="00C36CF2"/>
    <w:rsid w:val="00C5721C"/>
    <w:rsid w:val="00C620D2"/>
    <w:rsid w:val="00C6614E"/>
    <w:rsid w:val="00C667DF"/>
    <w:rsid w:val="00C779C5"/>
    <w:rsid w:val="00C95A4E"/>
    <w:rsid w:val="00C971C7"/>
    <w:rsid w:val="00CA1A5C"/>
    <w:rsid w:val="00CC5CAD"/>
    <w:rsid w:val="00CE006F"/>
    <w:rsid w:val="00CF165D"/>
    <w:rsid w:val="00D46205"/>
    <w:rsid w:val="00D56C8E"/>
    <w:rsid w:val="00D8296F"/>
    <w:rsid w:val="00D97CB5"/>
    <w:rsid w:val="00DB264E"/>
    <w:rsid w:val="00DC44AD"/>
    <w:rsid w:val="00DD1B88"/>
    <w:rsid w:val="00DF3150"/>
    <w:rsid w:val="00DF53CE"/>
    <w:rsid w:val="00E02F4C"/>
    <w:rsid w:val="00E04F3A"/>
    <w:rsid w:val="00E146DF"/>
    <w:rsid w:val="00E50647"/>
    <w:rsid w:val="00E54C4C"/>
    <w:rsid w:val="00E54EB3"/>
    <w:rsid w:val="00E70E1A"/>
    <w:rsid w:val="00E72FC6"/>
    <w:rsid w:val="00E8076C"/>
    <w:rsid w:val="00E921A1"/>
    <w:rsid w:val="00E92E7E"/>
    <w:rsid w:val="00EA2CE3"/>
    <w:rsid w:val="00EC3138"/>
    <w:rsid w:val="00EE2E94"/>
    <w:rsid w:val="00F01B8A"/>
    <w:rsid w:val="00F117DD"/>
    <w:rsid w:val="00F242DC"/>
    <w:rsid w:val="00F331A8"/>
    <w:rsid w:val="00F3651C"/>
    <w:rsid w:val="00F44617"/>
    <w:rsid w:val="00F45F5E"/>
    <w:rsid w:val="00F51899"/>
    <w:rsid w:val="00F6184D"/>
    <w:rsid w:val="00F7532A"/>
    <w:rsid w:val="00F7590F"/>
    <w:rsid w:val="00F77A60"/>
    <w:rsid w:val="00FA48ED"/>
    <w:rsid w:val="00FC493F"/>
    <w:rsid w:val="00FD5E29"/>
    <w:rsid w:val="00FD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993">
      <w:bodyDiv w:val="1"/>
      <w:marLeft w:val="0"/>
      <w:marRight w:val="0"/>
      <w:marTop w:val="0"/>
      <w:marBottom w:val="0"/>
      <w:divBdr>
        <w:top w:val="none" w:sz="0" w:space="0" w:color="auto"/>
        <w:left w:val="none" w:sz="0" w:space="0" w:color="auto"/>
        <w:bottom w:val="none" w:sz="0" w:space="0" w:color="auto"/>
        <w:right w:val="none" w:sz="0" w:space="0" w:color="auto"/>
      </w:divBdr>
    </w:div>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 w:id="20018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
      <w:docPartPr>
        <w:name w:val="4E441BB6E5164386A38EA0A35ACC76B6"/>
        <w:category>
          <w:name w:val="General"/>
          <w:gallery w:val="placeholder"/>
        </w:category>
        <w:types>
          <w:type w:val="bbPlcHdr"/>
        </w:types>
        <w:behaviors>
          <w:behavior w:val="content"/>
        </w:behaviors>
        <w:guid w:val="{DC3B7B64-F703-4180-AAC0-832295B0DD08}"/>
      </w:docPartPr>
      <w:docPartBody>
        <w:p w:rsidR="000A0CFB" w:rsidRDefault="00597887" w:rsidP="00597887">
          <w:pPr>
            <w:pStyle w:val="4E441BB6E5164386A38EA0A35ACC76B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451108"/>
    <w:rsid w:val="004A555D"/>
    <w:rsid w:val="00597887"/>
    <w:rsid w:val="006B63C2"/>
    <w:rsid w:val="007153F6"/>
    <w:rsid w:val="00766D85"/>
    <w:rsid w:val="00817521"/>
    <w:rsid w:val="008E68C3"/>
    <w:rsid w:val="009978BB"/>
    <w:rsid w:val="00AC3581"/>
    <w:rsid w:val="00CB5422"/>
    <w:rsid w:val="00D1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6496-779C-4500-8C5D-D5B79827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Andrew McIntosh</cp:lastModifiedBy>
  <cp:revision>5</cp:revision>
  <dcterms:created xsi:type="dcterms:W3CDTF">2022-03-15T15:09:00Z</dcterms:created>
  <dcterms:modified xsi:type="dcterms:W3CDTF">2022-03-15T15:54:00Z</dcterms:modified>
</cp:coreProperties>
</file>