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E0" w:rsidRPr="00D6012C" w:rsidRDefault="0023662B" w:rsidP="006426E0">
      <w:pPr>
        <w:ind w:left="1440" w:firstLine="72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B26F64" w:rsidRPr="00D6012C" w:rsidRDefault="00B26F64" w:rsidP="00B26F64">
      <w:pPr>
        <w:jc w:val="right"/>
        <w:rPr>
          <w:sz w:val="24"/>
          <w:szCs w:val="24"/>
        </w:rPr>
      </w:pPr>
    </w:p>
    <w:p w:rsidR="006426E0" w:rsidRDefault="006426E0" w:rsidP="006426E0">
      <w:pPr>
        <w:ind w:left="1440" w:firstLine="720"/>
        <w:jc w:val="center"/>
        <w:rPr>
          <w:b/>
          <w:color w:val="000000" w:themeColor="text1"/>
          <w:sz w:val="24"/>
          <w:szCs w:val="24"/>
        </w:rPr>
      </w:pPr>
      <w:r>
        <w:rPr>
          <w:sz w:val="24"/>
          <w:szCs w:val="24"/>
        </w:rPr>
        <w:tab/>
      </w:r>
      <w:r>
        <w:rPr>
          <w:sz w:val="24"/>
          <w:szCs w:val="24"/>
        </w:rPr>
        <w:tab/>
      </w:r>
      <w:r>
        <w:rPr>
          <w:sz w:val="24"/>
          <w:szCs w:val="24"/>
        </w:rPr>
        <w:tab/>
      </w:r>
      <w:r>
        <w:rPr>
          <w:sz w:val="24"/>
          <w:szCs w:val="24"/>
        </w:rPr>
        <w:tab/>
      </w:r>
      <w:r>
        <w:rPr>
          <w:sz w:val="24"/>
          <w:szCs w:val="24"/>
        </w:rPr>
        <w:tab/>
      </w:r>
      <w:r w:rsidRPr="00D6012C">
        <w:rPr>
          <w:sz w:val="24"/>
          <w:szCs w:val="24"/>
        </w:rPr>
        <w:t xml:space="preserve">Report </w:t>
      </w:r>
      <w:r w:rsidRPr="000E7257">
        <w:rPr>
          <w:sz w:val="24"/>
          <w:szCs w:val="24"/>
        </w:rPr>
        <w:t>No:</w:t>
      </w:r>
      <w:r w:rsidRPr="004D03FA">
        <w:rPr>
          <w:sz w:val="24"/>
          <w:szCs w:val="24"/>
        </w:rPr>
        <w:t xml:space="preserve"> </w:t>
      </w:r>
      <w:r w:rsidRPr="003E3DB1">
        <w:rPr>
          <w:b/>
          <w:color w:val="000000" w:themeColor="text1"/>
          <w:sz w:val="24"/>
          <w:szCs w:val="24"/>
        </w:rPr>
        <w:t>SLAB/20</w:t>
      </w:r>
      <w:r>
        <w:rPr>
          <w:b/>
          <w:color w:val="000000" w:themeColor="text1"/>
          <w:sz w:val="24"/>
          <w:szCs w:val="24"/>
        </w:rPr>
        <w:t>22</w:t>
      </w:r>
      <w:r w:rsidRPr="003E3DB1">
        <w:rPr>
          <w:b/>
          <w:color w:val="000000" w:themeColor="text1"/>
          <w:sz w:val="24"/>
          <w:szCs w:val="24"/>
        </w:rPr>
        <w:t>/</w:t>
      </w:r>
      <w:r w:rsidR="00C64309">
        <w:rPr>
          <w:b/>
          <w:color w:val="000000" w:themeColor="text1"/>
          <w:sz w:val="24"/>
          <w:szCs w:val="24"/>
        </w:rPr>
        <w:t>04</w:t>
      </w:r>
      <w:r w:rsidR="00717E74">
        <w:rPr>
          <w:b/>
          <w:color w:val="000000" w:themeColor="text1"/>
          <w:sz w:val="24"/>
          <w:szCs w:val="24"/>
        </w:rPr>
        <w:t xml:space="preserve"> </w:t>
      </w:r>
    </w:p>
    <w:p w:rsidR="006426E0" w:rsidRPr="00DE249E" w:rsidRDefault="006426E0" w:rsidP="00E43E8D">
      <w:pPr>
        <w:ind w:right="260"/>
        <w:jc w:val="center"/>
        <w:rPr>
          <w:sz w:val="24"/>
          <w:szCs w:val="24"/>
          <w:highlight w:val="yellow"/>
        </w:rPr>
      </w:pPr>
      <w:r>
        <w:rPr>
          <w:sz w:val="24"/>
          <w:szCs w:val="24"/>
        </w:rPr>
        <w:t xml:space="preserve">   </w:t>
      </w:r>
      <w:r w:rsidR="00717E74">
        <w:rPr>
          <w:sz w:val="24"/>
          <w:szCs w:val="24"/>
        </w:rPr>
        <w:t xml:space="preserve">                      </w:t>
      </w:r>
      <w:r w:rsidR="00717E74">
        <w:rPr>
          <w:sz w:val="24"/>
          <w:szCs w:val="24"/>
        </w:rPr>
        <w:tab/>
      </w:r>
      <w:r w:rsidR="00717E74">
        <w:rPr>
          <w:sz w:val="24"/>
          <w:szCs w:val="24"/>
        </w:rPr>
        <w:tab/>
      </w:r>
      <w:r w:rsidR="00717E74">
        <w:rPr>
          <w:sz w:val="24"/>
          <w:szCs w:val="24"/>
        </w:rPr>
        <w:tab/>
        <w:t xml:space="preserve">              </w:t>
      </w:r>
      <w:r w:rsidR="00E43E8D">
        <w:rPr>
          <w:sz w:val="24"/>
          <w:szCs w:val="24"/>
        </w:rPr>
        <w:tab/>
      </w:r>
      <w:r w:rsidR="00E43E8D">
        <w:rPr>
          <w:sz w:val="24"/>
          <w:szCs w:val="24"/>
        </w:rPr>
        <w:tab/>
      </w:r>
      <w:r w:rsidR="00E43E8D">
        <w:rPr>
          <w:sz w:val="24"/>
          <w:szCs w:val="24"/>
        </w:rPr>
        <w:tab/>
      </w:r>
      <w:r w:rsidR="00E43E8D">
        <w:rPr>
          <w:sz w:val="24"/>
          <w:szCs w:val="24"/>
        </w:rPr>
        <w:tab/>
      </w:r>
      <w:r w:rsidRPr="003E3DB1">
        <w:rPr>
          <w:sz w:val="24"/>
          <w:szCs w:val="24"/>
        </w:rPr>
        <w:t xml:space="preserve">Agenda Item: </w:t>
      </w:r>
      <w:r w:rsidR="00717E74">
        <w:rPr>
          <w:b/>
          <w:sz w:val="24"/>
          <w:szCs w:val="24"/>
        </w:rPr>
        <w:t>8</w:t>
      </w:r>
    </w:p>
    <w:p w:rsidR="00B26F64" w:rsidRPr="00DE249E" w:rsidRDefault="00B26F64" w:rsidP="00B26F64">
      <w:pPr>
        <w:rPr>
          <w:sz w:val="24"/>
          <w:szCs w:val="24"/>
          <w:highlight w:val="yellow"/>
        </w:rPr>
      </w:pPr>
      <w:bookmarkStart w:id="0" w:name="_GoBack"/>
      <w:bookmarkEnd w:id="0"/>
    </w:p>
    <w:tbl>
      <w:tblPr>
        <w:tblStyle w:val="TableGrid"/>
        <w:tblpPr w:leftFromText="180" w:rightFromText="180" w:vertAnchor="page" w:horzAnchor="margin" w:tblpY="3916"/>
        <w:tblW w:w="9493" w:type="dxa"/>
        <w:tblLayout w:type="fixed"/>
        <w:tblLook w:val="04A0" w:firstRow="1" w:lastRow="0" w:firstColumn="1" w:lastColumn="0" w:noHBand="0" w:noVBand="1"/>
      </w:tblPr>
      <w:tblGrid>
        <w:gridCol w:w="2405"/>
        <w:gridCol w:w="7088"/>
      </w:tblGrid>
      <w:tr w:rsidR="00B26F64" w:rsidRPr="00DE249E" w:rsidTr="006426E0">
        <w:tc>
          <w:tcPr>
            <w:tcW w:w="2405" w:type="dxa"/>
            <w:shd w:val="clear" w:color="auto" w:fill="D9D9D9" w:themeFill="background1" w:themeFillShade="D9"/>
          </w:tcPr>
          <w:p w:rsidR="000F7A82" w:rsidRPr="00576202" w:rsidRDefault="00B26F64" w:rsidP="006426E0">
            <w:pPr>
              <w:rPr>
                <w:b/>
                <w:sz w:val="24"/>
                <w:szCs w:val="24"/>
              </w:rPr>
            </w:pPr>
            <w:r w:rsidRPr="00576202">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Services Policy Committee" w:value="Legal Services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B26F64" w:rsidRPr="00576202" w:rsidRDefault="00205332" w:rsidP="006426E0">
                <w:pPr>
                  <w:rPr>
                    <w:sz w:val="24"/>
                    <w:szCs w:val="24"/>
                  </w:rPr>
                </w:pPr>
                <w:r w:rsidRPr="00576202">
                  <w:rPr>
                    <w:sz w:val="24"/>
                    <w:szCs w:val="24"/>
                  </w:rPr>
                  <w:t>The Board</w:t>
                </w:r>
              </w:p>
            </w:tc>
          </w:sdtContent>
        </w:sdt>
      </w:tr>
      <w:tr w:rsidR="00B26F64" w:rsidRPr="00DE249E" w:rsidTr="006426E0">
        <w:tc>
          <w:tcPr>
            <w:tcW w:w="2405" w:type="dxa"/>
            <w:shd w:val="clear" w:color="auto" w:fill="D9D9D9" w:themeFill="background1" w:themeFillShade="D9"/>
          </w:tcPr>
          <w:p w:rsidR="000F7A82" w:rsidRPr="00576202" w:rsidRDefault="00B26F64" w:rsidP="006426E0">
            <w:pPr>
              <w:rPr>
                <w:b/>
                <w:sz w:val="24"/>
                <w:szCs w:val="24"/>
              </w:rPr>
            </w:pPr>
            <w:r w:rsidRPr="00576202">
              <w:rPr>
                <w:b/>
                <w:sz w:val="24"/>
                <w:szCs w:val="24"/>
              </w:rPr>
              <w:t>Meeting Date:</w:t>
            </w:r>
          </w:p>
        </w:tc>
        <w:tc>
          <w:tcPr>
            <w:tcW w:w="7088" w:type="dxa"/>
          </w:tcPr>
          <w:p w:rsidR="00B26F64" w:rsidRPr="00576202" w:rsidRDefault="000419AF" w:rsidP="006426E0">
            <w:pPr>
              <w:rPr>
                <w:sz w:val="24"/>
                <w:szCs w:val="24"/>
              </w:rPr>
            </w:pPr>
            <w:r>
              <w:rPr>
                <w:sz w:val="24"/>
                <w:szCs w:val="24"/>
              </w:rPr>
              <w:t>2</w:t>
            </w:r>
            <w:r w:rsidR="008C2E8B">
              <w:rPr>
                <w:sz w:val="24"/>
                <w:szCs w:val="24"/>
              </w:rPr>
              <w:t>1st</w:t>
            </w:r>
            <w:r w:rsidR="00841FB2">
              <w:rPr>
                <w:sz w:val="24"/>
                <w:szCs w:val="24"/>
              </w:rPr>
              <w:t xml:space="preserve"> </w:t>
            </w:r>
            <w:r w:rsidR="008C2E8B">
              <w:rPr>
                <w:sz w:val="24"/>
                <w:szCs w:val="24"/>
              </w:rPr>
              <w:t>March</w:t>
            </w:r>
            <w:r w:rsidR="0002748C">
              <w:rPr>
                <w:sz w:val="24"/>
                <w:szCs w:val="24"/>
              </w:rPr>
              <w:t xml:space="preserve"> 20</w:t>
            </w:r>
            <w:r w:rsidR="008C2E8B">
              <w:rPr>
                <w:sz w:val="24"/>
                <w:szCs w:val="24"/>
              </w:rPr>
              <w:t>22</w:t>
            </w:r>
          </w:p>
        </w:tc>
      </w:tr>
      <w:tr w:rsidR="00B26F64" w:rsidRPr="00DE249E" w:rsidTr="006426E0">
        <w:tc>
          <w:tcPr>
            <w:tcW w:w="2405" w:type="dxa"/>
            <w:shd w:val="clear" w:color="auto" w:fill="D9D9D9" w:themeFill="background1" w:themeFillShade="D9"/>
          </w:tcPr>
          <w:p w:rsidR="000F7A82" w:rsidRPr="00576202" w:rsidRDefault="00B26F64" w:rsidP="006426E0">
            <w:pPr>
              <w:rPr>
                <w:b/>
                <w:sz w:val="24"/>
                <w:szCs w:val="24"/>
              </w:rPr>
            </w:pPr>
            <w:r w:rsidRPr="00576202">
              <w:rPr>
                <w:b/>
                <w:sz w:val="24"/>
                <w:szCs w:val="24"/>
              </w:rPr>
              <w:t>Report Title</w:t>
            </w:r>
          </w:p>
        </w:tc>
        <w:tc>
          <w:tcPr>
            <w:tcW w:w="7088" w:type="dxa"/>
          </w:tcPr>
          <w:p w:rsidR="00B26F64" w:rsidRPr="00576202" w:rsidRDefault="00175695" w:rsidP="006426E0">
            <w:pPr>
              <w:rPr>
                <w:sz w:val="24"/>
                <w:szCs w:val="24"/>
              </w:rPr>
            </w:pPr>
            <w:r>
              <w:rPr>
                <w:sz w:val="24"/>
                <w:szCs w:val="24"/>
              </w:rPr>
              <w:t>Property Asset management Plan</w:t>
            </w:r>
            <w:r w:rsidR="00C103CC">
              <w:rPr>
                <w:sz w:val="24"/>
                <w:szCs w:val="24"/>
              </w:rPr>
              <w:t xml:space="preserve"> - 20</w:t>
            </w:r>
            <w:r w:rsidR="00133E8A">
              <w:rPr>
                <w:sz w:val="24"/>
                <w:szCs w:val="24"/>
              </w:rPr>
              <w:t>22</w:t>
            </w:r>
          </w:p>
        </w:tc>
      </w:tr>
      <w:tr w:rsidR="00B26F64" w:rsidRPr="00DE249E" w:rsidTr="006426E0">
        <w:tc>
          <w:tcPr>
            <w:tcW w:w="2405" w:type="dxa"/>
            <w:shd w:val="clear" w:color="auto" w:fill="D9D9D9" w:themeFill="background1" w:themeFillShade="D9"/>
          </w:tcPr>
          <w:p w:rsidR="00F666E1" w:rsidRPr="00576202" w:rsidRDefault="00B86375" w:rsidP="006426E0">
            <w:pPr>
              <w:rPr>
                <w:b/>
                <w:sz w:val="24"/>
                <w:szCs w:val="24"/>
              </w:rPr>
            </w:pPr>
            <w:r w:rsidRPr="00576202">
              <w:rPr>
                <w:b/>
                <w:sz w:val="24"/>
                <w:szCs w:val="24"/>
              </w:rPr>
              <w:t xml:space="preserve">Report </w:t>
            </w:r>
            <w:r w:rsidR="009D2260" w:rsidRPr="00576202">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B86375" w:rsidRPr="00576202" w:rsidRDefault="00C103CC" w:rsidP="006426E0">
                <w:pPr>
                  <w:rPr>
                    <w:sz w:val="24"/>
                    <w:szCs w:val="24"/>
                  </w:rPr>
                </w:pPr>
                <w:r>
                  <w:rPr>
                    <w:sz w:val="24"/>
                    <w:szCs w:val="24"/>
                  </w:rPr>
                  <w:t>For Information</w:t>
                </w:r>
              </w:p>
            </w:sdtContent>
          </w:sdt>
        </w:tc>
      </w:tr>
      <w:tr w:rsidR="00246439" w:rsidRPr="00DE249E" w:rsidTr="006426E0">
        <w:tc>
          <w:tcPr>
            <w:tcW w:w="2405" w:type="dxa"/>
            <w:shd w:val="clear" w:color="auto" w:fill="D9D9D9" w:themeFill="background1" w:themeFillShade="D9"/>
          </w:tcPr>
          <w:p w:rsidR="00246439" w:rsidRPr="00576202" w:rsidRDefault="00246439" w:rsidP="006426E0">
            <w:pPr>
              <w:rPr>
                <w:b/>
                <w:sz w:val="24"/>
                <w:szCs w:val="24"/>
              </w:rPr>
            </w:pPr>
            <w:r w:rsidRPr="00576202">
              <w:rPr>
                <w:b/>
                <w:sz w:val="24"/>
                <w:szCs w:val="24"/>
              </w:rPr>
              <w:t>Issue status:</w:t>
            </w:r>
          </w:p>
          <w:p w:rsidR="00246439" w:rsidRPr="00576202" w:rsidRDefault="00246439" w:rsidP="006426E0">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EC63B9" w:rsidRPr="00576202" w:rsidRDefault="00205332" w:rsidP="006426E0">
                <w:pPr>
                  <w:rPr>
                    <w:sz w:val="24"/>
                    <w:szCs w:val="24"/>
                  </w:rPr>
                </w:pPr>
                <w:r w:rsidRPr="00576202">
                  <w:rPr>
                    <w:sz w:val="24"/>
                    <w:szCs w:val="24"/>
                  </w:rPr>
                  <w:t>Business as usual</w:t>
                </w:r>
              </w:p>
            </w:tc>
          </w:sdtContent>
        </w:sdt>
      </w:tr>
    </w:tbl>
    <w:tbl>
      <w:tblPr>
        <w:tblStyle w:val="TableGrid"/>
        <w:tblW w:w="9493" w:type="dxa"/>
        <w:tblLayout w:type="fixed"/>
        <w:tblLook w:val="04A0" w:firstRow="1" w:lastRow="0" w:firstColumn="1" w:lastColumn="0" w:noHBand="0" w:noVBand="1"/>
      </w:tblPr>
      <w:tblGrid>
        <w:gridCol w:w="2405"/>
        <w:gridCol w:w="7088"/>
      </w:tblGrid>
      <w:tr w:rsidR="00B26F64" w:rsidRPr="00DE249E" w:rsidTr="00F666E1">
        <w:tc>
          <w:tcPr>
            <w:tcW w:w="2405" w:type="dxa"/>
            <w:shd w:val="clear" w:color="auto" w:fill="D9D9D9" w:themeFill="background1" w:themeFillShade="D9"/>
          </w:tcPr>
          <w:p w:rsidR="000F7A82" w:rsidRPr="00576202" w:rsidRDefault="00B86375" w:rsidP="00B86375">
            <w:pPr>
              <w:rPr>
                <w:b/>
                <w:sz w:val="24"/>
                <w:szCs w:val="24"/>
              </w:rPr>
            </w:pPr>
            <w:r w:rsidRPr="00576202">
              <w:rPr>
                <w:b/>
                <w:sz w:val="24"/>
                <w:szCs w:val="24"/>
              </w:rPr>
              <w:t>Written</w:t>
            </w:r>
            <w:r w:rsidR="00B26F64" w:rsidRPr="00576202">
              <w:rPr>
                <w:b/>
                <w:sz w:val="24"/>
                <w:szCs w:val="24"/>
              </w:rPr>
              <w:t xml:space="preserve"> by:</w:t>
            </w:r>
          </w:p>
        </w:tc>
        <w:tc>
          <w:tcPr>
            <w:tcW w:w="7088" w:type="dxa"/>
          </w:tcPr>
          <w:p w:rsidR="00B26F64" w:rsidRPr="00576202" w:rsidRDefault="00175695" w:rsidP="00331BF0">
            <w:pPr>
              <w:rPr>
                <w:sz w:val="24"/>
                <w:szCs w:val="24"/>
              </w:rPr>
            </w:pPr>
            <w:r>
              <w:rPr>
                <w:sz w:val="24"/>
                <w:szCs w:val="24"/>
              </w:rPr>
              <w:t>Colin McKinnell</w:t>
            </w:r>
            <w:r w:rsidR="00133E8A">
              <w:rPr>
                <w:sz w:val="24"/>
                <w:szCs w:val="24"/>
              </w:rPr>
              <w:t>, F</w:t>
            </w:r>
            <w:r w:rsidR="009E57F4">
              <w:rPr>
                <w:sz w:val="24"/>
                <w:szCs w:val="24"/>
              </w:rPr>
              <w:t>acilities Manager</w:t>
            </w:r>
            <w:r>
              <w:rPr>
                <w:sz w:val="24"/>
                <w:szCs w:val="24"/>
              </w:rPr>
              <w:t xml:space="preserve"> and </w:t>
            </w:r>
            <w:r w:rsidR="00C103CC">
              <w:rPr>
                <w:sz w:val="24"/>
                <w:szCs w:val="24"/>
              </w:rPr>
              <w:t>Graeme Hill</w:t>
            </w:r>
            <w:r w:rsidR="008C2E8B">
              <w:rPr>
                <w:sz w:val="24"/>
                <w:szCs w:val="24"/>
              </w:rPr>
              <w:t>, Director of Corporate Services and Accounts</w:t>
            </w:r>
          </w:p>
        </w:tc>
      </w:tr>
      <w:tr w:rsidR="00B26F64" w:rsidRPr="00DE249E" w:rsidTr="00F666E1">
        <w:tc>
          <w:tcPr>
            <w:tcW w:w="2405" w:type="dxa"/>
            <w:shd w:val="clear" w:color="auto" w:fill="D9D9D9" w:themeFill="background1" w:themeFillShade="D9"/>
          </w:tcPr>
          <w:p w:rsidR="000F7A82" w:rsidRPr="00576202" w:rsidRDefault="00B86375" w:rsidP="00B86375">
            <w:pPr>
              <w:rPr>
                <w:b/>
                <w:sz w:val="24"/>
                <w:szCs w:val="24"/>
              </w:rPr>
            </w:pPr>
            <w:r w:rsidRPr="00576202">
              <w:rPr>
                <w:b/>
                <w:sz w:val="24"/>
                <w:szCs w:val="24"/>
              </w:rPr>
              <w:t>Director responsible</w:t>
            </w:r>
            <w:r w:rsidR="00B26F64" w:rsidRPr="00576202">
              <w:rPr>
                <w:b/>
                <w:sz w:val="24"/>
                <w:szCs w:val="24"/>
              </w:rPr>
              <w:t>:</w:t>
            </w:r>
          </w:p>
        </w:tc>
        <w:sdt>
          <w:sdtPr>
            <w:rPr>
              <w:sz w:val="24"/>
              <w:szCs w:val="24"/>
            </w:rPr>
            <w:id w:val="655648332"/>
            <w:placeholder>
              <w:docPart w:val="01D890378CF540CCACEE356704EF769A"/>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rsidR="00B26F64" w:rsidRPr="00576202" w:rsidRDefault="00C103CC" w:rsidP="00B86375">
                <w:pPr>
                  <w:rPr>
                    <w:sz w:val="24"/>
                    <w:szCs w:val="24"/>
                  </w:rPr>
                </w:pPr>
                <w:r>
                  <w:rPr>
                    <w:sz w:val="24"/>
                    <w:szCs w:val="24"/>
                  </w:rPr>
                  <w:t>Graeme Hill</w:t>
                </w:r>
              </w:p>
            </w:tc>
          </w:sdtContent>
        </w:sdt>
      </w:tr>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Presented by:</w:t>
            </w:r>
          </w:p>
        </w:tc>
        <w:tc>
          <w:tcPr>
            <w:tcW w:w="7088" w:type="dxa"/>
          </w:tcPr>
          <w:p w:rsidR="00B26F64" w:rsidRPr="00576202" w:rsidRDefault="00576202" w:rsidP="00205332">
            <w:pPr>
              <w:rPr>
                <w:sz w:val="24"/>
                <w:szCs w:val="24"/>
              </w:rPr>
            </w:pPr>
            <w:r w:rsidRPr="00576202">
              <w:rPr>
                <w:sz w:val="24"/>
                <w:szCs w:val="24"/>
              </w:rPr>
              <w:t>Graeme Hill</w:t>
            </w:r>
          </w:p>
        </w:tc>
      </w:tr>
      <w:tr w:rsidR="00BB64D3" w:rsidRPr="00DE249E" w:rsidTr="00F666E1">
        <w:tc>
          <w:tcPr>
            <w:tcW w:w="2405" w:type="dxa"/>
            <w:shd w:val="clear" w:color="auto" w:fill="D9D9D9" w:themeFill="background1" w:themeFillShade="D9"/>
          </w:tcPr>
          <w:p w:rsidR="00BB64D3" w:rsidRPr="00576202" w:rsidRDefault="009D2260" w:rsidP="00B86375">
            <w:pPr>
              <w:rPr>
                <w:b/>
                <w:sz w:val="24"/>
                <w:szCs w:val="24"/>
              </w:rPr>
            </w:pPr>
            <w:r w:rsidRPr="00576202">
              <w:rPr>
                <w:b/>
                <w:sz w:val="24"/>
                <w:szCs w:val="24"/>
              </w:rPr>
              <w:t>Contact details</w:t>
            </w:r>
            <w:r w:rsidR="00BB64D3" w:rsidRPr="00576202">
              <w:rPr>
                <w:b/>
                <w:sz w:val="24"/>
                <w:szCs w:val="24"/>
              </w:rPr>
              <w:t>:</w:t>
            </w:r>
          </w:p>
        </w:tc>
        <w:tc>
          <w:tcPr>
            <w:tcW w:w="7088" w:type="dxa"/>
          </w:tcPr>
          <w:p w:rsidR="00576202" w:rsidRPr="00576202" w:rsidRDefault="00576202" w:rsidP="00205332">
            <w:pPr>
              <w:rPr>
                <w:sz w:val="24"/>
                <w:szCs w:val="24"/>
              </w:rPr>
            </w:pPr>
            <w:r w:rsidRPr="00576202">
              <w:rPr>
                <w:sz w:val="24"/>
                <w:szCs w:val="24"/>
              </w:rPr>
              <w:t>hillgr</w:t>
            </w:r>
            <w:r w:rsidR="00205332" w:rsidRPr="00576202">
              <w:rPr>
                <w:sz w:val="24"/>
                <w:szCs w:val="24"/>
              </w:rPr>
              <w:t>@slab.org.uk</w:t>
            </w:r>
          </w:p>
        </w:tc>
      </w:tr>
    </w:tbl>
    <w:p w:rsidR="00B26F64" w:rsidRPr="00DE249E" w:rsidRDefault="00B26F64" w:rsidP="00B26F64">
      <w:pPr>
        <w:rPr>
          <w:sz w:val="24"/>
          <w:szCs w:val="24"/>
          <w:highlight w:val="yellow"/>
        </w:rPr>
      </w:pPr>
    </w:p>
    <w:tbl>
      <w:tblPr>
        <w:tblStyle w:val="TableGrid"/>
        <w:tblW w:w="9493" w:type="dxa"/>
        <w:tblLook w:val="04A0" w:firstRow="1" w:lastRow="0" w:firstColumn="1" w:lastColumn="0" w:noHBand="0" w:noVBand="1"/>
      </w:tblPr>
      <w:tblGrid>
        <w:gridCol w:w="2405"/>
        <w:gridCol w:w="7088"/>
      </w:tblGrid>
      <w:tr w:rsidR="00B26F64" w:rsidRPr="00DE249E" w:rsidTr="00B86375">
        <w:tc>
          <w:tcPr>
            <w:tcW w:w="9493" w:type="dxa"/>
            <w:gridSpan w:val="2"/>
            <w:shd w:val="clear" w:color="auto" w:fill="D9D9D9" w:themeFill="background1" w:themeFillShade="D9"/>
          </w:tcPr>
          <w:p w:rsidR="00763BCD" w:rsidRPr="00835827" w:rsidRDefault="00A8721E" w:rsidP="00A74DE3">
            <w:pPr>
              <w:rPr>
                <w:b/>
                <w:sz w:val="24"/>
                <w:szCs w:val="24"/>
              </w:rPr>
            </w:pPr>
            <w:r w:rsidRPr="00835827">
              <w:rPr>
                <w:b/>
                <w:sz w:val="24"/>
                <w:szCs w:val="24"/>
              </w:rPr>
              <w:t>D</w:t>
            </w:r>
            <w:r w:rsidR="00A74DE3" w:rsidRPr="00835827">
              <w:rPr>
                <w:b/>
                <w:sz w:val="24"/>
                <w:szCs w:val="24"/>
              </w:rPr>
              <w:t>elivery of Strategic Objectives</w:t>
            </w:r>
          </w:p>
        </w:tc>
      </w:tr>
      <w:tr w:rsidR="007006AA" w:rsidRPr="00DE249E" w:rsidTr="00390110">
        <w:tc>
          <w:tcPr>
            <w:tcW w:w="2405" w:type="dxa"/>
          </w:tcPr>
          <w:p w:rsidR="007006AA" w:rsidRPr="00835827" w:rsidRDefault="007006AA" w:rsidP="007006AA">
            <w:pPr>
              <w:rPr>
                <w:sz w:val="24"/>
                <w:szCs w:val="24"/>
              </w:rPr>
            </w:pPr>
            <w:r w:rsidRPr="00835827">
              <w:rPr>
                <w:sz w:val="24"/>
                <w:szCs w:val="24"/>
              </w:rPr>
              <w:t xml:space="preserve">Select the Strategic Objective(s) relevant to the issues </w:t>
            </w:r>
          </w:p>
        </w:tc>
        <w:tc>
          <w:tcPr>
            <w:tcW w:w="7088" w:type="dxa"/>
          </w:tcPr>
          <w:sdt>
            <w:sdtPr>
              <w:rPr>
                <w:sz w:val="24"/>
                <w:szCs w:val="24"/>
              </w:rPr>
              <w:alias w:val="Strategic Objective"/>
              <w:tag w:val="Strategic Objective"/>
              <w:id w:val="2006857388"/>
              <w:placeholder>
                <w:docPart w:val="E4474DFBC37144B685678176C0474EA7"/>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pf legal assistance and its contribution to Scotland in which rights are supported and disputes are resolved fairly and swiftly" w:value="2. to advise Scottish Ministers on strategic development p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EndPr/>
            <w:sdtContent>
              <w:p w:rsidR="007006AA" w:rsidRPr="00835827" w:rsidRDefault="00175695" w:rsidP="007006AA">
                <w:pPr>
                  <w:rPr>
                    <w:sz w:val="24"/>
                    <w:szCs w:val="24"/>
                  </w:rPr>
                </w:pPr>
                <w:r>
                  <w:rPr>
                    <w:sz w:val="24"/>
                    <w:szCs w:val="24"/>
                  </w:rPr>
                  <w:t>3. to ensure that our organisation has the culture and capability to be responsive to our customers, the justice system and developments in legal and advice sectors.</w:t>
                </w:r>
              </w:p>
            </w:sdtContent>
          </w:sdt>
          <w:p w:rsidR="007006AA" w:rsidRPr="00835827" w:rsidRDefault="007006AA" w:rsidP="007006AA">
            <w:pPr>
              <w:spacing w:after="120"/>
              <w:rPr>
                <w:sz w:val="24"/>
                <w:szCs w:val="24"/>
              </w:rPr>
            </w:pPr>
          </w:p>
        </w:tc>
      </w:tr>
    </w:tbl>
    <w:p w:rsidR="00246439" w:rsidRPr="00DE249E" w:rsidRDefault="00246439"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9019A2" w:rsidRPr="00DE249E" w:rsidTr="00B8423E">
        <w:tc>
          <w:tcPr>
            <w:tcW w:w="9493" w:type="dxa"/>
            <w:shd w:val="clear" w:color="auto" w:fill="D9D9D9" w:themeFill="background1" w:themeFillShade="D9"/>
          </w:tcPr>
          <w:p w:rsidR="009019A2" w:rsidRPr="00576202" w:rsidRDefault="00567BAA" w:rsidP="00567BAA">
            <w:pPr>
              <w:rPr>
                <w:b/>
                <w:sz w:val="24"/>
                <w:szCs w:val="24"/>
              </w:rPr>
            </w:pPr>
            <w:r w:rsidRPr="00576202">
              <w:rPr>
                <w:b/>
                <w:sz w:val="24"/>
                <w:szCs w:val="24"/>
              </w:rPr>
              <w:t xml:space="preserve">Link to Board </w:t>
            </w:r>
            <w:r w:rsidR="009019A2" w:rsidRPr="00576202">
              <w:rPr>
                <w:b/>
                <w:sz w:val="24"/>
                <w:szCs w:val="24"/>
              </w:rPr>
              <w:t>or Committee Remit</w:t>
            </w:r>
          </w:p>
        </w:tc>
      </w:tr>
      <w:tr w:rsidR="009019A2" w:rsidRPr="00DE249E" w:rsidTr="00B8423E">
        <w:tc>
          <w:tcPr>
            <w:tcW w:w="9493" w:type="dxa"/>
          </w:tcPr>
          <w:p w:rsidR="00777096" w:rsidRPr="00175695" w:rsidRDefault="00277E4C" w:rsidP="00741147">
            <w:pPr>
              <w:spacing w:before="120" w:after="120"/>
              <w:rPr>
                <w:sz w:val="24"/>
                <w:szCs w:val="24"/>
                <w:highlight w:val="yellow"/>
              </w:rPr>
            </w:pPr>
            <w:r w:rsidRPr="00277E4C">
              <w:rPr>
                <w:sz w:val="24"/>
                <w:szCs w:val="24"/>
              </w:rPr>
              <w:t>N/A</w:t>
            </w:r>
          </w:p>
        </w:tc>
      </w:tr>
    </w:tbl>
    <w:p w:rsidR="009019A2" w:rsidRPr="00DE249E" w:rsidRDefault="009019A2"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365B58" w:rsidRPr="00DE249E" w:rsidTr="00246439">
        <w:tc>
          <w:tcPr>
            <w:tcW w:w="9493" w:type="dxa"/>
            <w:shd w:val="clear" w:color="auto" w:fill="D9D9D9" w:themeFill="background1" w:themeFillShade="D9"/>
          </w:tcPr>
          <w:p w:rsidR="00365B58" w:rsidRPr="00576202" w:rsidRDefault="00365B58" w:rsidP="00246439">
            <w:pPr>
              <w:rPr>
                <w:b/>
                <w:sz w:val="24"/>
                <w:szCs w:val="24"/>
              </w:rPr>
            </w:pPr>
            <w:r w:rsidRPr="00576202">
              <w:rPr>
                <w:b/>
                <w:sz w:val="24"/>
                <w:szCs w:val="24"/>
              </w:rPr>
              <w:t>Publication of the Paper</w:t>
            </w:r>
          </w:p>
        </w:tc>
      </w:tr>
      <w:tr w:rsidR="00365B58" w:rsidRPr="00DE249E" w:rsidTr="00246439">
        <w:tc>
          <w:tcPr>
            <w:tcW w:w="9493" w:type="dxa"/>
          </w:tcPr>
          <w:p w:rsidR="00777096" w:rsidRPr="00576202" w:rsidRDefault="002A1837" w:rsidP="00331BF0">
            <w:pPr>
              <w:spacing w:before="120" w:after="120"/>
              <w:jc w:val="both"/>
              <w:rPr>
                <w:i/>
                <w:sz w:val="24"/>
                <w:szCs w:val="24"/>
              </w:rPr>
            </w:pPr>
            <w:r w:rsidRPr="00DE39AF">
              <w:rPr>
                <w:sz w:val="24"/>
                <w:szCs w:val="24"/>
              </w:rPr>
              <w:t xml:space="preserve">The Board has previously agreed that this paper </w:t>
            </w:r>
            <w:r w:rsidR="00DA7163" w:rsidRPr="00DE39AF">
              <w:rPr>
                <w:sz w:val="24"/>
                <w:szCs w:val="24"/>
              </w:rPr>
              <w:t>should</w:t>
            </w:r>
            <w:r w:rsidR="00331BF0" w:rsidRPr="00DE39AF">
              <w:rPr>
                <w:sz w:val="24"/>
                <w:szCs w:val="24"/>
              </w:rPr>
              <w:t xml:space="preserve"> </w:t>
            </w:r>
            <w:r w:rsidR="00576202" w:rsidRPr="00DE39AF">
              <w:rPr>
                <w:sz w:val="24"/>
                <w:szCs w:val="24"/>
              </w:rPr>
              <w:t>be published</w:t>
            </w:r>
            <w:r w:rsidR="00DA7163" w:rsidRPr="00DE39AF">
              <w:rPr>
                <w:sz w:val="24"/>
                <w:szCs w:val="24"/>
              </w:rPr>
              <w:t xml:space="preserve"> as a matter of routine</w:t>
            </w:r>
            <w:r w:rsidR="00576202" w:rsidRPr="00DE39AF">
              <w:rPr>
                <w:sz w:val="24"/>
                <w:szCs w:val="24"/>
              </w:rPr>
              <w:t>.</w:t>
            </w:r>
            <w:r w:rsidR="00DA7163" w:rsidRPr="00DE39AF">
              <w:rPr>
                <w:sz w:val="24"/>
                <w:szCs w:val="24"/>
              </w:rPr>
              <w:t xml:space="preserve"> It will be published on our website in due course.</w:t>
            </w:r>
          </w:p>
        </w:tc>
      </w:tr>
    </w:tbl>
    <w:p w:rsidR="00365B58" w:rsidRPr="00DE249E" w:rsidRDefault="00365B58"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B668B4" w:rsidRPr="003C5DEA" w:rsidTr="00B668B4">
        <w:tc>
          <w:tcPr>
            <w:tcW w:w="9493" w:type="dxa"/>
            <w:tcBorders>
              <w:left w:val="single" w:sz="4" w:space="0" w:color="000000"/>
            </w:tcBorders>
            <w:shd w:val="clear" w:color="auto" w:fill="D9D9D9" w:themeFill="background1" w:themeFillShade="D9"/>
          </w:tcPr>
          <w:p w:rsidR="00B668B4" w:rsidRPr="003C5DEA" w:rsidRDefault="00B668B4" w:rsidP="00B86375">
            <w:pPr>
              <w:rPr>
                <w:b/>
                <w:sz w:val="24"/>
                <w:szCs w:val="24"/>
              </w:rPr>
            </w:pPr>
            <w:r w:rsidRPr="003C5DEA">
              <w:rPr>
                <w:b/>
                <w:sz w:val="24"/>
                <w:szCs w:val="24"/>
              </w:rPr>
              <w:t>Executive Summary</w:t>
            </w:r>
          </w:p>
        </w:tc>
      </w:tr>
      <w:tr w:rsidR="00B668B4" w:rsidRPr="003C5DEA" w:rsidTr="00B668B4">
        <w:tc>
          <w:tcPr>
            <w:tcW w:w="9493" w:type="dxa"/>
            <w:tcBorders>
              <w:left w:val="single" w:sz="4" w:space="0" w:color="000000"/>
            </w:tcBorders>
          </w:tcPr>
          <w:p w:rsidR="00777096" w:rsidRPr="00C103CC" w:rsidRDefault="00175695" w:rsidP="00133E8A">
            <w:pPr>
              <w:jc w:val="both"/>
              <w:rPr>
                <w:sz w:val="24"/>
                <w:szCs w:val="24"/>
              </w:rPr>
            </w:pPr>
            <w:r w:rsidRPr="00E46DF2">
              <w:rPr>
                <w:sz w:val="22"/>
                <w:szCs w:val="22"/>
              </w:rPr>
              <w:t>This paper is submitted in support of the attached updated Property Asset Management Plan for 20</w:t>
            </w:r>
            <w:r w:rsidR="00133E8A">
              <w:rPr>
                <w:sz w:val="22"/>
                <w:szCs w:val="22"/>
              </w:rPr>
              <w:t>22</w:t>
            </w:r>
            <w:r w:rsidRPr="00E46DF2">
              <w:rPr>
                <w:sz w:val="22"/>
                <w:szCs w:val="22"/>
              </w:rPr>
              <w:t>.  The plan sets out our approach to property matters, supporting the objectives of the new business plan over the course of the next year and beyond</w:t>
            </w:r>
            <w:r>
              <w:rPr>
                <w:sz w:val="22"/>
                <w:szCs w:val="22"/>
              </w:rPr>
              <w:t>.</w:t>
            </w:r>
          </w:p>
        </w:tc>
      </w:tr>
    </w:tbl>
    <w:p w:rsidR="00BB64D3" w:rsidRPr="003C5DEA" w:rsidRDefault="00BB64D3"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rsidRPr="003C5DEA" w:rsidTr="00B668B4">
        <w:tc>
          <w:tcPr>
            <w:tcW w:w="9493" w:type="dxa"/>
            <w:gridSpan w:val="2"/>
            <w:tcBorders>
              <w:left w:val="single" w:sz="4" w:space="0" w:color="000000"/>
            </w:tcBorders>
            <w:shd w:val="clear" w:color="auto" w:fill="D9D9D9" w:themeFill="background1" w:themeFillShade="D9"/>
          </w:tcPr>
          <w:p w:rsidR="00B668B4" w:rsidRPr="003C5DEA" w:rsidRDefault="00B668B4" w:rsidP="00D664C5">
            <w:pPr>
              <w:rPr>
                <w:b/>
                <w:sz w:val="24"/>
                <w:szCs w:val="24"/>
              </w:rPr>
            </w:pPr>
            <w:r w:rsidRPr="003C5DEA">
              <w:rPr>
                <w:b/>
                <w:sz w:val="24"/>
                <w:szCs w:val="24"/>
              </w:rPr>
              <w:t>Previous Consideration</w:t>
            </w:r>
          </w:p>
        </w:tc>
      </w:tr>
      <w:tr w:rsidR="00B668B4" w:rsidRPr="003C5DEA" w:rsidTr="00B668B4">
        <w:tc>
          <w:tcPr>
            <w:tcW w:w="2410" w:type="dxa"/>
            <w:tcBorders>
              <w:left w:val="single" w:sz="4" w:space="0" w:color="000000"/>
            </w:tcBorders>
            <w:shd w:val="clear" w:color="auto" w:fill="D9D9D9" w:themeFill="background1" w:themeFillShade="D9"/>
          </w:tcPr>
          <w:p w:rsidR="00B668B4" w:rsidRPr="003C5DEA" w:rsidRDefault="00B668B4" w:rsidP="00D664C5">
            <w:pPr>
              <w:rPr>
                <w:b/>
                <w:sz w:val="24"/>
                <w:szCs w:val="24"/>
              </w:rPr>
            </w:pPr>
            <w:r w:rsidRPr="003C5DEA">
              <w:rPr>
                <w:b/>
                <w:sz w:val="24"/>
                <w:szCs w:val="24"/>
              </w:rPr>
              <w:t>Meeting</w:t>
            </w:r>
          </w:p>
        </w:tc>
        <w:tc>
          <w:tcPr>
            <w:tcW w:w="7083" w:type="dxa"/>
            <w:tcBorders>
              <w:left w:val="single" w:sz="4" w:space="0" w:color="000000"/>
            </w:tcBorders>
            <w:shd w:val="clear" w:color="auto" w:fill="D9D9D9" w:themeFill="background1" w:themeFillShade="D9"/>
          </w:tcPr>
          <w:p w:rsidR="00B668B4" w:rsidRPr="003C5DEA" w:rsidRDefault="00B668B4" w:rsidP="00D664C5">
            <w:pPr>
              <w:rPr>
                <w:b/>
                <w:sz w:val="24"/>
                <w:szCs w:val="24"/>
              </w:rPr>
            </w:pPr>
            <w:r w:rsidRPr="003C5DEA">
              <w:rPr>
                <w:b/>
                <w:sz w:val="24"/>
                <w:szCs w:val="24"/>
              </w:rPr>
              <w:t>Detail</w:t>
            </w:r>
          </w:p>
        </w:tc>
      </w:tr>
      <w:tr w:rsidR="00D82F86" w:rsidRPr="003C5DEA" w:rsidTr="00DE39AF">
        <w:tc>
          <w:tcPr>
            <w:tcW w:w="2410" w:type="dxa"/>
            <w:tcBorders>
              <w:left w:val="single" w:sz="4" w:space="0" w:color="000000"/>
            </w:tcBorders>
            <w:shd w:val="clear" w:color="auto" w:fill="auto"/>
          </w:tcPr>
          <w:p w:rsidR="00D82F86" w:rsidRPr="00331BF0" w:rsidRDefault="008C2E8B" w:rsidP="003C5DEA">
            <w:pPr>
              <w:spacing w:before="120" w:after="120"/>
              <w:rPr>
                <w:sz w:val="24"/>
                <w:szCs w:val="24"/>
                <w:highlight w:val="yellow"/>
              </w:rPr>
            </w:pPr>
            <w:r>
              <w:rPr>
                <w:sz w:val="24"/>
                <w:szCs w:val="24"/>
              </w:rPr>
              <w:t>Board Meeting</w:t>
            </w:r>
          </w:p>
        </w:tc>
        <w:tc>
          <w:tcPr>
            <w:tcW w:w="7083" w:type="dxa"/>
            <w:tcBorders>
              <w:left w:val="single" w:sz="4" w:space="0" w:color="000000"/>
            </w:tcBorders>
          </w:tcPr>
          <w:p w:rsidR="00F41C80" w:rsidRPr="00331BF0" w:rsidRDefault="00031261" w:rsidP="00FF4C57">
            <w:pPr>
              <w:spacing w:before="120" w:after="120"/>
              <w:rPr>
                <w:sz w:val="24"/>
                <w:szCs w:val="24"/>
                <w:highlight w:val="yellow"/>
              </w:rPr>
            </w:pPr>
            <w:r w:rsidRPr="00031261">
              <w:rPr>
                <w:sz w:val="24"/>
                <w:szCs w:val="24"/>
              </w:rPr>
              <w:t>September 2019 Update to Asset management Plan</w:t>
            </w:r>
          </w:p>
        </w:tc>
      </w:tr>
    </w:tbl>
    <w:p w:rsidR="00E93C63" w:rsidRPr="00DE249E" w:rsidRDefault="00E93C63">
      <w:pPr>
        <w:rPr>
          <w:highlight w:val="yellow"/>
        </w:rPr>
      </w:pPr>
    </w:p>
    <w:p w:rsidR="00777096" w:rsidRPr="00DE249E" w:rsidRDefault="00777096">
      <w:pPr>
        <w:rPr>
          <w:highlight w:val="yellow"/>
        </w:rPr>
      </w:pPr>
      <w:r w:rsidRPr="00DE249E">
        <w:rPr>
          <w:highlight w:val="yellow"/>
        </w:rPr>
        <w:br w:type="page"/>
      </w:r>
    </w:p>
    <w:tbl>
      <w:tblPr>
        <w:tblStyle w:val="TableGrid"/>
        <w:tblpPr w:leftFromText="180" w:rightFromText="180" w:vertAnchor="page" w:horzAnchor="margin" w:tblpY="1917"/>
        <w:tblW w:w="9493" w:type="dxa"/>
        <w:tblLook w:val="04A0" w:firstRow="1" w:lastRow="0" w:firstColumn="1" w:lastColumn="0" w:noHBand="0" w:noVBand="1"/>
      </w:tblPr>
      <w:tblGrid>
        <w:gridCol w:w="9493"/>
      </w:tblGrid>
      <w:tr w:rsidR="004B140A" w:rsidRPr="00DE249E" w:rsidTr="004B140A">
        <w:tc>
          <w:tcPr>
            <w:tcW w:w="9493" w:type="dxa"/>
            <w:shd w:val="clear" w:color="auto" w:fill="D9D9D9" w:themeFill="background1" w:themeFillShade="D9"/>
          </w:tcPr>
          <w:p w:rsidR="004B140A" w:rsidRPr="00DE249E" w:rsidRDefault="004B140A" w:rsidP="004B140A">
            <w:pPr>
              <w:rPr>
                <w:b/>
                <w:sz w:val="24"/>
                <w:szCs w:val="24"/>
                <w:highlight w:val="yellow"/>
              </w:rPr>
            </w:pPr>
            <w:r w:rsidRPr="005B73BF">
              <w:rPr>
                <w:b/>
                <w:sz w:val="24"/>
                <w:szCs w:val="24"/>
              </w:rPr>
              <w:lastRenderedPageBreak/>
              <w:t>Report</w:t>
            </w:r>
          </w:p>
        </w:tc>
      </w:tr>
    </w:tbl>
    <w:p w:rsidR="00390110" w:rsidRPr="00DE249E" w:rsidRDefault="00390110">
      <w:pPr>
        <w:rPr>
          <w:highlight w:val="yellow"/>
        </w:rPr>
      </w:pPr>
    </w:p>
    <w:p w:rsidR="00652620" w:rsidRPr="0070395C" w:rsidRDefault="00652620" w:rsidP="00652620">
      <w:pPr>
        <w:numPr>
          <w:ilvl w:val="0"/>
          <w:numId w:val="3"/>
        </w:numPr>
        <w:tabs>
          <w:tab w:val="clear" w:pos="720"/>
          <w:tab w:val="num" w:pos="567"/>
        </w:tabs>
        <w:spacing w:after="180"/>
        <w:rPr>
          <w:b/>
          <w:sz w:val="24"/>
          <w:szCs w:val="24"/>
        </w:rPr>
      </w:pPr>
      <w:r w:rsidRPr="0070395C">
        <w:rPr>
          <w:b/>
          <w:sz w:val="24"/>
          <w:szCs w:val="24"/>
        </w:rPr>
        <w:t>BACKGROUND</w:t>
      </w:r>
    </w:p>
    <w:p w:rsidR="00652620" w:rsidRPr="0070395C" w:rsidRDefault="00652620" w:rsidP="00652620">
      <w:pPr>
        <w:spacing w:after="240"/>
        <w:jc w:val="both"/>
        <w:rPr>
          <w:sz w:val="24"/>
          <w:szCs w:val="24"/>
        </w:rPr>
      </w:pPr>
      <w:r w:rsidRPr="0070395C">
        <w:rPr>
          <w:sz w:val="24"/>
          <w:szCs w:val="24"/>
        </w:rPr>
        <w:t xml:space="preserve">The attached paper is the Scottish Legal Aid Board’s updated Property Asset Management Plan. This plan provides a context for the annual Asset Management Strategy Review and is set out within a framework suggested by the Office for Government Commerce (OGC). The plan highlights the decisions made in respect of our main administration accommodation at Thistle House and all of the other properties that make up our Estate (CLAO and PDSO offices), which were supported by the Scottish Government’s Property Advice Division, Facilities and Estates Services {which includes the Scottish Futures Trust (SFT)} and our Sponsor Division. </w:t>
      </w:r>
    </w:p>
    <w:p w:rsidR="00652620" w:rsidRDefault="00652620" w:rsidP="00652620">
      <w:pPr>
        <w:jc w:val="both"/>
        <w:rPr>
          <w:sz w:val="24"/>
          <w:szCs w:val="24"/>
        </w:rPr>
      </w:pPr>
      <w:r w:rsidRPr="0070395C">
        <w:rPr>
          <w:sz w:val="24"/>
          <w:szCs w:val="24"/>
        </w:rPr>
        <w:t>We have established a clear direction of travel and priorities for property services.  A continued focus will be placed on the delivery of best value in the provision of property assets.  For our main administration headquarters at Thistle House, this will include optimising the utilisation of space, creating opportunities for future letting of available space where possible and practicable, and looking at smarter working to provide breakout and collaborative solutions for SLAB staff.  For our PDSO and CLAO offices, a focus on bringing current facilities in line with the quality of our main administration office and ensuring that suitable relocation to new premises at lease breaks (where appropriate) meet that quality level and current accessibility requirements.</w:t>
      </w:r>
    </w:p>
    <w:p w:rsidR="00085920" w:rsidRDefault="00085920" w:rsidP="00652620">
      <w:pPr>
        <w:jc w:val="both"/>
        <w:rPr>
          <w:sz w:val="24"/>
          <w:szCs w:val="24"/>
        </w:rPr>
      </w:pPr>
    </w:p>
    <w:p w:rsidR="00085920" w:rsidRPr="0070395C" w:rsidRDefault="00031261" w:rsidP="00652620">
      <w:pPr>
        <w:jc w:val="both"/>
        <w:rPr>
          <w:sz w:val="24"/>
          <w:szCs w:val="24"/>
        </w:rPr>
      </w:pPr>
      <w:r w:rsidRPr="00031261">
        <w:rPr>
          <w:sz w:val="24"/>
          <w:szCs w:val="24"/>
        </w:rPr>
        <w:t>Further consideration in terms of longer term policies and utilisation of our buildings will be made in conjunction with our Designing a New Working Environment (DANWE) Project</w:t>
      </w:r>
      <w:r>
        <w:rPr>
          <w:sz w:val="24"/>
          <w:szCs w:val="24"/>
        </w:rPr>
        <w:t xml:space="preserve"> which is currently working towards developing a new policy on hybrid working following on from the </w:t>
      </w:r>
      <w:proofErr w:type="spellStart"/>
      <w:r>
        <w:rPr>
          <w:sz w:val="24"/>
          <w:szCs w:val="24"/>
        </w:rPr>
        <w:t>Covid</w:t>
      </w:r>
      <w:proofErr w:type="spellEnd"/>
      <w:r>
        <w:rPr>
          <w:sz w:val="24"/>
          <w:szCs w:val="24"/>
        </w:rPr>
        <w:t xml:space="preserve"> pandemic and latest Scottish Government Guidance.</w:t>
      </w:r>
    </w:p>
    <w:p w:rsidR="00652620" w:rsidRPr="0070395C" w:rsidRDefault="00652620" w:rsidP="00652620">
      <w:pPr>
        <w:jc w:val="both"/>
        <w:rPr>
          <w:sz w:val="24"/>
          <w:szCs w:val="24"/>
        </w:rPr>
      </w:pPr>
    </w:p>
    <w:p w:rsidR="00652620" w:rsidRPr="0070395C" w:rsidRDefault="004273FF" w:rsidP="004273FF">
      <w:pPr>
        <w:tabs>
          <w:tab w:val="left" w:pos="709"/>
        </w:tabs>
        <w:spacing w:after="120"/>
        <w:jc w:val="both"/>
        <w:rPr>
          <w:sz w:val="24"/>
          <w:szCs w:val="24"/>
        </w:rPr>
      </w:pPr>
      <w:r w:rsidRPr="0070395C">
        <w:rPr>
          <w:b/>
          <w:sz w:val="24"/>
          <w:szCs w:val="24"/>
        </w:rPr>
        <w:t>2.</w:t>
      </w:r>
      <w:r w:rsidR="00652620" w:rsidRPr="0070395C">
        <w:rPr>
          <w:sz w:val="24"/>
          <w:szCs w:val="24"/>
        </w:rPr>
        <w:tab/>
      </w:r>
      <w:r w:rsidR="00652620" w:rsidRPr="0070395C">
        <w:rPr>
          <w:b/>
          <w:sz w:val="24"/>
          <w:szCs w:val="24"/>
        </w:rPr>
        <w:t>SUMMARY OF THE PLAN</w:t>
      </w:r>
    </w:p>
    <w:p w:rsidR="00652620" w:rsidRPr="0070395C" w:rsidRDefault="00652620" w:rsidP="00652620">
      <w:pPr>
        <w:spacing w:after="120"/>
        <w:jc w:val="both"/>
        <w:rPr>
          <w:sz w:val="24"/>
          <w:szCs w:val="24"/>
        </w:rPr>
      </w:pPr>
      <w:r w:rsidRPr="0070395C">
        <w:rPr>
          <w:sz w:val="24"/>
          <w:szCs w:val="24"/>
        </w:rPr>
        <w:t>In summary, the key elements of the plan are:</w:t>
      </w:r>
    </w:p>
    <w:p w:rsidR="00652620" w:rsidRPr="0070395C" w:rsidRDefault="00652620" w:rsidP="004273FF">
      <w:pPr>
        <w:numPr>
          <w:ilvl w:val="0"/>
          <w:numId w:val="4"/>
        </w:numPr>
        <w:tabs>
          <w:tab w:val="clear" w:pos="1004"/>
          <w:tab w:val="num" w:pos="284"/>
        </w:tabs>
        <w:spacing w:after="120"/>
        <w:ind w:left="284"/>
        <w:jc w:val="both"/>
        <w:rPr>
          <w:sz w:val="24"/>
          <w:szCs w:val="24"/>
        </w:rPr>
      </w:pPr>
      <w:r w:rsidRPr="0070395C">
        <w:rPr>
          <w:sz w:val="24"/>
          <w:szCs w:val="24"/>
        </w:rPr>
        <w:t>a description of SLAB’s main property asset holdings; including the size, locations, rental, tenure, and lease expiry;</w:t>
      </w:r>
    </w:p>
    <w:p w:rsidR="00652620" w:rsidRPr="0070395C" w:rsidRDefault="00652620" w:rsidP="004273FF">
      <w:pPr>
        <w:numPr>
          <w:ilvl w:val="0"/>
          <w:numId w:val="4"/>
        </w:numPr>
        <w:tabs>
          <w:tab w:val="clear" w:pos="1004"/>
          <w:tab w:val="num" w:pos="284"/>
        </w:tabs>
        <w:spacing w:after="120"/>
        <w:ind w:left="284"/>
        <w:jc w:val="both"/>
        <w:rPr>
          <w:sz w:val="24"/>
          <w:szCs w:val="24"/>
        </w:rPr>
      </w:pPr>
      <w:r w:rsidRPr="0070395C">
        <w:rPr>
          <w:sz w:val="24"/>
          <w:szCs w:val="24"/>
        </w:rPr>
        <w:t>an exposition of SLAB’s plans in relation to each of its main property holdings, including:</w:t>
      </w:r>
    </w:p>
    <w:p w:rsidR="00652620" w:rsidRPr="0070395C" w:rsidRDefault="00652620" w:rsidP="004273FF">
      <w:pPr>
        <w:numPr>
          <w:ilvl w:val="1"/>
          <w:numId w:val="5"/>
        </w:numPr>
        <w:tabs>
          <w:tab w:val="clear" w:pos="2160"/>
          <w:tab w:val="num" w:pos="284"/>
          <w:tab w:val="num" w:pos="567"/>
        </w:tabs>
        <w:spacing w:after="240"/>
        <w:ind w:left="567" w:hanging="567"/>
        <w:jc w:val="both"/>
        <w:rPr>
          <w:sz w:val="24"/>
          <w:szCs w:val="24"/>
        </w:rPr>
      </w:pPr>
      <w:r w:rsidRPr="0070395C">
        <w:rPr>
          <w:sz w:val="24"/>
          <w:szCs w:val="24"/>
        </w:rPr>
        <w:t>ongoing planning and smarter working for our offices at Thistle House, 91 Haymarket Terrace, Edinburgh</w:t>
      </w:r>
    </w:p>
    <w:p w:rsidR="00652620" w:rsidRPr="0070395C" w:rsidRDefault="004154F4" w:rsidP="004273FF">
      <w:pPr>
        <w:numPr>
          <w:ilvl w:val="1"/>
          <w:numId w:val="5"/>
        </w:numPr>
        <w:tabs>
          <w:tab w:val="clear" w:pos="2160"/>
          <w:tab w:val="num" w:pos="284"/>
          <w:tab w:val="num" w:pos="567"/>
        </w:tabs>
        <w:spacing w:after="120"/>
        <w:ind w:left="567" w:hanging="567"/>
        <w:jc w:val="both"/>
        <w:rPr>
          <w:sz w:val="24"/>
          <w:szCs w:val="24"/>
        </w:rPr>
      </w:pPr>
      <w:r w:rsidRPr="0070395C">
        <w:rPr>
          <w:sz w:val="24"/>
          <w:szCs w:val="24"/>
        </w:rPr>
        <w:t>ongoing</w:t>
      </w:r>
      <w:r w:rsidR="00652620" w:rsidRPr="0070395C">
        <w:rPr>
          <w:sz w:val="24"/>
          <w:szCs w:val="24"/>
        </w:rPr>
        <w:t xml:space="preserve"> review of how changing technology and working practices, impact on our property strategies and relocation plans for CLAO and PDSO</w:t>
      </w:r>
    </w:p>
    <w:p w:rsidR="00652620" w:rsidRPr="0070395C" w:rsidRDefault="00652620" w:rsidP="004273FF">
      <w:pPr>
        <w:numPr>
          <w:ilvl w:val="1"/>
          <w:numId w:val="5"/>
        </w:numPr>
        <w:tabs>
          <w:tab w:val="clear" w:pos="2160"/>
          <w:tab w:val="num" w:pos="284"/>
        </w:tabs>
        <w:spacing w:after="120"/>
        <w:ind w:left="568" w:hanging="568"/>
        <w:jc w:val="both"/>
        <w:rPr>
          <w:sz w:val="24"/>
          <w:szCs w:val="24"/>
        </w:rPr>
      </w:pPr>
      <w:r w:rsidRPr="0070395C">
        <w:rPr>
          <w:sz w:val="24"/>
          <w:szCs w:val="24"/>
        </w:rPr>
        <w:t>a readiness to react with value for money solutions to any property implications as part of our ongoing review of our PDSO and CLAO property portfolio</w:t>
      </w:r>
    </w:p>
    <w:p w:rsidR="00652620" w:rsidRPr="0070395C" w:rsidRDefault="00652620" w:rsidP="004273FF">
      <w:pPr>
        <w:numPr>
          <w:ilvl w:val="1"/>
          <w:numId w:val="5"/>
        </w:numPr>
        <w:tabs>
          <w:tab w:val="clear" w:pos="2160"/>
          <w:tab w:val="num" w:pos="284"/>
          <w:tab w:val="num" w:pos="567"/>
        </w:tabs>
        <w:spacing w:after="120"/>
        <w:ind w:left="568" w:hanging="568"/>
        <w:jc w:val="both"/>
        <w:rPr>
          <w:sz w:val="24"/>
          <w:szCs w:val="24"/>
        </w:rPr>
      </w:pPr>
      <w:r w:rsidRPr="0070395C">
        <w:rPr>
          <w:sz w:val="24"/>
          <w:szCs w:val="24"/>
        </w:rPr>
        <w:t>the underpinning of the plan with themes of accessibility, sustainability and biodiversity</w:t>
      </w:r>
    </w:p>
    <w:p w:rsidR="00652620" w:rsidRPr="0070395C" w:rsidRDefault="00652620" w:rsidP="004273FF">
      <w:pPr>
        <w:numPr>
          <w:ilvl w:val="0"/>
          <w:numId w:val="4"/>
        </w:numPr>
        <w:tabs>
          <w:tab w:val="clear" w:pos="1004"/>
          <w:tab w:val="num" w:pos="284"/>
        </w:tabs>
        <w:spacing w:after="120"/>
        <w:ind w:left="284"/>
        <w:jc w:val="both"/>
        <w:rPr>
          <w:sz w:val="24"/>
          <w:szCs w:val="24"/>
        </w:rPr>
      </w:pPr>
      <w:r w:rsidRPr="0070395C">
        <w:rPr>
          <w:sz w:val="24"/>
          <w:szCs w:val="24"/>
        </w:rPr>
        <w:t xml:space="preserve">a description of the roles and responsibilities governing the use and management of property in SLAB; and </w:t>
      </w:r>
    </w:p>
    <w:p w:rsidR="00652620" w:rsidRPr="0070395C" w:rsidRDefault="00652620" w:rsidP="004273FF">
      <w:pPr>
        <w:numPr>
          <w:ilvl w:val="0"/>
          <w:numId w:val="4"/>
        </w:numPr>
        <w:tabs>
          <w:tab w:val="clear" w:pos="1004"/>
          <w:tab w:val="num" w:pos="284"/>
        </w:tabs>
        <w:spacing w:after="120"/>
        <w:ind w:left="284"/>
        <w:jc w:val="both"/>
        <w:rPr>
          <w:sz w:val="24"/>
          <w:szCs w:val="24"/>
        </w:rPr>
      </w:pPr>
      <w:r w:rsidRPr="0070395C">
        <w:rPr>
          <w:sz w:val="24"/>
          <w:szCs w:val="24"/>
        </w:rPr>
        <w:lastRenderedPageBreak/>
        <w:t>ongoing review of the arrangements for the evaluation of the performance of the whole estate and of property management practices.</w:t>
      </w:r>
    </w:p>
    <w:p w:rsidR="00652620" w:rsidRPr="0070395C" w:rsidRDefault="00652620" w:rsidP="004273FF">
      <w:pPr>
        <w:numPr>
          <w:ilvl w:val="0"/>
          <w:numId w:val="4"/>
        </w:numPr>
        <w:tabs>
          <w:tab w:val="clear" w:pos="1004"/>
          <w:tab w:val="num" w:pos="284"/>
        </w:tabs>
        <w:spacing w:after="120"/>
        <w:ind w:left="284"/>
        <w:jc w:val="both"/>
        <w:rPr>
          <w:sz w:val="24"/>
          <w:szCs w:val="24"/>
        </w:rPr>
      </w:pPr>
      <w:r w:rsidRPr="0070395C">
        <w:rPr>
          <w:sz w:val="24"/>
          <w:szCs w:val="24"/>
        </w:rPr>
        <w:t xml:space="preserve">SLAB’s carbon management plan which replaced the one based on </w:t>
      </w:r>
      <w:proofErr w:type="spellStart"/>
      <w:r w:rsidRPr="0070395C">
        <w:rPr>
          <w:sz w:val="24"/>
          <w:szCs w:val="24"/>
        </w:rPr>
        <w:t>Drumsheugh</w:t>
      </w:r>
      <w:proofErr w:type="spellEnd"/>
      <w:r w:rsidRPr="0070395C">
        <w:rPr>
          <w:sz w:val="24"/>
          <w:szCs w:val="24"/>
        </w:rPr>
        <w:t xml:space="preserve"> Gardens. We have now concluded the </w:t>
      </w:r>
      <w:r w:rsidR="00DB082C">
        <w:rPr>
          <w:sz w:val="24"/>
          <w:szCs w:val="24"/>
        </w:rPr>
        <w:t xml:space="preserve">fifth </w:t>
      </w:r>
      <w:r w:rsidRPr="0070395C">
        <w:rPr>
          <w:sz w:val="24"/>
          <w:szCs w:val="24"/>
        </w:rPr>
        <w:t>year where we can compare with our established baseline.</w:t>
      </w:r>
    </w:p>
    <w:p w:rsidR="00652620" w:rsidRPr="0070395C" w:rsidRDefault="00652620" w:rsidP="00652620">
      <w:pPr>
        <w:jc w:val="both"/>
        <w:rPr>
          <w:sz w:val="24"/>
          <w:szCs w:val="24"/>
        </w:rPr>
      </w:pPr>
      <w:r w:rsidRPr="0070395C">
        <w:rPr>
          <w:sz w:val="24"/>
          <w:szCs w:val="24"/>
        </w:rPr>
        <w:t>Members should note that any new leases</w:t>
      </w:r>
      <w:r w:rsidR="00DB082C">
        <w:rPr>
          <w:sz w:val="24"/>
          <w:szCs w:val="24"/>
        </w:rPr>
        <w:t>, or continuation of expired lease (tacit relocation)</w:t>
      </w:r>
      <w:r w:rsidRPr="0070395C">
        <w:rPr>
          <w:sz w:val="24"/>
          <w:szCs w:val="24"/>
        </w:rPr>
        <w:t xml:space="preserve"> will be the subject of detailed business cases which require comprehensive analysis</w:t>
      </w:r>
      <w:r w:rsidR="00277E4C" w:rsidRPr="0070395C">
        <w:rPr>
          <w:sz w:val="24"/>
          <w:szCs w:val="24"/>
        </w:rPr>
        <w:t xml:space="preserve">. </w:t>
      </w:r>
      <w:r w:rsidRPr="0070395C">
        <w:rPr>
          <w:sz w:val="24"/>
          <w:szCs w:val="24"/>
        </w:rPr>
        <w:t xml:space="preserve">The business case requires a chain of approval including Sponsor, SG Property (in conjunction with Scottish Futures Trust – SFT) then approval by SLAB’s Minister and finally approval by </w:t>
      </w:r>
      <w:r w:rsidR="00B12D33" w:rsidRPr="00B12D33">
        <w:rPr>
          <w:sz w:val="24"/>
          <w:szCs w:val="24"/>
        </w:rPr>
        <w:t>Minister for Public Finance, Planning and Community Wealth</w:t>
      </w:r>
      <w:r w:rsidRPr="0070395C">
        <w:rPr>
          <w:sz w:val="24"/>
          <w:szCs w:val="24"/>
        </w:rPr>
        <w:t>. This can be a lengthy process which requires significant advanced planning. The final decision on all leases or purchases of property rests with the Scottish Government.</w:t>
      </w:r>
    </w:p>
    <w:p w:rsidR="00277E4C" w:rsidRPr="0070395C" w:rsidRDefault="00277E4C" w:rsidP="00652620">
      <w:pPr>
        <w:jc w:val="both"/>
        <w:rPr>
          <w:sz w:val="24"/>
          <w:szCs w:val="24"/>
        </w:rPr>
      </w:pPr>
    </w:p>
    <w:p w:rsidR="00652620" w:rsidRPr="0070395C" w:rsidRDefault="00652620" w:rsidP="004273FF">
      <w:pPr>
        <w:pStyle w:val="ListParagraph"/>
        <w:numPr>
          <w:ilvl w:val="0"/>
          <w:numId w:val="17"/>
        </w:numPr>
        <w:spacing w:after="240"/>
        <w:ind w:hanging="720"/>
        <w:jc w:val="both"/>
        <w:rPr>
          <w:sz w:val="24"/>
          <w:szCs w:val="24"/>
        </w:rPr>
      </w:pPr>
      <w:r w:rsidRPr="0070395C">
        <w:rPr>
          <w:b/>
          <w:sz w:val="24"/>
          <w:szCs w:val="24"/>
        </w:rPr>
        <w:t>THISTLE HOUSE</w:t>
      </w:r>
    </w:p>
    <w:p w:rsidR="00652620" w:rsidRPr="005B5AC0" w:rsidRDefault="00652620" w:rsidP="00652620">
      <w:pPr>
        <w:jc w:val="both"/>
        <w:rPr>
          <w:sz w:val="24"/>
          <w:szCs w:val="24"/>
        </w:rPr>
      </w:pPr>
      <w:r w:rsidRPr="0070395C">
        <w:rPr>
          <w:sz w:val="24"/>
          <w:szCs w:val="24"/>
        </w:rPr>
        <w:t xml:space="preserve">We have now been in Thistle House since January 2015. Our focus is firmly on how we continue to develop the property for the mutual benefit of both staff and the </w:t>
      </w:r>
      <w:r w:rsidRPr="005B5AC0">
        <w:rPr>
          <w:sz w:val="24"/>
          <w:szCs w:val="24"/>
        </w:rPr>
        <w:t>organisation. Thistle House running costs, and facilities costs in general is one of the largest outside of staffing numbers and therefore it is vital that these are managed both in terms of cost and environmental efficiencies</w:t>
      </w:r>
      <w:r w:rsidR="00F602D5" w:rsidRPr="005B5AC0">
        <w:rPr>
          <w:sz w:val="24"/>
          <w:szCs w:val="24"/>
        </w:rPr>
        <w:t xml:space="preserve"> and this should be reflected in policy decisions from the DANWE project</w:t>
      </w:r>
      <w:r w:rsidRPr="005B5AC0">
        <w:rPr>
          <w:sz w:val="24"/>
          <w:szCs w:val="24"/>
        </w:rPr>
        <w:t xml:space="preserve">.  </w:t>
      </w:r>
    </w:p>
    <w:p w:rsidR="00652620" w:rsidRPr="005B5AC0" w:rsidRDefault="00652620" w:rsidP="00652620">
      <w:pPr>
        <w:jc w:val="both"/>
        <w:rPr>
          <w:sz w:val="24"/>
          <w:szCs w:val="24"/>
        </w:rPr>
      </w:pPr>
    </w:p>
    <w:p w:rsidR="00652620" w:rsidRPr="005B5AC0" w:rsidRDefault="005B5AC0" w:rsidP="004273FF">
      <w:pPr>
        <w:ind w:left="1080"/>
        <w:jc w:val="both"/>
        <w:rPr>
          <w:b/>
          <w:sz w:val="24"/>
          <w:szCs w:val="24"/>
        </w:rPr>
      </w:pPr>
      <w:r w:rsidRPr="005B5AC0">
        <w:rPr>
          <w:b/>
          <w:sz w:val="24"/>
          <w:szCs w:val="24"/>
        </w:rPr>
        <w:t>Key Developments / issues from mid-2019 to date</w:t>
      </w:r>
    </w:p>
    <w:p w:rsidR="00652620" w:rsidRPr="005B5AC0" w:rsidRDefault="00652620" w:rsidP="00652620">
      <w:pPr>
        <w:jc w:val="both"/>
        <w:rPr>
          <w:sz w:val="24"/>
          <w:szCs w:val="24"/>
        </w:rPr>
      </w:pPr>
    </w:p>
    <w:p w:rsidR="00EC67C6" w:rsidRPr="009B74BE" w:rsidRDefault="00652620" w:rsidP="00EC67C6">
      <w:pPr>
        <w:numPr>
          <w:ilvl w:val="0"/>
          <w:numId w:val="13"/>
        </w:numPr>
        <w:jc w:val="both"/>
        <w:rPr>
          <w:sz w:val="22"/>
          <w:szCs w:val="22"/>
        </w:rPr>
      </w:pPr>
      <w:r w:rsidRPr="005B5AC0">
        <w:rPr>
          <w:sz w:val="24"/>
          <w:szCs w:val="24"/>
        </w:rPr>
        <w:t>A significant amount of time resource and cost has gone into</w:t>
      </w:r>
      <w:r w:rsidR="005B5AC0" w:rsidRPr="005B5AC0">
        <w:rPr>
          <w:sz w:val="24"/>
          <w:szCs w:val="24"/>
        </w:rPr>
        <w:t xml:space="preserve"> the continued upgrading and </w:t>
      </w:r>
      <w:r w:rsidRPr="005B5AC0">
        <w:rPr>
          <w:sz w:val="24"/>
          <w:szCs w:val="24"/>
        </w:rPr>
        <w:t>maintenance</w:t>
      </w:r>
      <w:r w:rsidR="005B5AC0" w:rsidRPr="005B5AC0">
        <w:rPr>
          <w:sz w:val="24"/>
          <w:szCs w:val="24"/>
        </w:rPr>
        <w:t xml:space="preserve"> of Thistle House since the last plan and report was issued.</w:t>
      </w:r>
      <w:r w:rsidRPr="005B5AC0">
        <w:rPr>
          <w:sz w:val="24"/>
          <w:szCs w:val="24"/>
        </w:rPr>
        <w:t xml:space="preserve"> </w:t>
      </w:r>
      <w:r w:rsidR="005B5AC0" w:rsidRPr="005B5AC0">
        <w:rPr>
          <w:sz w:val="24"/>
          <w:szCs w:val="24"/>
        </w:rPr>
        <w:t xml:space="preserve"> As</w:t>
      </w:r>
      <w:r w:rsidRPr="005B5AC0">
        <w:rPr>
          <w:sz w:val="24"/>
          <w:szCs w:val="24"/>
        </w:rPr>
        <w:t xml:space="preserve"> highlighted in previous plans, many of the issues </w:t>
      </w:r>
      <w:r w:rsidR="005B5AC0" w:rsidRPr="005B5AC0">
        <w:rPr>
          <w:sz w:val="24"/>
          <w:szCs w:val="24"/>
        </w:rPr>
        <w:t xml:space="preserve">had </w:t>
      </w:r>
      <w:r w:rsidRPr="005B5AC0">
        <w:rPr>
          <w:sz w:val="24"/>
          <w:szCs w:val="24"/>
        </w:rPr>
        <w:t>stem</w:t>
      </w:r>
      <w:r w:rsidR="005B5AC0" w:rsidRPr="005B5AC0">
        <w:rPr>
          <w:sz w:val="24"/>
          <w:szCs w:val="24"/>
        </w:rPr>
        <w:t>med</w:t>
      </w:r>
      <w:r w:rsidRPr="005B5AC0">
        <w:rPr>
          <w:sz w:val="24"/>
          <w:szCs w:val="24"/>
        </w:rPr>
        <w:t xml:space="preserve"> from po</w:t>
      </w:r>
      <w:r w:rsidR="005B5AC0" w:rsidRPr="005B5AC0">
        <w:rPr>
          <w:sz w:val="24"/>
          <w:szCs w:val="24"/>
        </w:rPr>
        <w:t>or installation and maintenance; however w</w:t>
      </w:r>
      <w:r w:rsidRPr="005B5AC0">
        <w:rPr>
          <w:sz w:val="24"/>
          <w:szCs w:val="24"/>
        </w:rPr>
        <w:t xml:space="preserve">ith the further work undertaken </w:t>
      </w:r>
      <w:r w:rsidR="005B5AC0" w:rsidRPr="005B5AC0">
        <w:rPr>
          <w:sz w:val="24"/>
          <w:szCs w:val="24"/>
        </w:rPr>
        <w:t xml:space="preserve">prior to the </w:t>
      </w:r>
      <w:proofErr w:type="spellStart"/>
      <w:r w:rsidR="005B5AC0" w:rsidRPr="005B5AC0">
        <w:rPr>
          <w:sz w:val="24"/>
          <w:szCs w:val="24"/>
        </w:rPr>
        <w:t>covid</w:t>
      </w:r>
      <w:proofErr w:type="spellEnd"/>
      <w:r w:rsidR="005B5AC0" w:rsidRPr="005B5AC0">
        <w:rPr>
          <w:sz w:val="24"/>
          <w:szCs w:val="24"/>
        </w:rPr>
        <w:t xml:space="preserve"> lockdown </w:t>
      </w:r>
      <w:r w:rsidRPr="005B5AC0">
        <w:rPr>
          <w:sz w:val="24"/>
          <w:szCs w:val="24"/>
        </w:rPr>
        <w:t xml:space="preserve">the building is in a more stable condition; however due to ongoing Health and Safety issues </w:t>
      </w:r>
      <w:r w:rsidR="005B5AC0" w:rsidRPr="005B5AC0">
        <w:rPr>
          <w:sz w:val="24"/>
          <w:szCs w:val="24"/>
        </w:rPr>
        <w:t xml:space="preserve">there was </w:t>
      </w:r>
      <w:r w:rsidRPr="005B5AC0">
        <w:rPr>
          <w:sz w:val="24"/>
          <w:szCs w:val="24"/>
        </w:rPr>
        <w:t xml:space="preserve">a need to improve toilet facilities </w:t>
      </w:r>
      <w:r w:rsidR="005B5AC0" w:rsidRPr="005B5AC0">
        <w:rPr>
          <w:sz w:val="24"/>
          <w:szCs w:val="24"/>
        </w:rPr>
        <w:t xml:space="preserve">which were completed along with the earlier </w:t>
      </w:r>
      <w:r w:rsidRPr="005B5AC0">
        <w:rPr>
          <w:sz w:val="24"/>
          <w:szCs w:val="24"/>
        </w:rPr>
        <w:t>refurbishment of our “restroom” facilities</w:t>
      </w:r>
      <w:r w:rsidR="005B5AC0">
        <w:rPr>
          <w:sz w:val="24"/>
          <w:szCs w:val="24"/>
        </w:rPr>
        <w:t xml:space="preserve">. Also commenced prior to lockdown but completed during lockdown was the refurbishment of our lifts. Following the appointment of a consultant, the lifts were replaced including new cars and all the gear to operate the lifts. Final signage, braille information and final detailing was completed in 2020. Finally, our showers were dated and insufficient for the numbers of staff and tenants requirements. Showers have been replaced and the addition of a disabled shower added. Again </w:t>
      </w:r>
      <w:r w:rsidR="005B5AC0" w:rsidRPr="009B74BE">
        <w:rPr>
          <w:sz w:val="24"/>
          <w:szCs w:val="24"/>
        </w:rPr>
        <w:t xml:space="preserve">these were completed during the 2020 lockdown. Our Solicitor Contact Line (SCL) vacated their basement office and are now currently all working from home allowing the opportunity to let the space out to a new or existing tenant. We let the space out in 2021 to </w:t>
      </w:r>
      <w:r w:rsidR="00EC67C6" w:rsidRPr="009B74BE">
        <w:rPr>
          <w:sz w:val="22"/>
          <w:szCs w:val="22"/>
        </w:rPr>
        <w:t>Environmental Standards Scotland (ESS) adding further income to our overall budget position.</w:t>
      </w:r>
    </w:p>
    <w:p w:rsidR="00684F8F" w:rsidRPr="009B74BE" w:rsidRDefault="008E10A6" w:rsidP="004273FF">
      <w:pPr>
        <w:numPr>
          <w:ilvl w:val="0"/>
          <w:numId w:val="6"/>
        </w:numPr>
        <w:spacing w:before="100" w:beforeAutospacing="1" w:after="100" w:afterAutospacing="1"/>
        <w:jc w:val="both"/>
        <w:rPr>
          <w:sz w:val="24"/>
          <w:szCs w:val="24"/>
          <w:lang w:eastAsia="en-GB"/>
        </w:rPr>
      </w:pPr>
      <w:r w:rsidRPr="009B74BE">
        <w:rPr>
          <w:sz w:val="24"/>
          <w:szCs w:val="24"/>
          <w:lang w:eastAsia="en-GB"/>
        </w:rPr>
        <w:t xml:space="preserve">With the event of the pandemic, </w:t>
      </w:r>
      <w:r w:rsidR="00652620" w:rsidRPr="009B74BE">
        <w:rPr>
          <w:sz w:val="24"/>
          <w:szCs w:val="24"/>
          <w:lang w:eastAsia="en-GB"/>
        </w:rPr>
        <w:t>Flexible homeworking has now been put on a business as usual footing by the</w:t>
      </w:r>
      <w:r w:rsidRPr="009B74BE">
        <w:rPr>
          <w:sz w:val="24"/>
          <w:szCs w:val="24"/>
          <w:lang w:eastAsia="en-GB"/>
        </w:rPr>
        <w:t xml:space="preserve"> introduction of laptops, other equipment including folding desks, office chairs and headsets all delivered out and arranged by Facilities and IS</w:t>
      </w:r>
      <w:r w:rsidR="00684F8F" w:rsidRPr="009B74BE">
        <w:rPr>
          <w:sz w:val="24"/>
          <w:szCs w:val="24"/>
          <w:lang w:eastAsia="en-GB"/>
        </w:rPr>
        <w:t>, providing an excellent basis for long term homeworking. This was further enabled by the introduction</w:t>
      </w:r>
      <w:r w:rsidR="00684F8F">
        <w:rPr>
          <w:sz w:val="24"/>
          <w:szCs w:val="24"/>
          <w:lang w:eastAsia="en-GB"/>
        </w:rPr>
        <w:t xml:space="preserve"> of Microsoft Teams and the telephony </w:t>
      </w:r>
      <w:r w:rsidR="00684F8F" w:rsidRPr="00684F8F">
        <w:rPr>
          <w:sz w:val="24"/>
          <w:szCs w:val="24"/>
          <w:lang w:eastAsia="en-GB"/>
        </w:rPr>
        <w:lastRenderedPageBreak/>
        <w:t xml:space="preserve">solutions all rolled out in 2021. This now allows the Executive Team time to consider and develop a hybrid working policy which is being developed and managed through the DANWE Project Board which during the pandemic has been a key project </w:t>
      </w:r>
      <w:r w:rsidR="00684F8F">
        <w:rPr>
          <w:sz w:val="24"/>
          <w:szCs w:val="24"/>
          <w:lang w:eastAsia="en-GB"/>
        </w:rPr>
        <w:t xml:space="preserve">in earlier phases </w:t>
      </w:r>
      <w:r w:rsidR="00684F8F" w:rsidRPr="00684F8F">
        <w:rPr>
          <w:sz w:val="24"/>
          <w:szCs w:val="24"/>
          <w:lang w:eastAsia="en-GB"/>
        </w:rPr>
        <w:t xml:space="preserve">to ensuring that SLAB achieved all health and </w:t>
      </w:r>
      <w:r w:rsidR="00684F8F" w:rsidRPr="009B74BE">
        <w:rPr>
          <w:sz w:val="24"/>
          <w:szCs w:val="24"/>
          <w:lang w:eastAsia="en-GB"/>
        </w:rPr>
        <w:t>safety requirements, applied Scottish Government guidance and provided a safe environment for staff who had to attend offices all across our network.</w:t>
      </w:r>
    </w:p>
    <w:p w:rsidR="00652620" w:rsidRPr="009B74BE" w:rsidRDefault="00652620" w:rsidP="004273FF">
      <w:pPr>
        <w:numPr>
          <w:ilvl w:val="0"/>
          <w:numId w:val="6"/>
        </w:numPr>
        <w:spacing w:before="100" w:beforeAutospacing="1" w:after="100" w:afterAutospacing="1"/>
        <w:jc w:val="both"/>
        <w:rPr>
          <w:sz w:val="24"/>
          <w:szCs w:val="24"/>
          <w:lang w:eastAsia="en-GB"/>
        </w:rPr>
      </w:pPr>
      <w:r w:rsidRPr="009B74BE">
        <w:rPr>
          <w:sz w:val="24"/>
          <w:szCs w:val="24"/>
          <w:lang w:eastAsia="en-GB"/>
        </w:rPr>
        <w:t xml:space="preserve"> </w:t>
      </w:r>
      <w:r w:rsidR="00684F8F" w:rsidRPr="009B74BE">
        <w:rPr>
          <w:sz w:val="24"/>
          <w:szCs w:val="24"/>
          <w:lang w:eastAsia="en-GB"/>
        </w:rPr>
        <w:t xml:space="preserve">Many temporary changes were introduced across all offices to meet </w:t>
      </w:r>
      <w:proofErr w:type="spellStart"/>
      <w:r w:rsidR="00684F8F" w:rsidRPr="009B74BE">
        <w:rPr>
          <w:sz w:val="24"/>
          <w:szCs w:val="24"/>
          <w:lang w:eastAsia="en-GB"/>
        </w:rPr>
        <w:t>covid</w:t>
      </w:r>
      <w:proofErr w:type="spellEnd"/>
      <w:r w:rsidR="00684F8F" w:rsidRPr="009B74BE">
        <w:rPr>
          <w:sz w:val="24"/>
          <w:szCs w:val="24"/>
          <w:lang w:eastAsia="en-GB"/>
        </w:rPr>
        <w:t xml:space="preserve"> restrictions and guidance including signage, floor markings and full health and Safety risk assessments. Facilities have also commenced changes to the 2</w:t>
      </w:r>
      <w:r w:rsidR="00684F8F" w:rsidRPr="009B74BE">
        <w:rPr>
          <w:sz w:val="24"/>
          <w:szCs w:val="24"/>
          <w:vertAlign w:val="superscript"/>
          <w:lang w:eastAsia="en-GB"/>
        </w:rPr>
        <w:t>nd</w:t>
      </w:r>
      <w:r w:rsidR="00684F8F" w:rsidRPr="009B74BE">
        <w:rPr>
          <w:sz w:val="24"/>
          <w:szCs w:val="24"/>
          <w:lang w:eastAsia="en-GB"/>
        </w:rPr>
        <w:t xml:space="preserve"> floor to incorporate sit / stand </w:t>
      </w:r>
      <w:proofErr w:type="spellStart"/>
      <w:r w:rsidR="00684F8F" w:rsidRPr="009B74BE">
        <w:rPr>
          <w:sz w:val="24"/>
          <w:szCs w:val="24"/>
          <w:lang w:eastAsia="en-GB"/>
        </w:rPr>
        <w:t>desking</w:t>
      </w:r>
      <w:proofErr w:type="spellEnd"/>
      <w:r w:rsidR="00684F8F" w:rsidRPr="009B74BE">
        <w:rPr>
          <w:sz w:val="24"/>
          <w:szCs w:val="24"/>
          <w:lang w:eastAsia="en-GB"/>
        </w:rPr>
        <w:t xml:space="preserve">, removing </w:t>
      </w:r>
      <w:r w:rsidR="009B74BE" w:rsidRPr="009B74BE">
        <w:rPr>
          <w:sz w:val="24"/>
          <w:szCs w:val="24"/>
          <w:lang w:eastAsia="en-GB"/>
        </w:rPr>
        <w:t>pedestals</w:t>
      </w:r>
      <w:r w:rsidR="00684F8F" w:rsidRPr="009B74BE">
        <w:rPr>
          <w:sz w:val="24"/>
          <w:szCs w:val="24"/>
          <w:lang w:eastAsia="en-GB"/>
        </w:rPr>
        <w:t xml:space="preserve"> and procur</w:t>
      </w:r>
      <w:r w:rsidR="009B74BE">
        <w:rPr>
          <w:sz w:val="24"/>
          <w:szCs w:val="24"/>
          <w:lang w:eastAsia="en-GB"/>
        </w:rPr>
        <w:t>ing</w:t>
      </w:r>
      <w:r w:rsidR="00684F8F" w:rsidRPr="009B74BE">
        <w:rPr>
          <w:sz w:val="24"/>
          <w:szCs w:val="24"/>
          <w:lang w:eastAsia="en-GB"/>
        </w:rPr>
        <w:t xml:space="preserve"> lockers to accommodate a return to the office for a limited number of staff. This work continues and will aim to support the outcomes of hybrid working and a move away from the traditional </w:t>
      </w:r>
      <w:proofErr w:type="spellStart"/>
      <w:r w:rsidR="00684F8F" w:rsidRPr="009B74BE">
        <w:rPr>
          <w:sz w:val="24"/>
          <w:szCs w:val="24"/>
          <w:lang w:eastAsia="en-GB"/>
        </w:rPr>
        <w:t>desking</w:t>
      </w:r>
      <w:proofErr w:type="spellEnd"/>
      <w:r w:rsidR="00684F8F" w:rsidRPr="009B74BE">
        <w:rPr>
          <w:sz w:val="24"/>
          <w:szCs w:val="24"/>
          <w:lang w:eastAsia="en-GB"/>
        </w:rPr>
        <w:t xml:space="preserve"> to a more flexible approach to attending the office for </w:t>
      </w:r>
      <w:r w:rsidR="009B74BE" w:rsidRPr="009B74BE">
        <w:rPr>
          <w:sz w:val="24"/>
          <w:szCs w:val="24"/>
          <w:lang w:eastAsia="en-GB"/>
        </w:rPr>
        <w:t>such things as collaborative</w:t>
      </w:r>
      <w:r w:rsidR="00684F8F" w:rsidRPr="009B74BE">
        <w:rPr>
          <w:sz w:val="24"/>
          <w:szCs w:val="24"/>
          <w:lang w:eastAsia="en-GB"/>
        </w:rPr>
        <w:t xml:space="preserve"> working</w:t>
      </w:r>
      <w:r w:rsidR="009B74BE" w:rsidRPr="009B74BE">
        <w:rPr>
          <w:sz w:val="24"/>
          <w:szCs w:val="24"/>
          <w:lang w:eastAsia="en-GB"/>
        </w:rPr>
        <w:t>.</w:t>
      </w:r>
      <w:r w:rsidR="00684F8F" w:rsidRPr="009B74BE">
        <w:rPr>
          <w:sz w:val="24"/>
          <w:szCs w:val="24"/>
          <w:lang w:eastAsia="en-GB"/>
        </w:rPr>
        <w:t xml:space="preserve"> </w:t>
      </w:r>
    </w:p>
    <w:p w:rsidR="008E10A6" w:rsidRPr="008E10A6" w:rsidRDefault="00652620" w:rsidP="004273FF">
      <w:pPr>
        <w:numPr>
          <w:ilvl w:val="0"/>
          <w:numId w:val="6"/>
        </w:numPr>
        <w:spacing w:before="100" w:beforeAutospacing="1" w:after="100" w:afterAutospacing="1"/>
        <w:jc w:val="both"/>
        <w:rPr>
          <w:sz w:val="24"/>
          <w:szCs w:val="24"/>
          <w:lang w:eastAsia="en-GB"/>
        </w:rPr>
      </w:pPr>
      <w:r w:rsidRPr="008E10A6">
        <w:rPr>
          <w:sz w:val="24"/>
          <w:szCs w:val="24"/>
          <w:lang w:eastAsia="en-GB"/>
        </w:rPr>
        <w:t xml:space="preserve">We continue to work with our tenants, and in </w:t>
      </w:r>
      <w:r w:rsidR="008E10A6" w:rsidRPr="008E10A6">
        <w:rPr>
          <w:sz w:val="24"/>
          <w:szCs w:val="24"/>
          <w:lang w:eastAsia="en-GB"/>
        </w:rPr>
        <w:t xml:space="preserve">April 2022, as part of our ongoing work to manage our accommodation in line with Scottish Government guidance and continue the journey towards hybrid working we have vacated the HR office on the second floor, repurposed the former Director of Corporate Services and </w:t>
      </w:r>
      <w:r w:rsidR="008E10A6" w:rsidRPr="009B74BE">
        <w:rPr>
          <w:sz w:val="24"/>
          <w:szCs w:val="24"/>
          <w:lang w:eastAsia="en-GB"/>
        </w:rPr>
        <w:t xml:space="preserve">Accounts Office into an HR confidential meeting space and have let out the space to </w:t>
      </w:r>
      <w:r w:rsidR="008E10A6" w:rsidRPr="009B74BE">
        <w:rPr>
          <w:sz w:val="24"/>
          <w:szCs w:val="24"/>
        </w:rPr>
        <w:t>Environmental Standards Scotland (ESS). We will continue to look at opportunities in the coming months as we work towards our Hybrid working policy and development of our buildings.</w:t>
      </w:r>
    </w:p>
    <w:p w:rsidR="00652620" w:rsidRPr="008E10A6" w:rsidRDefault="008E10A6" w:rsidP="004273FF">
      <w:pPr>
        <w:numPr>
          <w:ilvl w:val="0"/>
          <w:numId w:val="6"/>
        </w:numPr>
        <w:spacing w:before="100" w:beforeAutospacing="1" w:after="100" w:afterAutospacing="1"/>
        <w:jc w:val="both"/>
        <w:rPr>
          <w:sz w:val="24"/>
          <w:szCs w:val="24"/>
          <w:lang w:eastAsia="en-GB"/>
        </w:rPr>
      </w:pPr>
      <w:r w:rsidRPr="008E10A6">
        <w:rPr>
          <w:sz w:val="24"/>
          <w:szCs w:val="24"/>
          <w:lang w:eastAsia="en-GB"/>
        </w:rPr>
        <w:t xml:space="preserve"> There are further opportunities within our PDSO and CLAO offices to move towards shared accommodation in the future.</w:t>
      </w:r>
    </w:p>
    <w:p w:rsidR="00652620" w:rsidRPr="0070395C" w:rsidRDefault="00652620" w:rsidP="00652620">
      <w:pPr>
        <w:spacing w:before="100" w:beforeAutospacing="1" w:after="100" w:afterAutospacing="1"/>
        <w:ind w:left="720"/>
        <w:jc w:val="both"/>
        <w:rPr>
          <w:sz w:val="24"/>
          <w:szCs w:val="24"/>
          <w:lang w:eastAsia="en-GB"/>
        </w:rPr>
      </w:pPr>
      <w:r w:rsidRPr="008E10A6">
        <w:rPr>
          <w:sz w:val="24"/>
          <w:szCs w:val="24"/>
          <w:lang w:eastAsia="en-GB"/>
        </w:rPr>
        <w:t xml:space="preserve">Thistle House </w:t>
      </w:r>
      <w:r w:rsidR="008E10A6" w:rsidRPr="008E10A6">
        <w:rPr>
          <w:sz w:val="24"/>
          <w:szCs w:val="24"/>
          <w:lang w:eastAsia="en-GB"/>
        </w:rPr>
        <w:t>remains</w:t>
      </w:r>
      <w:r w:rsidRPr="008E10A6">
        <w:rPr>
          <w:sz w:val="24"/>
          <w:szCs w:val="24"/>
          <w:lang w:eastAsia="en-GB"/>
        </w:rPr>
        <w:t xml:space="preserve"> a model building </w:t>
      </w:r>
      <w:r w:rsidR="008E10A6" w:rsidRPr="008E10A6">
        <w:rPr>
          <w:sz w:val="24"/>
          <w:szCs w:val="24"/>
          <w:lang w:eastAsia="en-GB"/>
        </w:rPr>
        <w:t>as viewed by</w:t>
      </w:r>
      <w:r w:rsidRPr="008E10A6">
        <w:rPr>
          <w:sz w:val="24"/>
          <w:szCs w:val="24"/>
          <w:lang w:eastAsia="en-GB"/>
        </w:rPr>
        <w:t xml:space="preserve"> S</w:t>
      </w:r>
      <w:r w:rsidR="008E10A6" w:rsidRPr="008E10A6">
        <w:rPr>
          <w:sz w:val="24"/>
          <w:szCs w:val="24"/>
          <w:lang w:eastAsia="en-GB"/>
        </w:rPr>
        <w:t xml:space="preserve">cottish </w:t>
      </w:r>
      <w:r w:rsidRPr="008E10A6">
        <w:rPr>
          <w:sz w:val="24"/>
          <w:szCs w:val="24"/>
          <w:lang w:eastAsia="en-GB"/>
        </w:rPr>
        <w:t>G</w:t>
      </w:r>
      <w:r w:rsidR="008E10A6" w:rsidRPr="008E10A6">
        <w:rPr>
          <w:sz w:val="24"/>
          <w:szCs w:val="24"/>
          <w:lang w:eastAsia="en-GB"/>
        </w:rPr>
        <w:t>overnment</w:t>
      </w:r>
      <w:r w:rsidRPr="008E10A6">
        <w:rPr>
          <w:sz w:val="24"/>
          <w:szCs w:val="24"/>
          <w:lang w:eastAsia="en-GB"/>
        </w:rPr>
        <w:t xml:space="preserve"> Property and is a Public Sector mini-hub in its own right</w:t>
      </w:r>
      <w:r w:rsidR="00AF04C4" w:rsidRPr="008E10A6">
        <w:rPr>
          <w:sz w:val="24"/>
          <w:szCs w:val="24"/>
          <w:lang w:eastAsia="en-GB"/>
        </w:rPr>
        <w:t xml:space="preserve"> and will be an integral part of Scottish Governments future plans</w:t>
      </w:r>
      <w:r w:rsidRPr="008E10A6">
        <w:rPr>
          <w:sz w:val="24"/>
          <w:szCs w:val="24"/>
          <w:lang w:eastAsia="en-GB"/>
        </w:rPr>
        <w:t>.</w:t>
      </w:r>
    </w:p>
    <w:p w:rsidR="00652620" w:rsidRPr="0070395C" w:rsidRDefault="004273FF" w:rsidP="00652620">
      <w:pPr>
        <w:tabs>
          <w:tab w:val="left" w:pos="567"/>
        </w:tabs>
        <w:jc w:val="both"/>
        <w:rPr>
          <w:b/>
          <w:sz w:val="24"/>
          <w:szCs w:val="24"/>
        </w:rPr>
      </w:pPr>
      <w:r w:rsidRPr="0070395C">
        <w:rPr>
          <w:b/>
          <w:sz w:val="24"/>
          <w:szCs w:val="24"/>
        </w:rPr>
        <w:t>4</w:t>
      </w:r>
      <w:r w:rsidR="00652620" w:rsidRPr="0070395C">
        <w:rPr>
          <w:b/>
          <w:sz w:val="24"/>
          <w:szCs w:val="24"/>
        </w:rPr>
        <w:t>.</w:t>
      </w:r>
      <w:r w:rsidR="00652620" w:rsidRPr="0070395C">
        <w:rPr>
          <w:b/>
          <w:sz w:val="24"/>
          <w:szCs w:val="24"/>
        </w:rPr>
        <w:tab/>
        <w:t>PDSO/CLAO OFFICES</w:t>
      </w:r>
    </w:p>
    <w:p w:rsidR="00652620" w:rsidRPr="0070395C" w:rsidRDefault="00652620" w:rsidP="00652620">
      <w:pPr>
        <w:rPr>
          <w:sz w:val="24"/>
          <w:szCs w:val="24"/>
        </w:rPr>
      </w:pPr>
    </w:p>
    <w:p w:rsidR="00652620" w:rsidRPr="0070395C" w:rsidRDefault="00652620" w:rsidP="00652620">
      <w:pPr>
        <w:jc w:val="both"/>
        <w:rPr>
          <w:rFonts w:eastAsia="Calibri"/>
          <w:sz w:val="24"/>
          <w:szCs w:val="24"/>
        </w:rPr>
      </w:pPr>
      <w:r w:rsidRPr="0070395C">
        <w:rPr>
          <w:rFonts w:eastAsia="Calibri"/>
          <w:sz w:val="24"/>
          <w:szCs w:val="24"/>
        </w:rPr>
        <w:t xml:space="preserve">We currently have </w:t>
      </w:r>
      <w:r w:rsidR="00B72616">
        <w:rPr>
          <w:rFonts w:eastAsia="Calibri"/>
          <w:sz w:val="24"/>
          <w:szCs w:val="24"/>
        </w:rPr>
        <w:t>9</w:t>
      </w:r>
      <w:r w:rsidRPr="0070395C">
        <w:rPr>
          <w:rFonts w:eastAsia="Calibri"/>
          <w:sz w:val="24"/>
          <w:szCs w:val="24"/>
        </w:rPr>
        <w:t xml:space="preserve"> offices</w:t>
      </w:r>
      <w:r w:rsidR="007C6F05">
        <w:rPr>
          <w:rFonts w:eastAsia="Calibri"/>
          <w:sz w:val="24"/>
          <w:szCs w:val="24"/>
        </w:rPr>
        <w:t xml:space="preserve">, Thistle House plus </w:t>
      </w:r>
      <w:r w:rsidR="00B72616">
        <w:rPr>
          <w:rFonts w:eastAsia="Calibri"/>
          <w:sz w:val="24"/>
          <w:szCs w:val="24"/>
        </w:rPr>
        <w:t>8</w:t>
      </w:r>
      <w:r w:rsidR="007C6F05">
        <w:rPr>
          <w:rFonts w:eastAsia="Calibri"/>
          <w:sz w:val="24"/>
          <w:szCs w:val="24"/>
        </w:rPr>
        <w:t xml:space="preserve"> other local offices</w:t>
      </w:r>
      <w:r w:rsidRPr="0070395C">
        <w:rPr>
          <w:rFonts w:eastAsia="Calibri"/>
          <w:sz w:val="24"/>
          <w:szCs w:val="24"/>
        </w:rPr>
        <w:t xml:space="preserve"> around Scotland which are used to house the PDSO and CLAO.  As aforementioned, we are currently undertaking a review of our property portfolio to ensure that we can provide suitable premises for the future, and whilst we will continue to seek opportunities to reduce these costs where we can, we are looking to ensure that across the locations where we have PDSO and CLAO offices, we can consider a standardisation of quality, value for money and meet the operational requirements. We will also consider </w:t>
      </w:r>
      <w:r w:rsidR="007C6F05">
        <w:rPr>
          <w:rFonts w:eastAsia="Calibri"/>
          <w:sz w:val="24"/>
          <w:szCs w:val="24"/>
        </w:rPr>
        <w:t xml:space="preserve">the option for </w:t>
      </w:r>
      <w:r w:rsidRPr="0070395C">
        <w:rPr>
          <w:rFonts w:eastAsia="Calibri"/>
          <w:sz w:val="24"/>
          <w:szCs w:val="24"/>
        </w:rPr>
        <w:t>using single premises for CLAO and PDSO where this is practicable and appropriate.</w:t>
      </w:r>
      <w:r w:rsidR="007C6F05">
        <w:rPr>
          <w:rFonts w:eastAsia="Calibri"/>
          <w:sz w:val="24"/>
          <w:szCs w:val="24"/>
        </w:rPr>
        <w:t xml:space="preserve"> This has successfully been achieved in Inverness where PDSO and CLAO now share a significantly higher quality office.</w:t>
      </w:r>
    </w:p>
    <w:p w:rsidR="00652620" w:rsidRPr="0070395C" w:rsidRDefault="00652620" w:rsidP="00652620">
      <w:pPr>
        <w:jc w:val="both"/>
        <w:rPr>
          <w:rFonts w:eastAsia="Calibri"/>
          <w:sz w:val="24"/>
          <w:szCs w:val="24"/>
        </w:rPr>
      </w:pPr>
    </w:p>
    <w:p w:rsidR="00652620" w:rsidRPr="0070395C" w:rsidRDefault="00652620" w:rsidP="00652620">
      <w:pPr>
        <w:spacing w:after="120"/>
        <w:jc w:val="both"/>
        <w:rPr>
          <w:sz w:val="24"/>
          <w:szCs w:val="24"/>
        </w:rPr>
      </w:pPr>
      <w:r w:rsidRPr="0070395C">
        <w:rPr>
          <w:sz w:val="24"/>
          <w:szCs w:val="24"/>
        </w:rPr>
        <w:t>The general approach to the provision of property for PDSO ha</w:t>
      </w:r>
      <w:r w:rsidR="007C6F05">
        <w:rPr>
          <w:sz w:val="24"/>
          <w:szCs w:val="24"/>
        </w:rPr>
        <w:t>d</w:t>
      </w:r>
      <w:r w:rsidRPr="0070395C">
        <w:rPr>
          <w:sz w:val="24"/>
          <w:szCs w:val="24"/>
        </w:rPr>
        <w:t xml:space="preserve"> been to lease office accommodation of a standard similar to that utilised by a typical private practice solicitor firm: however we have now agreed that the existing and any new accommodation should be of a minimum corporate standard, which should be similar in a number of aspects to our main administration office</w:t>
      </w:r>
      <w:r w:rsidR="007C6F05">
        <w:rPr>
          <w:sz w:val="24"/>
          <w:szCs w:val="24"/>
        </w:rPr>
        <w:t xml:space="preserve"> at Thistle House</w:t>
      </w:r>
      <w:r w:rsidRPr="0070395C">
        <w:rPr>
          <w:sz w:val="24"/>
          <w:szCs w:val="24"/>
        </w:rPr>
        <w:t xml:space="preserve">.  To support this facilities management have continued a programme of work to bring the </w:t>
      </w:r>
      <w:r w:rsidR="007C6F05">
        <w:rPr>
          <w:sz w:val="24"/>
          <w:szCs w:val="24"/>
        </w:rPr>
        <w:t xml:space="preserve">existing </w:t>
      </w:r>
      <w:r w:rsidRPr="0070395C">
        <w:rPr>
          <w:sz w:val="24"/>
          <w:szCs w:val="24"/>
        </w:rPr>
        <w:t>offices up to that standard</w:t>
      </w:r>
      <w:r w:rsidR="007C6F05">
        <w:rPr>
          <w:sz w:val="24"/>
          <w:szCs w:val="24"/>
        </w:rPr>
        <w:t xml:space="preserve"> where possible</w:t>
      </w:r>
      <w:r w:rsidRPr="0070395C">
        <w:rPr>
          <w:sz w:val="24"/>
          <w:szCs w:val="24"/>
        </w:rPr>
        <w:t xml:space="preserve">.  </w:t>
      </w:r>
    </w:p>
    <w:p w:rsidR="00652620" w:rsidRPr="0070395C" w:rsidRDefault="007C6F05" w:rsidP="00652620">
      <w:pPr>
        <w:spacing w:after="120"/>
        <w:jc w:val="both"/>
        <w:rPr>
          <w:sz w:val="24"/>
          <w:szCs w:val="24"/>
        </w:rPr>
      </w:pPr>
      <w:r>
        <w:rPr>
          <w:sz w:val="24"/>
          <w:szCs w:val="24"/>
        </w:rPr>
        <w:lastRenderedPageBreak/>
        <w:t xml:space="preserve">The Edinburgh PDSO office was the first to relocate to new higher quality premises in York Place. The quality of this office has set the benchmark for future office relocations; however is a standalone office for PDSO with the planned move of the Solicitors Contact Line (SCL) not taking place due to the pandemic and now deemed no longer a requirement. The new Inverness office has set a benchmark </w:t>
      </w:r>
      <w:r w:rsidR="00B72616">
        <w:rPr>
          <w:sz w:val="24"/>
          <w:szCs w:val="24"/>
        </w:rPr>
        <w:t xml:space="preserve">standard for PDSO and CLAO sharing accommodation </w:t>
      </w:r>
      <w:r>
        <w:rPr>
          <w:sz w:val="24"/>
          <w:szCs w:val="24"/>
        </w:rPr>
        <w:t xml:space="preserve">and was achieved during difficult times with </w:t>
      </w:r>
      <w:proofErr w:type="spellStart"/>
      <w:r>
        <w:rPr>
          <w:sz w:val="24"/>
          <w:szCs w:val="24"/>
        </w:rPr>
        <w:t>covid</w:t>
      </w:r>
      <w:proofErr w:type="spellEnd"/>
      <w:r>
        <w:rPr>
          <w:sz w:val="24"/>
          <w:szCs w:val="24"/>
        </w:rPr>
        <w:t xml:space="preserve"> lockdowns.</w:t>
      </w:r>
      <w:r w:rsidR="008733BE" w:rsidRPr="0070395C">
        <w:rPr>
          <w:sz w:val="24"/>
          <w:szCs w:val="24"/>
        </w:rPr>
        <w:t xml:space="preserve"> The CLAO Argyle and Bute Office which </w:t>
      </w:r>
      <w:r w:rsidR="00B72616">
        <w:rPr>
          <w:sz w:val="24"/>
          <w:szCs w:val="24"/>
        </w:rPr>
        <w:t xml:space="preserve">was </w:t>
      </w:r>
      <w:r w:rsidR="008733BE" w:rsidRPr="0070395C">
        <w:rPr>
          <w:sz w:val="24"/>
          <w:szCs w:val="24"/>
        </w:rPr>
        <w:t xml:space="preserve">on a short term MOTO from the Council </w:t>
      </w:r>
      <w:r w:rsidR="00B72616">
        <w:rPr>
          <w:sz w:val="24"/>
          <w:szCs w:val="24"/>
        </w:rPr>
        <w:t>has now been closed and is no longer required.</w:t>
      </w:r>
      <w:r w:rsidR="008733BE" w:rsidRPr="0070395C">
        <w:rPr>
          <w:sz w:val="24"/>
          <w:szCs w:val="24"/>
        </w:rPr>
        <w:t xml:space="preserve"> </w:t>
      </w:r>
    </w:p>
    <w:p w:rsidR="00652620" w:rsidRPr="0070395C" w:rsidRDefault="00652620" w:rsidP="004273FF">
      <w:pPr>
        <w:pStyle w:val="BodyText"/>
        <w:widowControl/>
        <w:numPr>
          <w:ilvl w:val="0"/>
          <w:numId w:val="18"/>
        </w:numPr>
        <w:autoSpaceDE/>
        <w:autoSpaceDN/>
        <w:ind w:hanging="720"/>
        <w:jc w:val="both"/>
        <w:rPr>
          <w:rFonts w:cs="Arial"/>
          <w:b/>
          <w:sz w:val="24"/>
          <w:szCs w:val="24"/>
        </w:rPr>
      </w:pPr>
      <w:r w:rsidRPr="0070395C">
        <w:rPr>
          <w:rFonts w:cs="Arial"/>
          <w:b/>
          <w:sz w:val="24"/>
          <w:szCs w:val="24"/>
        </w:rPr>
        <w:t>CARBON MANAGEMENT PLAN</w:t>
      </w:r>
    </w:p>
    <w:p w:rsidR="00652620" w:rsidRPr="0070395C" w:rsidRDefault="00652620" w:rsidP="00652620">
      <w:pPr>
        <w:pStyle w:val="BodyText"/>
        <w:jc w:val="both"/>
        <w:rPr>
          <w:rFonts w:cs="Arial"/>
          <w:b/>
          <w:sz w:val="24"/>
          <w:szCs w:val="24"/>
        </w:rPr>
      </w:pPr>
    </w:p>
    <w:p w:rsidR="00B102B3" w:rsidRPr="004D2A94" w:rsidRDefault="00652620" w:rsidP="00B102B3">
      <w:pPr>
        <w:jc w:val="both"/>
        <w:rPr>
          <w:sz w:val="24"/>
          <w:szCs w:val="24"/>
          <w:highlight w:val="yellow"/>
        </w:rPr>
      </w:pPr>
      <w:r w:rsidRPr="004D2A94">
        <w:rPr>
          <w:sz w:val="24"/>
          <w:szCs w:val="24"/>
        </w:rPr>
        <w:t>SLAB developed a new Carbon Management Plan which targets its asset use and was produced in conjunction with the Carbon Trust, Resource Efficient Scotland, Keep Scotland Beautiful and the Sustainable Scotland Network. In November 2016 the Board approved the new Carbon Management Plan that set out how we aim</w:t>
      </w:r>
      <w:r w:rsidR="00B72616" w:rsidRPr="004D2A94">
        <w:rPr>
          <w:sz w:val="24"/>
          <w:szCs w:val="24"/>
        </w:rPr>
        <w:t>ed</w:t>
      </w:r>
      <w:r w:rsidRPr="004D2A94">
        <w:rPr>
          <w:sz w:val="24"/>
          <w:szCs w:val="24"/>
        </w:rPr>
        <w:t xml:space="preserve"> to meet reductions in SLAB’s carbon emissions by 2022. </w:t>
      </w:r>
      <w:r w:rsidR="00B102B3" w:rsidRPr="004D2A94">
        <w:rPr>
          <w:sz w:val="24"/>
          <w:szCs w:val="24"/>
        </w:rPr>
        <w:t xml:space="preserve">Our aim is that by the end of 2022, SLAB will have reduced its carbon emissions by 10% on a baseline of 2015. This equates to a figure of 42.6 tonnes CO2e in 2015. Emissions recorded in 2020-21 demonstrate that we are currently 220 tonnes of CO2e or 52% below the baseline recorded in 2015 and have therefore achieved this target.    The 2020-21 figures were, of course, our emissions during a period when the office was largely closed to the majority of staff </w:t>
      </w:r>
      <w:r w:rsidR="006426E0" w:rsidRPr="004D2A94">
        <w:rPr>
          <w:sz w:val="24"/>
          <w:szCs w:val="24"/>
        </w:rPr>
        <w:t>As the office has been opened to more staff during 2021-22, it is likely that emissions will increase slightly during this year.</w:t>
      </w:r>
    </w:p>
    <w:p w:rsidR="00B102B3" w:rsidRPr="004D2A94" w:rsidRDefault="00B102B3" w:rsidP="00652620">
      <w:pPr>
        <w:jc w:val="both"/>
        <w:rPr>
          <w:sz w:val="24"/>
          <w:szCs w:val="24"/>
        </w:rPr>
      </w:pPr>
    </w:p>
    <w:p w:rsidR="00652620" w:rsidRPr="004D2A94" w:rsidRDefault="00B72616" w:rsidP="00652620">
      <w:pPr>
        <w:jc w:val="both"/>
        <w:rPr>
          <w:sz w:val="24"/>
          <w:szCs w:val="24"/>
        </w:rPr>
      </w:pPr>
      <w:r w:rsidRPr="004D2A94">
        <w:rPr>
          <w:sz w:val="24"/>
          <w:szCs w:val="24"/>
        </w:rPr>
        <w:t>This is therefore our last year of the plan. We await further clarification from Scottish Government as to the next steps in carbon management and reporting.</w:t>
      </w:r>
    </w:p>
    <w:p w:rsidR="00652620" w:rsidRPr="004D2A94" w:rsidRDefault="00652620" w:rsidP="00652620">
      <w:pPr>
        <w:pStyle w:val="BodyText"/>
        <w:jc w:val="both"/>
        <w:rPr>
          <w:rFonts w:cs="Arial"/>
          <w:b/>
          <w:sz w:val="24"/>
          <w:szCs w:val="24"/>
        </w:rPr>
      </w:pPr>
    </w:p>
    <w:p w:rsidR="00652620" w:rsidRPr="00F26E42" w:rsidRDefault="00652620" w:rsidP="00652620">
      <w:pPr>
        <w:pStyle w:val="BodyText"/>
        <w:ind w:left="720"/>
        <w:jc w:val="both"/>
        <w:rPr>
          <w:rFonts w:cs="Arial"/>
        </w:rPr>
      </w:pPr>
    </w:p>
    <w:p w:rsidR="00652620" w:rsidRPr="00E93DC5" w:rsidRDefault="00652620" w:rsidP="00652620">
      <w:pPr>
        <w:pStyle w:val="BodyText"/>
        <w:jc w:val="both"/>
        <w:rPr>
          <w:rFonts w:cs="Arial"/>
        </w:rPr>
      </w:pPr>
    </w:p>
    <w:p w:rsidR="00255D5A" w:rsidRPr="00DE249E" w:rsidRDefault="00255D5A" w:rsidP="006B73ED">
      <w:pPr>
        <w:rPr>
          <w:sz w:val="24"/>
          <w:szCs w:val="24"/>
          <w:highlight w:val="yellow"/>
        </w:rPr>
        <w:sectPr w:rsidR="00255D5A" w:rsidRPr="00DE249E" w:rsidSect="00D42BF5">
          <w:headerReference w:type="default" r:id="rId9"/>
          <w:footerReference w:type="default" r:id="rId10"/>
          <w:headerReference w:type="first" r:id="rId11"/>
          <w:footerReference w:type="first" r:id="rId12"/>
          <w:pgSz w:w="11906" w:h="16838"/>
          <w:pgMar w:top="1843" w:right="1440" w:bottom="1276" w:left="1134" w:header="680" w:footer="624" w:gutter="0"/>
          <w:cols w:sep="1" w:space="720"/>
          <w:titlePg/>
          <w:docGrid w:linePitch="360"/>
        </w:sectPr>
      </w:pPr>
    </w:p>
    <w:tbl>
      <w:tblPr>
        <w:tblStyle w:val="TableGrid"/>
        <w:tblW w:w="9493" w:type="dxa"/>
        <w:tblLook w:val="04A0" w:firstRow="1" w:lastRow="0" w:firstColumn="1" w:lastColumn="0" w:noHBand="0" w:noVBand="1"/>
      </w:tblPr>
      <w:tblGrid>
        <w:gridCol w:w="846"/>
        <w:gridCol w:w="8647"/>
      </w:tblGrid>
      <w:tr w:rsidR="00B26F64" w:rsidRPr="00DE249E" w:rsidTr="00B86375">
        <w:tc>
          <w:tcPr>
            <w:tcW w:w="846" w:type="dxa"/>
            <w:shd w:val="clear" w:color="auto" w:fill="D9D9D9" w:themeFill="background1" w:themeFillShade="D9"/>
          </w:tcPr>
          <w:p w:rsidR="00B26F64" w:rsidRPr="009F30A4" w:rsidRDefault="00B26F64" w:rsidP="00B86375">
            <w:pPr>
              <w:rPr>
                <w:b/>
                <w:sz w:val="24"/>
                <w:szCs w:val="24"/>
              </w:rPr>
            </w:pPr>
          </w:p>
        </w:tc>
        <w:tc>
          <w:tcPr>
            <w:tcW w:w="8647" w:type="dxa"/>
            <w:shd w:val="clear" w:color="auto" w:fill="D9D9D9" w:themeFill="background1" w:themeFillShade="D9"/>
          </w:tcPr>
          <w:p w:rsidR="00B26F64" w:rsidRPr="009F30A4" w:rsidRDefault="002265D6" w:rsidP="00DA7163">
            <w:pPr>
              <w:rPr>
                <w:b/>
                <w:sz w:val="24"/>
                <w:szCs w:val="24"/>
              </w:rPr>
            </w:pPr>
            <w:r w:rsidRPr="009F30A4">
              <w:rPr>
                <w:b/>
                <w:sz w:val="24"/>
                <w:szCs w:val="24"/>
              </w:rPr>
              <w:t xml:space="preserve">Governance Links </w:t>
            </w:r>
          </w:p>
        </w:tc>
      </w:tr>
      <w:tr w:rsidR="00B26F64" w:rsidRPr="00DE249E" w:rsidTr="00B86375">
        <w:tc>
          <w:tcPr>
            <w:tcW w:w="846" w:type="dxa"/>
          </w:tcPr>
          <w:p w:rsidR="00B26F64" w:rsidRPr="00340D8F" w:rsidRDefault="00B26F64" w:rsidP="0076103C">
            <w:pPr>
              <w:spacing w:before="120"/>
              <w:rPr>
                <w:sz w:val="24"/>
                <w:szCs w:val="24"/>
              </w:rPr>
            </w:pPr>
            <w:r w:rsidRPr="00340D8F">
              <w:rPr>
                <w:sz w:val="24"/>
                <w:szCs w:val="24"/>
              </w:rPr>
              <w:t>1</w:t>
            </w:r>
          </w:p>
        </w:tc>
        <w:tc>
          <w:tcPr>
            <w:tcW w:w="8647" w:type="dxa"/>
          </w:tcPr>
          <w:p w:rsidR="0076103C" w:rsidRPr="003C0366" w:rsidRDefault="0098730C" w:rsidP="0076103C">
            <w:pPr>
              <w:spacing w:before="120" w:after="120"/>
              <w:rPr>
                <w:b/>
                <w:sz w:val="24"/>
                <w:szCs w:val="24"/>
              </w:rPr>
            </w:pPr>
            <w:r w:rsidRPr="003C0366">
              <w:rPr>
                <w:b/>
                <w:sz w:val="24"/>
                <w:szCs w:val="24"/>
              </w:rPr>
              <w:t>Finance and Resources</w:t>
            </w:r>
          </w:p>
          <w:p w:rsidR="001B6D84" w:rsidRPr="003C0366" w:rsidRDefault="00A26053" w:rsidP="00B86375">
            <w:pPr>
              <w:rPr>
                <w:sz w:val="24"/>
                <w:szCs w:val="24"/>
              </w:rPr>
            </w:pPr>
            <w:r>
              <w:rPr>
                <w:sz w:val="24"/>
                <w:szCs w:val="24"/>
              </w:rPr>
              <w:t>The Plan sets out the financial position and necessary financial management concerning our property estate.</w:t>
            </w:r>
          </w:p>
          <w:p w:rsidR="00B26F64" w:rsidRPr="003C0366" w:rsidRDefault="00B26F64" w:rsidP="00777096">
            <w:pPr>
              <w:rPr>
                <w:sz w:val="24"/>
                <w:szCs w:val="24"/>
              </w:rPr>
            </w:pPr>
          </w:p>
        </w:tc>
      </w:tr>
      <w:tr w:rsidR="0098730C" w:rsidRPr="00DE249E" w:rsidTr="00B86375">
        <w:tc>
          <w:tcPr>
            <w:tcW w:w="846" w:type="dxa"/>
          </w:tcPr>
          <w:p w:rsidR="0098730C" w:rsidRPr="005563C8" w:rsidRDefault="0098730C" w:rsidP="0076103C">
            <w:pPr>
              <w:spacing w:before="120"/>
              <w:rPr>
                <w:sz w:val="24"/>
                <w:szCs w:val="24"/>
              </w:rPr>
            </w:pPr>
            <w:r w:rsidRPr="005563C8">
              <w:rPr>
                <w:sz w:val="24"/>
                <w:szCs w:val="24"/>
              </w:rPr>
              <w:t>2</w:t>
            </w:r>
          </w:p>
        </w:tc>
        <w:tc>
          <w:tcPr>
            <w:tcW w:w="8647" w:type="dxa"/>
          </w:tcPr>
          <w:p w:rsidR="0076103C" w:rsidRPr="005563C8" w:rsidRDefault="0098730C" w:rsidP="0076103C">
            <w:pPr>
              <w:spacing w:before="120" w:after="120"/>
              <w:rPr>
                <w:b/>
                <w:sz w:val="24"/>
                <w:szCs w:val="24"/>
              </w:rPr>
            </w:pPr>
            <w:r w:rsidRPr="005563C8">
              <w:rPr>
                <w:b/>
                <w:sz w:val="24"/>
                <w:szCs w:val="24"/>
              </w:rPr>
              <w:t xml:space="preserve">Risk </w:t>
            </w:r>
          </w:p>
          <w:p w:rsidR="000349F8" w:rsidRPr="00331BF0" w:rsidRDefault="003C0366" w:rsidP="000349F8">
            <w:pPr>
              <w:rPr>
                <w:sz w:val="24"/>
                <w:szCs w:val="24"/>
              </w:rPr>
            </w:pPr>
            <w:r>
              <w:rPr>
                <w:sz w:val="24"/>
                <w:szCs w:val="24"/>
              </w:rPr>
              <w:t>This plan mitigates the Corporate risks as set out in risk 16 re buildings failure and risk 13 – non-compliance with a range of statutory obligations</w:t>
            </w:r>
            <w:r w:rsidR="00A26053">
              <w:rPr>
                <w:sz w:val="24"/>
                <w:szCs w:val="24"/>
              </w:rPr>
              <w:t>.</w:t>
            </w:r>
          </w:p>
          <w:p w:rsidR="0098730C" w:rsidRPr="005563C8" w:rsidRDefault="0098730C" w:rsidP="00202825">
            <w:pPr>
              <w:rPr>
                <w:sz w:val="24"/>
                <w:szCs w:val="24"/>
              </w:rPr>
            </w:pPr>
          </w:p>
        </w:tc>
      </w:tr>
      <w:tr w:rsidR="00B26F64" w:rsidRPr="00DE249E" w:rsidTr="00B86375">
        <w:tc>
          <w:tcPr>
            <w:tcW w:w="846" w:type="dxa"/>
          </w:tcPr>
          <w:p w:rsidR="00B26F64" w:rsidRPr="00067EF5" w:rsidRDefault="0098730C" w:rsidP="0076103C">
            <w:pPr>
              <w:spacing w:before="120"/>
              <w:rPr>
                <w:sz w:val="24"/>
                <w:szCs w:val="24"/>
              </w:rPr>
            </w:pPr>
            <w:r w:rsidRPr="00067EF5">
              <w:rPr>
                <w:sz w:val="24"/>
                <w:szCs w:val="24"/>
              </w:rPr>
              <w:t>3</w:t>
            </w:r>
          </w:p>
          <w:p w:rsidR="00B26F64" w:rsidRPr="00067EF5" w:rsidRDefault="00B26F64" w:rsidP="00B86375">
            <w:pPr>
              <w:rPr>
                <w:sz w:val="24"/>
                <w:szCs w:val="24"/>
              </w:rPr>
            </w:pPr>
          </w:p>
        </w:tc>
        <w:tc>
          <w:tcPr>
            <w:tcW w:w="8647" w:type="dxa"/>
          </w:tcPr>
          <w:p w:rsidR="009962F8" w:rsidRPr="00331BF0" w:rsidRDefault="00B26F64" w:rsidP="0076103C">
            <w:pPr>
              <w:spacing w:before="120" w:after="120"/>
              <w:rPr>
                <w:b/>
                <w:sz w:val="24"/>
                <w:szCs w:val="24"/>
              </w:rPr>
            </w:pPr>
            <w:r w:rsidRPr="00331BF0">
              <w:rPr>
                <w:b/>
                <w:sz w:val="24"/>
                <w:szCs w:val="24"/>
              </w:rPr>
              <w:t>Legal</w:t>
            </w:r>
            <w:r w:rsidR="0098730C" w:rsidRPr="00331BF0">
              <w:rPr>
                <w:b/>
                <w:sz w:val="24"/>
                <w:szCs w:val="24"/>
              </w:rPr>
              <w:t xml:space="preserve"> and Compliance</w:t>
            </w:r>
          </w:p>
          <w:p w:rsidR="002C77DC" w:rsidRPr="00331BF0" w:rsidRDefault="000349F8" w:rsidP="00B86375">
            <w:pPr>
              <w:rPr>
                <w:sz w:val="24"/>
                <w:szCs w:val="24"/>
              </w:rPr>
            </w:pPr>
            <w:r w:rsidRPr="003C0366">
              <w:rPr>
                <w:sz w:val="24"/>
                <w:szCs w:val="24"/>
              </w:rPr>
              <w:t xml:space="preserve">This </w:t>
            </w:r>
            <w:r w:rsidR="003C0366" w:rsidRPr="003C0366">
              <w:rPr>
                <w:sz w:val="24"/>
                <w:szCs w:val="24"/>
              </w:rPr>
              <w:t>highlights ou</w:t>
            </w:r>
            <w:r w:rsidRPr="003C0366">
              <w:rPr>
                <w:sz w:val="24"/>
                <w:szCs w:val="24"/>
              </w:rPr>
              <w:t>r statutory obligation</w:t>
            </w:r>
            <w:r w:rsidR="003C0366" w:rsidRPr="003C0366">
              <w:rPr>
                <w:sz w:val="24"/>
                <w:szCs w:val="24"/>
              </w:rPr>
              <w:t>s</w:t>
            </w:r>
            <w:r w:rsidRPr="003C0366">
              <w:rPr>
                <w:sz w:val="24"/>
                <w:szCs w:val="24"/>
              </w:rPr>
              <w:t xml:space="preserve"> to annually report on </w:t>
            </w:r>
            <w:r w:rsidR="003C0366" w:rsidRPr="003C0366">
              <w:rPr>
                <w:sz w:val="24"/>
                <w:szCs w:val="24"/>
              </w:rPr>
              <w:t>Bio Diversity and our Carbon Management Plan, and SLAB’s Property Asset Management Plan is prepared annually as</w:t>
            </w:r>
            <w:r w:rsidR="003C0366" w:rsidRPr="003C0366">
              <w:rPr>
                <w:sz w:val="22"/>
                <w:szCs w:val="22"/>
              </w:rPr>
              <w:t xml:space="preserve"> set out within a framework suggested by the Office for Government Commerce (OGC).</w:t>
            </w:r>
          </w:p>
          <w:p w:rsidR="001B6D84" w:rsidRPr="00331BF0" w:rsidRDefault="001B6D84" w:rsidP="00777096">
            <w:pPr>
              <w:rPr>
                <w:sz w:val="24"/>
                <w:szCs w:val="24"/>
                <w:highlight w:val="yellow"/>
              </w:rPr>
            </w:pPr>
          </w:p>
        </w:tc>
      </w:tr>
      <w:tr w:rsidR="0098730C" w:rsidRPr="00DE249E" w:rsidTr="00B86375">
        <w:tc>
          <w:tcPr>
            <w:tcW w:w="846" w:type="dxa"/>
          </w:tcPr>
          <w:p w:rsidR="0098730C" w:rsidRPr="00067EF5" w:rsidRDefault="0098730C" w:rsidP="0076103C">
            <w:pPr>
              <w:spacing w:before="120"/>
              <w:rPr>
                <w:sz w:val="24"/>
                <w:szCs w:val="24"/>
              </w:rPr>
            </w:pPr>
            <w:r w:rsidRPr="00067EF5">
              <w:rPr>
                <w:sz w:val="24"/>
                <w:szCs w:val="24"/>
              </w:rPr>
              <w:t>4</w:t>
            </w:r>
          </w:p>
        </w:tc>
        <w:tc>
          <w:tcPr>
            <w:tcW w:w="8647" w:type="dxa"/>
          </w:tcPr>
          <w:p w:rsidR="0098730C" w:rsidRPr="00331BF0" w:rsidRDefault="0098730C" w:rsidP="0076103C">
            <w:pPr>
              <w:spacing w:before="120" w:after="120"/>
              <w:rPr>
                <w:b/>
                <w:sz w:val="24"/>
                <w:szCs w:val="24"/>
              </w:rPr>
            </w:pPr>
            <w:r w:rsidRPr="00331BF0">
              <w:rPr>
                <w:b/>
                <w:sz w:val="24"/>
                <w:szCs w:val="24"/>
              </w:rPr>
              <w:t>Performance</w:t>
            </w:r>
          </w:p>
          <w:p w:rsidR="001B6D84" w:rsidRPr="00331BF0" w:rsidRDefault="0070395C" w:rsidP="00BD7A3C">
            <w:pPr>
              <w:rPr>
                <w:sz w:val="24"/>
                <w:szCs w:val="24"/>
              </w:rPr>
            </w:pPr>
            <w:r>
              <w:rPr>
                <w:sz w:val="24"/>
                <w:szCs w:val="24"/>
              </w:rPr>
              <w:t>Nothing additional to note.</w:t>
            </w:r>
          </w:p>
          <w:p w:rsidR="002C77DC" w:rsidRPr="00331BF0" w:rsidRDefault="002C77DC" w:rsidP="00BD7A3C">
            <w:pPr>
              <w:rPr>
                <w:sz w:val="24"/>
                <w:szCs w:val="24"/>
                <w:highlight w:val="yellow"/>
              </w:rPr>
            </w:pPr>
          </w:p>
        </w:tc>
      </w:tr>
      <w:tr w:rsidR="0098730C" w:rsidRPr="00DE249E" w:rsidTr="00B86375">
        <w:tc>
          <w:tcPr>
            <w:tcW w:w="846" w:type="dxa"/>
          </w:tcPr>
          <w:p w:rsidR="0098730C" w:rsidRPr="0076103C" w:rsidRDefault="0098730C" w:rsidP="0076103C">
            <w:pPr>
              <w:spacing w:before="120"/>
              <w:rPr>
                <w:sz w:val="24"/>
                <w:szCs w:val="24"/>
              </w:rPr>
            </w:pPr>
            <w:r w:rsidRPr="0076103C">
              <w:rPr>
                <w:sz w:val="24"/>
                <w:szCs w:val="24"/>
              </w:rPr>
              <w:t>5</w:t>
            </w:r>
          </w:p>
        </w:tc>
        <w:tc>
          <w:tcPr>
            <w:tcW w:w="8647" w:type="dxa"/>
          </w:tcPr>
          <w:p w:rsidR="0098730C" w:rsidRPr="00331BF0" w:rsidRDefault="0098730C" w:rsidP="0076103C">
            <w:pPr>
              <w:spacing w:before="120" w:after="120"/>
              <w:rPr>
                <w:b/>
                <w:sz w:val="24"/>
                <w:szCs w:val="24"/>
              </w:rPr>
            </w:pPr>
            <w:r w:rsidRPr="00331BF0">
              <w:rPr>
                <w:b/>
                <w:sz w:val="24"/>
                <w:szCs w:val="24"/>
              </w:rPr>
              <w:t>Equalities</w:t>
            </w:r>
            <w:r w:rsidR="009962F8" w:rsidRPr="00331BF0">
              <w:rPr>
                <w:b/>
                <w:sz w:val="24"/>
                <w:szCs w:val="24"/>
              </w:rPr>
              <w:t xml:space="preserve"> Impact</w:t>
            </w:r>
          </w:p>
          <w:p w:rsidR="007453A1" w:rsidRPr="00331BF0" w:rsidRDefault="00D42BF5" w:rsidP="00BD7A3C">
            <w:pPr>
              <w:rPr>
                <w:sz w:val="24"/>
                <w:szCs w:val="24"/>
              </w:rPr>
            </w:pPr>
            <w:r>
              <w:rPr>
                <w:sz w:val="24"/>
                <w:szCs w:val="24"/>
              </w:rPr>
              <w:t>An Equality Impact Assessment is not required for this paper.</w:t>
            </w:r>
          </w:p>
          <w:p w:rsidR="0076103C" w:rsidRPr="00331BF0" w:rsidRDefault="0076103C" w:rsidP="00BD7A3C">
            <w:pPr>
              <w:rPr>
                <w:sz w:val="24"/>
                <w:szCs w:val="24"/>
                <w:highlight w:val="yellow"/>
              </w:rPr>
            </w:pPr>
          </w:p>
        </w:tc>
      </w:tr>
      <w:tr w:rsidR="0098730C" w:rsidRPr="00DE249E" w:rsidTr="00B86375">
        <w:tc>
          <w:tcPr>
            <w:tcW w:w="846" w:type="dxa"/>
          </w:tcPr>
          <w:p w:rsidR="0098730C" w:rsidRPr="0076103C" w:rsidRDefault="0098730C" w:rsidP="0076103C">
            <w:pPr>
              <w:spacing w:before="120"/>
              <w:rPr>
                <w:sz w:val="24"/>
                <w:szCs w:val="24"/>
              </w:rPr>
            </w:pPr>
            <w:r w:rsidRPr="0076103C">
              <w:rPr>
                <w:sz w:val="24"/>
                <w:szCs w:val="24"/>
              </w:rPr>
              <w:t>6</w:t>
            </w:r>
          </w:p>
        </w:tc>
        <w:tc>
          <w:tcPr>
            <w:tcW w:w="8647" w:type="dxa"/>
          </w:tcPr>
          <w:p w:rsidR="0098730C" w:rsidRPr="00331BF0" w:rsidRDefault="0098730C" w:rsidP="0076103C">
            <w:pPr>
              <w:spacing w:before="120" w:after="120"/>
              <w:rPr>
                <w:b/>
                <w:sz w:val="24"/>
                <w:szCs w:val="24"/>
              </w:rPr>
            </w:pPr>
            <w:r w:rsidRPr="00331BF0">
              <w:rPr>
                <w:b/>
                <w:sz w:val="24"/>
                <w:szCs w:val="24"/>
              </w:rPr>
              <w:t>Privacy Impact and Data Protection</w:t>
            </w:r>
          </w:p>
          <w:p w:rsidR="00F14B91" w:rsidRPr="00331BF0" w:rsidRDefault="00331BF0" w:rsidP="000100DD">
            <w:pPr>
              <w:rPr>
                <w:sz w:val="24"/>
                <w:szCs w:val="24"/>
              </w:rPr>
            </w:pPr>
            <w:r w:rsidRPr="00331BF0">
              <w:rPr>
                <w:sz w:val="24"/>
                <w:szCs w:val="24"/>
              </w:rPr>
              <w:t>No</w:t>
            </w:r>
            <w:r w:rsidR="002C77DC" w:rsidRPr="00331BF0">
              <w:rPr>
                <w:sz w:val="24"/>
                <w:szCs w:val="24"/>
              </w:rPr>
              <w:t xml:space="preserve"> privacy or data protection issues identified.</w:t>
            </w:r>
          </w:p>
          <w:p w:rsidR="0076103C" w:rsidRPr="00331BF0" w:rsidRDefault="0076103C" w:rsidP="000100DD">
            <w:pPr>
              <w:rPr>
                <w:sz w:val="24"/>
                <w:szCs w:val="24"/>
              </w:rPr>
            </w:pPr>
          </w:p>
        </w:tc>
      </w:tr>
      <w:tr w:rsidR="0098730C" w:rsidTr="00B86375">
        <w:tc>
          <w:tcPr>
            <w:tcW w:w="846" w:type="dxa"/>
          </w:tcPr>
          <w:p w:rsidR="0098730C" w:rsidRPr="0076103C" w:rsidRDefault="0098730C" w:rsidP="0076103C">
            <w:pPr>
              <w:spacing w:before="120"/>
              <w:rPr>
                <w:sz w:val="24"/>
                <w:szCs w:val="24"/>
              </w:rPr>
            </w:pPr>
            <w:r w:rsidRPr="0076103C">
              <w:rPr>
                <w:sz w:val="24"/>
                <w:szCs w:val="24"/>
              </w:rPr>
              <w:t>7</w:t>
            </w:r>
          </w:p>
        </w:tc>
        <w:tc>
          <w:tcPr>
            <w:tcW w:w="8647" w:type="dxa"/>
          </w:tcPr>
          <w:p w:rsidR="0098730C" w:rsidRPr="003E3DB1" w:rsidRDefault="0098730C" w:rsidP="0076103C">
            <w:pPr>
              <w:spacing w:before="120" w:after="120"/>
              <w:rPr>
                <w:b/>
                <w:sz w:val="24"/>
                <w:szCs w:val="24"/>
              </w:rPr>
            </w:pPr>
            <w:r w:rsidRPr="003E3DB1">
              <w:rPr>
                <w:b/>
                <w:sz w:val="24"/>
                <w:szCs w:val="24"/>
              </w:rPr>
              <w:t>Communications and Engagement</w:t>
            </w:r>
          </w:p>
          <w:p w:rsidR="002C77DC" w:rsidRPr="003E3DB1" w:rsidRDefault="00331BF0" w:rsidP="002C77DC">
            <w:pPr>
              <w:rPr>
                <w:sz w:val="24"/>
                <w:szCs w:val="24"/>
              </w:rPr>
            </w:pPr>
            <w:r w:rsidRPr="003E3DB1">
              <w:rPr>
                <w:sz w:val="24"/>
                <w:szCs w:val="24"/>
              </w:rPr>
              <w:t xml:space="preserve">It has previously been agreed that </w:t>
            </w:r>
            <w:r w:rsidR="002C77DC" w:rsidRPr="003E3DB1">
              <w:rPr>
                <w:sz w:val="24"/>
                <w:szCs w:val="24"/>
              </w:rPr>
              <w:t xml:space="preserve">his paper </w:t>
            </w:r>
            <w:r w:rsidRPr="003E3DB1">
              <w:rPr>
                <w:sz w:val="24"/>
                <w:szCs w:val="24"/>
              </w:rPr>
              <w:t xml:space="preserve">could </w:t>
            </w:r>
            <w:r w:rsidR="0076103C" w:rsidRPr="003E3DB1">
              <w:rPr>
                <w:sz w:val="24"/>
                <w:szCs w:val="24"/>
              </w:rPr>
              <w:t>be published</w:t>
            </w:r>
            <w:r w:rsidR="002C77DC" w:rsidRPr="003E3DB1">
              <w:rPr>
                <w:sz w:val="24"/>
                <w:szCs w:val="24"/>
              </w:rPr>
              <w:t>.</w:t>
            </w:r>
            <w:r w:rsidR="00340D8F" w:rsidRPr="003E3DB1">
              <w:rPr>
                <w:sz w:val="24"/>
                <w:szCs w:val="24"/>
              </w:rPr>
              <w:t xml:space="preserve"> </w:t>
            </w:r>
          </w:p>
          <w:p w:rsidR="007453A1" w:rsidRPr="002B43CC" w:rsidRDefault="007453A1" w:rsidP="0098730C">
            <w:pPr>
              <w:rPr>
                <w:sz w:val="24"/>
                <w:szCs w:val="24"/>
                <w:highlight w:val="yellow"/>
              </w:rPr>
            </w:pPr>
          </w:p>
        </w:tc>
      </w:tr>
    </w:tbl>
    <w:tbl>
      <w:tblPr>
        <w:tblStyle w:val="TableGrid"/>
        <w:tblpPr w:leftFromText="180" w:rightFromText="180" w:vertAnchor="text" w:horzAnchor="margin" w:tblpY="406"/>
        <w:tblW w:w="9493" w:type="dxa"/>
        <w:tblLook w:val="04A0" w:firstRow="1" w:lastRow="0" w:firstColumn="1" w:lastColumn="0" w:noHBand="0" w:noVBand="1"/>
      </w:tblPr>
      <w:tblGrid>
        <w:gridCol w:w="9493"/>
      </w:tblGrid>
      <w:tr w:rsidR="00B12413" w:rsidTr="0069347A">
        <w:tc>
          <w:tcPr>
            <w:tcW w:w="9493" w:type="dxa"/>
            <w:shd w:val="clear" w:color="auto" w:fill="D9D9D9" w:themeFill="background1" w:themeFillShade="D9"/>
          </w:tcPr>
          <w:p w:rsidR="00B12413" w:rsidRPr="0098730C" w:rsidRDefault="00B12413" w:rsidP="0069347A">
            <w:pPr>
              <w:rPr>
                <w:b/>
                <w:sz w:val="24"/>
                <w:szCs w:val="24"/>
              </w:rPr>
            </w:pPr>
            <w:r w:rsidRPr="0098730C">
              <w:rPr>
                <w:b/>
                <w:sz w:val="24"/>
                <w:szCs w:val="24"/>
              </w:rPr>
              <w:t>Appendices/Further Reading</w:t>
            </w:r>
          </w:p>
        </w:tc>
      </w:tr>
      <w:tr w:rsidR="00B12413" w:rsidTr="0069347A">
        <w:tc>
          <w:tcPr>
            <w:tcW w:w="9493" w:type="dxa"/>
            <w:tcBorders>
              <w:right w:val="single" w:sz="4" w:space="0" w:color="auto"/>
            </w:tcBorders>
          </w:tcPr>
          <w:p w:rsidR="00B12413" w:rsidRDefault="00C103CC" w:rsidP="0069347A">
            <w:pPr>
              <w:spacing w:before="120" w:after="120"/>
              <w:rPr>
                <w:sz w:val="24"/>
                <w:szCs w:val="24"/>
              </w:rPr>
            </w:pPr>
            <w:r>
              <w:rPr>
                <w:sz w:val="24"/>
                <w:szCs w:val="24"/>
              </w:rPr>
              <w:t>Appendix 1</w:t>
            </w:r>
            <w:r w:rsidR="00202825">
              <w:rPr>
                <w:sz w:val="24"/>
                <w:szCs w:val="24"/>
              </w:rPr>
              <w:t xml:space="preserve"> </w:t>
            </w:r>
            <w:r w:rsidR="004154F4">
              <w:rPr>
                <w:sz w:val="24"/>
                <w:szCs w:val="24"/>
              </w:rPr>
              <w:t xml:space="preserve">Property Asset management plan </w:t>
            </w:r>
            <w:r w:rsidR="00B72616">
              <w:rPr>
                <w:sz w:val="24"/>
                <w:szCs w:val="24"/>
              </w:rPr>
              <w:t>21</w:t>
            </w:r>
            <w:r w:rsidR="00B72616" w:rsidRPr="00B72616">
              <w:rPr>
                <w:sz w:val="24"/>
                <w:szCs w:val="24"/>
                <w:vertAlign w:val="superscript"/>
              </w:rPr>
              <w:t>st</w:t>
            </w:r>
            <w:r w:rsidR="00B72616">
              <w:rPr>
                <w:sz w:val="24"/>
                <w:szCs w:val="24"/>
              </w:rPr>
              <w:t xml:space="preserve"> March </w:t>
            </w:r>
            <w:r w:rsidR="004154F4">
              <w:rPr>
                <w:sz w:val="24"/>
                <w:szCs w:val="24"/>
              </w:rPr>
              <w:t>20</w:t>
            </w:r>
            <w:r w:rsidR="00423C4A">
              <w:rPr>
                <w:sz w:val="24"/>
                <w:szCs w:val="24"/>
              </w:rPr>
              <w:t>22</w:t>
            </w:r>
          </w:p>
          <w:p w:rsidR="00A26053" w:rsidRDefault="00A26053" w:rsidP="0069347A">
            <w:pPr>
              <w:spacing w:before="120" w:after="120"/>
              <w:rPr>
                <w:sz w:val="24"/>
                <w:szCs w:val="24"/>
              </w:rPr>
            </w:pPr>
          </w:p>
        </w:tc>
      </w:tr>
    </w:tbl>
    <w:tbl>
      <w:tblPr>
        <w:tblStyle w:val="TableGrid"/>
        <w:tblpPr w:leftFromText="180" w:rightFromText="180" w:vertAnchor="page" w:horzAnchor="margin" w:tblpY="12646"/>
        <w:tblW w:w="9493" w:type="dxa"/>
        <w:tblLook w:val="04A0" w:firstRow="1" w:lastRow="0" w:firstColumn="1" w:lastColumn="0" w:noHBand="0" w:noVBand="1"/>
      </w:tblPr>
      <w:tblGrid>
        <w:gridCol w:w="9493"/>
      </w:tblGrid>
      <w:tr w:rsidR="00C25FD2" w:rsidRPr="0098730C" w:rsidDel="00C25FD2" w:rsidTr="00C25FD2">
        <w:tc>
          <w:tcPr>
            <w:tcW w:w="9493" w:type="dxa"/>
            <w:shd w:val="clear" w:color="auto" w:fill="D9D9D9" w:themeFill="background1" w:themeFillShade="D9"/>
          </w:tcPr>
          <w:p w:rsidR="00C25FD2" w:rsidRPr="0098730C" w:rsidDel="00C25FD2" w:rsidRDefault="00C25FD2" w:rsidP="00C25FD2">
            <w:pPr>
              <w:rPr>
                <w:b/>
                <w:sz w:val="24"/>
                <w:szCs w:val="24"/>
              </w:rPr>
            </w:pPr>
            <w:r w:rsidRPr="0098730C" w:rsidDel="00C25FD2">
              <w:rPr>
                <w:b/>
                <w:sz w:val="24"/>
                <w:szCs w:val="24"/>
              </w:rPr>
              <w:t>Conclusion and next steps</w:t>
            </w:r>
          </w:p>
        </w:tc>
      </w:tr>
      <w:tr w:rsidR="00C25FD2" w:rsidRPr="0098730C" w:rsidDel="00C25FD2" w:rsidTr="00AF634D">
        <w:trPr>
          <w:trHeight w:val="1402"/>
        </w:trPr>
        <w:tc>
          <w:tcPr>
            <w:tcW w:w="9493" w:type="dxa"/>
            <w:shd w:val="clear" w:color="auto" w:fill="FFFFFF" w:themeFill="background1"/>
          </w:tcPr>
          <w:p w:rsidR="00C25FD2" w:rsidRPr="00A26053" w:rsidDel="00C25FD2" w:rsidRDefault="00A26053" w:rsidP="00AF634D">
            <w:pPr>
              <w:jc w:val="both"/>
              <w:rPr>
                <w:sz w:val="24"/>
                <w:szCs w:val="24"/>
              </w:rPr>
            </w:pPr>
            <w:r w:rsidRPr="00A26053">
              <w:rPr>
                <w:sz w:val="24"/>
                <w:szCs w:val="24"/>
              </w:rPr>
              <w:t>T</w:t>
            </w:r>
            <w:r w:rsidR="00B72616">
              <w:rPr>
                <w:sz w:val="24"/>
                <w:szCs w:val="24"/>
              </w:rPr>
              <w:t>his year will bring further changes with the likelihood of further relaxations in guidance in relation to the pandemic, DANWE project outcomes and Policy, designing a new physical working environment with impacts of letting our more space and utilising SLAB space differently along with new standards for PDSO and CLAO</w:t>
            </w:r>
            <w:r w:rsidR="00AF634D">
              <w:rPr>
                <w:sz w:val="24"/>
                <w:szCs w:val="24"/>
              </w:rPr>
              <w:t xml:space="preserve">, resulting in better quality accommodation. </w:t>
            </w:r>
          </w:p>
        </w:tc>
      </w:tr>
    </w:tbl>
    <w:p w:rsidR="00E77CAA" w:rsidRDefault="00E77CAA" w:rsidP="00A26053">
      <w:pPr>
        <w:rPr>
          <w:b/>
          <w:snapToGrid w:val="0"/>
          <w:sz w:val="32"/>
          <w:szCs w:val="32"/>
        </w:rPr>
      </w:pPr>
    </w:p>
    <w:p w:rsidR="00AF634D" w:rsidRDefault="00AF634D" w:rsidP="004154F4">
      <w:pPr>
        <w:jc w:val="right"/>
        <w:rPr>
          <w:b/>
          <w:snapToGrid w:val="0"/>
          <w:sz w:val="32"/>
          <w:szCs w:val="32"/>
        </w:rPr>
      </w:pPr>
    </w:p>
    <w:p w:rsidR="004154F4" w:rsidRPr="00ED6C0A" w:rsidRDefault="004154F4" w:rsidP="004154F4">
      <w:pPr>
        <w:jc w:val="right"/>
        <w:rPr>
          <w:b/>
          <w:snapToGrid w:val="0"/>
          <w:sz w:val="32"/>
          <w:szCs w:val="32"/>
        </w:rPr>
      </w:pPr>
      <w:r w:rsidRPr="00ED6C0A">
        <w:rPr>
          <w:b/>
          <w:snapToGrid w:val="0"/>
          <w:sz w:val="32"/>
          <w:szCs w:val="32"/>
        </w:rPr>
        <w:t>SCOTTISH LEGAL AID BOARD</w:t>
      </w:r>
    </w:p>
    <w:p w:rsidR="004154F4" w:rsidRPr="00ED6C0A" w:rsidRDefault="004154F4" w:rsidP="004154F4">
      <w:pPr>
        <w:jc w:val="right"/>
        <w:rPr>
          <w:b/>
          <w:snapToGrid w:val="0"/>
          <w:sz w:val="32"/>
          <w:szCs w:val="32"/>
        </w:rPr>
      </w:pPr>
      <w:r w:rsidRPr="00ED6C0A">
        <w:rPr>
          <w:b/>
          <w:snapToGrid w:val="0"/>
          <w:sz w:val="32"/>
          <w:szCs w:val="32"/>
        </w:rPr>
        <w:t>PROPERTY ASSET MANAGEMENT PLAN</w:t>
      </w:r>
    </w:p>
    <w:p w:rsidR="004154F4" w:rsidRPr="00ED6C0A" w:rsidRDefault="004154F4" w:rsidP="004154F4">
      <w:pPr>
        <w:jc w:val="right"/>
        <w:rPr>
          <w:b/>
          <w:snapToGrid w:val="0"/>
          <w:sz w:val="32"/>
          <w:szCs w:val="32"/>
        </w:rPr>
      </w:pPr>
    </w:p>
    <w:p w:rsidR="004154F4" w:rsidRPr="00ED6C0A" w:rsidRDefault="00AF634D" w:rsidP="004154F4">
      <w:pPr>
        <w:ind w:left="5760" w:firstLine="720"/>
        <w:rPr>
          <w:b/>
          <w:snapToGrid w:val="0"/>
          <w:sz w:val="24"/>
        </w:rPr>
      </w:pPr>
      <w:r>
        <w:rPr>
          <w:b/>
          <w:snapToGrid w:val="0"/>
          <w:sz w:val="32"/>
          <w:szCs w:val="32"/>
        </w:rPr>
        <w:t>MARCH</w:t>
      </w:r>
      <w:r w:rsidR="00423C4A">
        <w:rPr>
          <w:b/>
          <w:snapToGrid w:val="0"/>
          <w:sz w:val="32"/>
          <w:szCs w:val="32"/>
        </w:rPr>
        <w:t xml:space="preserve"> 2022</w:t>
      </w:r>
    </w:p>
    <w:p w:rsidR="004154F4" w:rsidRPr="00ED6C0A" w:rsidRDefault="004154F4" w:rsidP="004154F4">
      <w:pPr>
        <w:jc w:val="right"/>
        <w:rPr>
          <w:b/>
          <w:snapToGrid w:val="0"/>
          <w:sz w:val="40"/>
        </w:rPr>
      </w:pPr>
    </w:p>
    <w:p w:rsidR="004154F4" w:rsidRPr="00ED6C0A" w:rsidRDefault="004154F4" w:rsidP="004154F4">
      <w:pPr>
        <w:rPr>
          <w:b/>
          <w:snapToGrid w:val="0"/>
          <w:sz w:val="24"/>
        </w:rPr>
      </w:pPr>
    </w:p>
    <w:p w:rsidR="004154F4" w:rsidRPr="00ED6C0A" w:rsidRDefault="004154F4" w:rsidP="004154F4">
      <w:pPr>
        <w:rPr>
          <w:b/>
          <w:snapToGrid w:val="0"/>
          <w:sz w:val="24"/>
        </w:rPr>
      </w:pPr>
    </w:p>
    <w:p w:rsidR="004154F4" w:rsidRPr="00ED6C0A" w:rsidRDefault="004154F4" w:rsidP="004154F4">
      <w:pPr>
        <w:rPr>
          <w:b/>
          <w:snapToGrid w:val="0"/>
          <w:sz w:val="24"/>
        </w:rPr>
      </w:pPr>
    </w:p>
    <w:p w:rsidR="004154F4" w:rsidRPr="00ED6C0A" w:rsidRDefault="004154F4" w:rsidP="004154F4">
      <w:pPr>
        <w:rPr>
          <w:b/>
          <w:snapToGrid w:val="0"/>
          <w:sz w:val="24"/>
        </w:rPr>
      </w:pPr>
    </w:p>
    <w:p w:rsidR="004154F4" w:rsidRPr="00ED6C0A" w:rsidRDefault="004154F4" w:rsidP="004154F4">
      <w:pPr>
        <w:rPr>
          <w:b/>
          <w:snapToGrid w:val="0"/>
          <w:sz w:val="24"/>
        </w:rPr>
      </w:pPr>
    </w:p>
    <w:p w:rsidR="004154F4" w:rsidRPr="00ED6C0A" w:rsidRDefault="004154F4" w:rsidP="004154F4">
      <w:pPr>
        <w:rPr>
          <w:b/>
          <w:snapToGrid w:val="0"/>
          <w:sz w:val="24"/>
        </w:rPr>
      </w:pPr>
    </w:p>
    <w:p w:rsidR="004154F4" w:rsidRPr="00ED6C0A" w:rsidRDefault="004154F4" w:rsidP="004154F4">
      <w:pPr>
        <w:rPr>
          <w:b/>
          <w:snapToGrid w:val="0"/>
          <w:sz w:val="24"/>
        </w:rPr>
      </w:pPr>
    </w:p>
    <w:p w:rsidR="004154F4" w:rsidRPr="00ED6C0A" w:rsidRDefault="004154F4" w:rsidP="004154F4">
      <w:pPr>
        <w:jc w:val="center"/>
        <w:rPr>
          <w:b/>
          <w:snapToGrid w:val="0"/>
          <w:sz w:val="192"/>
          <w:szCs w:val="192"/>
        </w:rPr>
      </w:pPr>
    </w:p>
    <w:p w:rsidR="004154F4" w:rsidRPr="00ED6C0A" w:rsidRDefault="004154F4" w:rsidP="004154F4">
      <w:pPr>
        <w:rPr>
          <w:b/>
          <w:snapToGrid w:val="0"/>
          <w:sz w:val="24"/>
        </w:rPr>
      </w:pPr>
    </w:p>
    <w:p w:rsidR="004154F4" w:rsidRPr="00ED6C0A" w:rsidRDefault="004154F4" w:rsidP="004154F4">
      <w:pPr>
        <w:rPr>
          <w:b/>
          <w:snapToGrid w:val="0"/>
          <w:sz w:val="24"/>
        </w:rPr>
      </w:pPr>
    </w:p>
    <w:p w:rsidR="004154F4" w:rsidRPr="00ED6C0A" w:rsidRDefault="004154F4" w:rsidP="004154F4">
      <w:pPr>
        <w:rPr>
          <w:b/>
          <w:snapToGrid w:val="0"/>
          <w:sz w:val="24"/>
        </w:rPr>
      </w:pPr>
    </w:p>
    <w:p w:rsidR="004154F4" w:rsidRPr="00ED6C0A" w:rsidRDefault="004154F4" w:rsidP="004154F4">
      <w:pPr>
        <w:rPr>
          <w:b/>
          <w:snapToGrid w:val="0"/>
          <w:sz w:val="24"/>
        </w:rPr>
      </w:pPr>
    </w:p>
    <w:p w:rsidR="004154F4" w:rsidRPr="00ED6C0A" w:rsidRDefault="004154F4" w:rsidP="004154F4">
      <w:pPr>
        <w:rPr>
          <w:b/>
          <w:snapToGrid w:val="0"/>
          <w:sz w:val="24"/>
        </w:rPr>
      </w:pPr>
    </w:p>
    <w:p w:rsidR="004154F4" w:rsidRPr="00ED6C0A" w:rsidRDefault="004154F4" w:rsidP="004154F4">
      <w:pPr>
        <w:rPr>
          <w:b/>
          <w:snapToGrid w:val="0"/>
          <w:sz w:val="24"/>
        </w:rPr>
      </w:pPr>
    </w:p>
    <w:p w:rsidR="004154F4" w:rsidRPr="00ED6C0A" w:rsidRDefault="004154F4" w:rsidP="004154F4">
      <w:pPr>
        <w:rPr>
          <w:b/>
          <w:snapToGrid w:val="0"/>
          <w:sz w:val="24"/>
        </w:rPr>
      </w:pPr>
    </w:p>
    <w:p w:rsidR="004154F4" w:rsidRPr="00ED6C0A" w:rsidRDefault="004154F4" w:rsidP="004154F4">
      <w:pPr>
        <w:rPr>
          <w:b/>
          <w:snapToGrid w:val="0"/>
          <w:sz w:val="24"/>
        </w:rPr>
      </w:pPr>
    </w:p>
    <w:p w:rsidR="004154F4" w:rsidRPr="00ED6C0A" w:rsidRDefault="004154F4" w:rsidP="004154F4">
      <w:pPr>
        <w:rPr>
          <w:b/>
          <w:snapToGrid w:val="0"/>
          <w:sz w:val="24"/>
        </w:rPr>
      </w:pPr>
    </w:p>
    <w:p w:rsidR="004154F4" w:rsidRPr="00ED6C0A" w:rsidRDefault="004154F4" w:rsidP="004154F4">
      <w:pPr>
        <w:rPr>
          <w:b/>
          <w:snapToGrid w:val="0"/>
          <w:sz w:val="24"/>
        </w:rPr>
      </w:pPr>
    </w:p>
    <w:p w:rsidR="004154F4" w:rsidRPr="00ED6C0A" w:rsidRDefault="004154F4" w:rsidP="004154F4">
      <w:pPr>
        <w:rPr>
          <w:b/>
          <w:snapToGrid w:val="0"/>
          <w:sz w:val="24"/>
        </w:rPr>
      </w:pPr>
    </w:p>
    <w:tbl>
      <w:tblPr>
        <w:tblW w:w="0" w:type="auto"/>
        <w:tblLayout w:type="fixed"/>
        <w:tblLook w:val="0000" w:firstRow="0" w:lastRow="0" w:firstColumn="0" w:lastColumn="0" w:noHBand="0" w:noVBand="0"/>
      </w:tblPr>
      <w:tblGrid>
        <w:gridCol w:w="2235"/>
        <w:gridCol w:w="8221"/>
      </w:tblGrid>
      <w:tr w:rsidR="004154F4" w:rsidRPr="00ED6C0A" w:rsidTr="000E29E0">
        <w:tc>
          <w:tcPr>
            <w:tcW w:w="2235" w:type="dxa"/>
          </w:tcPr>
          <w:p w:rsidR="004154F4" w:rsidRPr="00ED6C0A" w:rsidRDefault="00B102B3" w:rsidP="000E29E0">
            <w:pPr>
              <w:rPr>
                <w:b/>
                <w:snapToGrid w:val="0"/>
                <w:sz w:val="24"/>
              </w:rPr>
            </w:pPr>
            <w:r>
              <w:rPr>
                <w:noProof/>
                <w:lang w:eastAsia="en-GB"/>
              </w:rPr>
              <w:drawing>
                <wp:inline distT="0" distB="0" distL="0" distR="0">
                  <wp:extent cx="895350" cy="1181100"/>
                  <wp:effectExtent l="0" t="0" r="0" b="0"/>
                  <wp:docPr id="3" name="Picture 3"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slab.slab.org.uk/wp-content/uploads/2019/09/SLAB-logo-changes-227x300.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95350" cy="1181100"/>
                          </a:xfrm>
                          <a:prstGeom prst="rect">
                            <a:avLst/>
                          </a:prstGeom>
                          <a:noFill/>
                          <a:ln>
                            <a:noFill/>
                          </a:ln>
                        </pic:spPr>
                      </pic:pic>
                    </a:graphicData>
                  </a:graphic>
                </wp:inline>
              </w:drawing>
            </w:r>
          </w:p>
        </w:tc>
        <w:tc>
          <w:tcPr>
            <w:tcW w:w="8221" w:type="dxa"/>
          </w:tcPr>
          <w:p w:rsidR="004154F4" w:rsidRPr="00ED6C0A" w:rsidRDefault="004154F4" w:rsidP="000E29E0">
            <w:pPr>
              <w:jc w:val="right"/>
              <w:rPr>
                <w:b/>
                <w:snapToGrid w:val="0"/>
                <w:sz w:val="28"/>
              </w:rPr>
            </w:pPr>
          </w:p>
          <w:p w:rsidR="004154F4" w:rsidRPr="00ED6C0A" w:rsidRDefault="004154F4" w:rsidP="000E29E0">
            <w:pPr>
              <w:jc w:val="right"/>
              <w:rPr>
                <w:b/>
                <w:snapToGrid w:val="0"/>
                <w:sz w:val="24"/>
              </w:rPr>
            </w:pPr>
          </w:p>
        </w:tc>
      </w:tr>
    </w:tbl>
    <w:p w:rsidR="004154F4" w:rsidRPr="00ED6C0A" w:rsidRDefault="004154F4" w:rsidP="004154F4">
      <w:pPr>
        <w:rPr>
          <w:b/>
          <w:snapToGrid w:val="0"/>
          <w:sz w:val="24"/>
        </w:rPr>
        <w:sectPr w:rsidR="004154F4" w:rsidRPr="00ED6C0A" w:rsidSect="004154F4">
          <w:pgSz w:w="11907" w:h="16840" w:code="9"/>
          <w:pgMar w:top="2268" w:right="1701" w:bottom="2268" w:left="1701" w:header="720" w:footer="720" w:gutter="0"/>
          <w:cols w:space="720"/>
          <w:noEndnote/>
        </w:sectPr>
      </w:pPr>
    </w:p>
    <w:p w:rsidR="004154F4" w:rsidRPr="00ED6C0A" w:rsidRDefault="004154F4" w:rsidP="004154F4">
      <w:pPr>
        <w:rPr>
          <w:b/>
          <w:snapToGrid w:val="0"/>
          <w:sz w:val="32"/>
          <w:szCs w:val="32"/>
        </w:rPr>
      </w:pPr>
    </w:p>
    <w:p w:rsidR="004154F4" w:rsidRPr="00ED6C0A" w:rsidRDefault="004154F4" w:rsidP="004154F4">
      <w:pPr>
        <w:rPr>
          <w:b/>
          <w:snapToGrid w:val="0"/>
          <w:sz w:val="32"/>
          <w:szCs w:val="32"/>
        </w:rPr>
      </w:pPr>
      <w:r w:rsidRPr="00ED6C0A">
        <w:rPr>
          <w:b/>
          <w:snapToGrid w:val="0"/>
          <w:sz w:val="32"/>
          <w:szCs w:val="32"/>
        </w:rPr>
        <w:lastRenderedPageBreak/>
        <w:t>CONTENTS</w:t>
      </w:r>
    </w:p>
    <w:p w:rsidR="004154F4" w:rsidRPr="00ED6C0A" w:rsidRDefault="004154F4" w:rsidP="004154F4">
      <w:pPr>
        <w:rPr>
          <w:b/>
          <w:snapToGrid w:val="0"/>
          <w:sz w:val="24"/>
          <w:szCs w:val="24"/>
        </w:rPr>
      </w:pPr>
    </w:p>
    <w:p w:rsidR="004154F4" w:rsidRPr="00ED6C0A" w:rsidRDefault="004154F4" w:rsidP="004154F4">
      <w:pPr>
        <w:rPr>
          <w:b/>
          <w:snapToGrid w:val="0"/>
          <w:sz w:val="24"/>
          <w:szCs w:val="24"/>
        </w:rPr>
      </w:pPr>
      <w:r w:rsidRPr="00ED6C0A">
        <w:rPr>
          <w:b/>
          <w:snapToGrid w:val="0"/>
          <w:sz w:val="24"/>
          <w:szCs w:val="24"/>
        </w:rPr>
        <w:t xml:space="preserve">1 </w:t>
      </w:r>
      <w:r w:rsidRPr="00ED6C0A">
        <w:rPr>
          <w:b/>
          <w:snapToGrid w:val="0"/>
          <w:sz w:val="24"/>
          <w:szCs w:val="24"/>
        </w:rPr>
        <w:tab/>
      </w:r>
      <w:r w:rsidRPr="00ED6C0A">
        <w:rPr>
          <w:snapToGrid w:val="0"/>
          <w:sz w:val="24"/>
          <w:szCs w:val="24"/>
        </w:rPr>
        <w:t xml:space="preserve">Foreword </w:t>
      </w:r>
    </w:p>
    <w:p w:rsidR="004154F4" w:rsidRPr="00ED6C0A" w:rsidRDefault="004154F4" w:rsidP="004154F4">
      <w:pPr>
        <w:rPr>
          <w:b/>
          <w:snapToGrid w:val="0"/>
          <w:sz w:val="24"/>
          <w:szCs w:val="24"/>
        </w:rPr>
      </w:pPr>
      <w:r w:rsidRPr="00ED6C0A">
        <w:rPr>
          <w:b/>
          <w:snapToGrid w:val="0"/>
          <w:sz w:val="24"/>
          <w:szCs w:val="24"/>
        </w:rPr>
        <w:tab/>
      </w:r>
    </w:p>
    <w:p w:rsidR="004154F4" w:rsidRPr="00ED6C0A" w:rsidRDefault="004154F4" w:rsidP="004154F4">
      <w:pPr>
        <w:rPr>
          <w:snapToGrid w:val="0"/>
          <w:sz w:val="24"/>
          <w:szCs w:val="24"/>
        </w:rPr>
      </w:pPr>
      <w:r w:rsidRPr="00ED6C0A">
        <w:rPr>
          <w:b/>
          <w:snapToGrid w:val="0"/>
          <w:sz w:val="24"/>
          <w:szCs w:val="24"/>
        </w:rPr>
        <w:t xml:space="preserve">2 </w:t>
      </w:r>
      <w:r w:rsidRPr="00ED6C0A">
        <w:rPr>
          <w:b/>
          <w:snapToGrid w:val="0"/>
          <w:sz w:val="24"/>
          <w:szCs w:val="24"/>
        </w:rPr>
        <w:tab/>
      </w:r>
      <w:r w:rsidRPr="00ED6C0A">
        <w:rPr>
          <w:snapToGrid w:val="0"/>
          <w:sz w:val="24"/>
          <w:szCs w:val="24"/>
        </w:rPr>
        <w:t>Introduction</w:t>
      </w:r>
    </w:p>
    <w:p w:rsidR="004154F4" w:rsidRPr="00ED6C0A" w:rsidRDefault="004154F4" w:rsidP="004154F4">
      <w:pPr>
        <w:ind w:left="360" w:hanging="360"/>
        <w:rPr>
          <w:b/>
          <w:snapToGrid w:val="0"/>
          <w:sz w:val="24"/>
          <w:szCs w:val="24"/>
        </w:rPr>
      </w:pPr>
    </w:p>
    <w:p w:rsidR="004154F4" w:rsidRPr="00ED6C0A" w:rsidRDefault="004154F4" w:rsidP="004154F4">
      <w:pPr>
        <w:ind w:left="360" w:hanging="360"/>
        <w:rPr>
          <w:snapToGrid w:val="0"/>
          <w:sz w:val="24"/>
          <w:szCs w:val="24"/>
        </w:rPr>
      </w:pPr>
      <w:r w:rsidRPr="00ED6C0A">
        <w:rPr>
          <w:b/>
          <w:snapToGrid w:val="0"/>
          <w:sz w:val="24"/>
          <w:szCs w:val="24"/>
        </w:rPr>
        <w:t xml:space="preserve">3 </w:t>
      </w:r>
      <w:r w:rsidRPr="00ED6C0A">
        <w:rPr>
          <w:b/>
          <w:snapToGrid w:val="0"/>
          <w:sz w:val="24"/>
          <w:szCs w:val="24"/>
        </w:rPr>
        <w:tab/>
      </w:r>
      <w:r w:rsidRPr="00ED6C0A">
        <w:rPr>
          <w:b/>
          <w:snapToGrid w:val="0"/>
          <w:sz w:val="24"/>
          <w:szCs w:val="24"/>
        </w:rPr>
        <w:tab/>
      </w:r>
      <w:r w:rsidRPr="00ED6C0A">
        <w:rPr>
          <w:snapToGrid w:val="0"/>
          <w:sz w:val="24"/>
          <w:szCs w:val="24"/>
        </w:rPr>
        <w:t>Current property asset base</w:t>
      </w:r>
    </w:p>
    <w:p w:rsidR="004154F4" w:rsidRPr="00ED6C0A" w:rsidRDefault="004154F4" w:rsidP="004154F4">
      <w:pPr>
        <w:ind w:left="360" w:hanging="360"/>
        <w:rPr>
          <w:b/>
          <w:snapToGrid w:val="0"/>
          <w:sz w:val="24"/>
          <w:szCs w:val="24"/>
        </w:rPr>
      </w:pPr>
    </w:p>
    <w:p w:rsidR="004154F4" w:rsidRPr="00ED6C0A" w:rsidRDefault="004154F4" w:rsidP="004154F4">
      <w:pPr>
        <w:ind w:left="360" w:hanging="360"/>
        <w:rPr>
          <w:b/>
          <w:snapToGrid w:val="0"/>
          <w:sz w:val="24"/>
          <w:szCs w:val="24"/>
        </w:rPr>
      </w:pPr>
      <w:r w:rsidRPr="00ED6C0A">
        <w:rPr>
          <w:b/>
          <w:snapToGrid w:val="0"/>
          <w:sz w:val="24"/>
          <w:szCs w:val="24"/>
        </w:rPr>
        <w:t xml:space="preserve">4 </w:t>
      </w:r>
      <w:r w:rsidRPr="00ED6C0A">
        <w:rPr>
          <w:b/>
          <w:snapToGrid w:val="0"/>
          <w:sz w:val="24"/>
          <w:szCs w:val="24"/>
        </w:rPr>
        <w:tab/>
      </w:r>
      <w:r w:rsidRPr="00ED6C0A">
        <w:rPr>
          <w:b/>
          <w:snapToGrid w:val="0"/>
          <w:sz w:val="24"/>
          <w:szCs w:val="24"/>
        </w:rPr>
        <w:tab/>
      </w:r>
      <w:r w:rsidRPr="00ED6C0A">
        <w:rPr>
          <w:snapToGrid w:val="0"/>
          <w:sz w:val="24"/>
          <w:szCs w:val="24"/>
        </w:rPr>
        <w:t>Alignment of business aims with property asset plans</w:t>
      </w:r>
    </w:p>
    <w:p w:rsidR="004154F4" w:rsidRPr="00ED6C0A" w:rsidRDefault="004154F4" w:rsidP="004154F4">
      <w:pPr>
        <w:rPr>
          <w:b/>
          <w:snapToGrid w:val="0"/>
          <w:sz w:val="24"/>
          <w:szCs w:val="24"/>
        </w:rPr>
      </w:pPr>
    </w:p>
    <w:p w:rsidR="004154F4" w:rsidRPr="00ED6C0A" w:rsidRDefault="004154F4" w:rsidP="004154F4">
      <w:pPr>
        <w:rPr>
          <w:snapToGrid w:val="0"/>
          <w:sz w:val="24"/>
          <w:szCs w:val="24"/>
        </w:rPr>
      </w:pPr>
      <w:r w:rsidRPr="00ED6C0A">
        <w:rPr>
          <w:b/>
          <w:snapToGrid w:val="0"/>
          <w:sz w:val="24"/>
          <w:szCs w:val="24"/>
        </w:rPr>
        <w:t>5</w:t>
      </w:r>
      <w:r w:rsidRPr="00ED6C0A">
        <w:rPr>
          <w:snapToGrid w:val="0"/>
          <w:sz w:val="24"/>
          <w:szCs w:val="24"/>
        </w:rPr>
        <w:t xml:space="preserve"> </w:t>
      </w:r>
      <w:r w:rsidRPr="00ED6C0A">
        <w:rPr>
          <w:snapToGrid w:val="0"/>
          <w:sz w:val="24"/>
          <w:szCs w:val="24"/>
        </w:rPr>
        <w:tab/>
        <w:t>Roles and responsibilities</w:t>
      </w:r>
    </w:p>
    <w:p w:rsidR="004154F4" w:rsidRPr="00ED6C0A" w:rsidRDefault="004154F4" w:rsidP="004154F4">
      <w:pPr>
        <w:rPr>
          <w:b/>
          <w:snapToGrid w:val="0"/>
          <w:sz w:val="24"/>
          <w:szCs w:val="24"/>
        </w:rPr>
      </w:pPr>
    </w:p>
    <w:p w:rsidR="004154F4" w:rsidRPr="00ED6C0A" w:rsidRDefault="004154F4" w:rsidP="004154F4">
      <w:pPr>
        <w:rPr>
          <w:snapToGrid w:val="0"/>
          <w:sz w:val="24"/>
          <w:szCs w:val="24"/>
        </w:rPr>
      </w:pPr>
      <w:r w:rsidRPr="00ED6C0A">
        <w:rPr>
          <w:b/>
          <w:snapToGrid w:val="0"/>
          <w:sz w:val="24"/>
          <w:szCs w:val="24"/>
        </w:rPr>
        <w:t xml:space="preserve">6 </w:t>
      </w:r>
      <w:r w:rsidRPr="00ED6C0A">
        <w:rPr>
          <w:b/>
          <w:snapToGrid w:val="0"/>
          <w:sz w:val="24"/>
          <w:szCs w:val="24"/>
        </w:rPr>
        <w:tab/>
      </w:r>
      <w:r w:rsidRPr="00ED6C0A">
        <w:rPr>
          <w:snapToGrid w:val="0"/>
          <w:sz w:val="24"/>
          <w:szCs w:val="24"/>
        </w:rPr>
        <w:t>Review and challenge</w:t>
      </w:r>
    </w:p>
    <w:p w:rsidR="004154F4" w:rsidRPr="00ED6C0A" w:rsidRDefault="004154F4" w:rsidP="004154F4">
      <w:pPr>
        <w:rPr>
          <w:snapToGrid w:val="0"/>
          <w:sz w:val="22"/>
        </w:rPr>
      </w:pPr>
    </w:p>
    <w:p w:rsidR="004154F4" w:rsidRPr="00ED6C0A" w:rsidRDefault="004154F4" w:rsidP="004273FF">
      <w:pPr>
        <w:pStyle w:val="Heading3"/>
        <w:keepNext/>
        <w:numPr>
          <w:ilvl w:val="0"/>
          <w:numId w:val="9"/>
        </w:numPr>
        <w:jc w:val="both"/>
        <w:rPr>
          <w:sz w:val="32"/>
          <w:szCs w:val="32"/>
        </w:rPr>
        <w:sectPr w:rsidR="004154F4" w:rsidRPr="00ED6C0A" w:rsidSect="000E29E0">
          <w:headerReference w:type="default" r:id="rId15"/>
          <w:footerReference w:type="default" r:id="rId16"/>
          <w:type w:val="continuous"/>
          <w:pgSz w:w="11907" w:h="16840" w:code="9"/>
          <w:pgMar w:top="907" w:right="851" w:bottom="907" w:left="851" w:header="720" w:footer="720" w:gutter="0"/>
          <w:pgNumType w:start="1"/>
          <w:cols w:space="720"/>
          <w:noEndnote/>
        </w:sectPr>
      </w:pPr>
    </w:p>
    <w:p w:rsidR="004154F4" w:rsidRPr="000439F1" w:rsidRDefault="004154F4" w:rsidP="004273FF">
      <w:pPr>
        <w:pStyle w:val="Heading3"/>
        <w:keepNext/>
        <w:numPr>
          <w:ilvl w:val="0"/>
          <w:numId w:val="9"/>
        </w:numPr>
        <w:tabs>
          <w:tab w:val="clear" w:pos="720"/>
          <w:tab w:val="num" w:pos="567"/>
        </w:tabs>
        <w:rPr>
          <w:b/>
          <w:i w:val="0"/>
          <w:sz w:val="22"/>
          <w:szCs w:val="22"/>
        </w:rPr>
      </w:pPr>
      <w:r w:rsidRPr="000439F1">
        <w:rPr>
          <w:b/>
          <w:i w:val="0"/>
          <w:sz w:val="22"/>
          <w:szCs w:val="22"/>
        </w:rPr>
        <w:lastRenderedPageBreak/>
        <w:t>Foreword</w:t>
      </w:r>
    </w:p>
    <w:p w:rsidR="004154F4" w:rsidRDefault="004154F4" w:rsidP="004154F4"/>
    <w:p w:rsidR="004154F4" w:rsidRPr="00ED6C0A" w:rsidRDefault="004154F4" w:rsidP="004154F4">
      <w:pPr>
        <w:jc w:val="both"/>
        <w:rPr>
          <w:sz w:val="22"/>
          <w:szCs w:val="22"/>
        </w:rPr>
      </w:pPr>
      <w:r w:rsidRPr="00ED6C0A">
        <w:rPr>
          <w:sz w:val="22"/>
          <w:szCs w:val="22"/>
        </w:rPr>
        <w:t>Property is the second most costly resource for the Scottish Legal Aid Board (SLAB) after its staff. Good quality, well-located accommodation is important to the effective running of the business of SLAB and it should serve and shape how we work as well as provide value for money. Of all resources property, due to its physical nature and tenure restrictions, can be the slowest to enable reaction to changes in business, IT, human resources, working methods and other external influences.</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This property asset management plan sets out an overarching vision for corporate property assets and property services across SLAB’s activities comprising our central headquarters and the networks of Public Defence Solicitors’ Offices (PDSO) and Civil Legal Assistance Offices (CLAO) across Scotland.  Our objective is a property estate of an appropriate quality that supports SLAB in the delivery of its corporate objectives whilst at the same time delivering best value.</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 xml:space="preserve">The plan reflects the need for our property assets to meet the needs of users.  For the PDSO and CLAO a primary consideration will be how the location and function of property meets the needs of clients and the service. The physical environment will need to meet the needs of staff in delivering their services while the location has to facilitate effective and economic interaction with other services, including the courts.  </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We moved our central headquarters in 2015. The selection of Thistle House enabled us to maintain the location at the west end of Edinburgh with exceptionally good transport links, thus avoiding any significant disruption</w:t>
      </w:r>
      <w:r w:rsidR="006E536A">
        <w:rPr>
          <w:sz w:val="22"/>
          <w:szCs w:val="22"/>
        </w:rPr>
        <w:t xml:space="preserve">; however a number of years on, with the impact of the </w:t>
      </w:r>
      <w:proofErr w:type="spellStart"/>
      <w:r w:rsidR="006E536A">
        <w:rPr>
          <w:sz w:val="22"/>
          <w:szCs w:val="22"/>
        </w:rPr>
        <w:t>Covid</w:t>
      </w:r>
      <w:proofErr w:type="spellEnd"/>
      <w:r w:rsidR="006E536A">
        <w:rPr>
          <w:sz w:val="22"/>
          <w:szCs w:val="22"/>
        </w:rPr>
        <w:t xml:space="preserve"> pandemic, a number of our aims and vision may be transformed during the latter part of 2022 as the Designing a New Working Environment (DANWE) </w:t>
      </w:r>
      <w:r w:rsidR="000B1D60">
        <w:rPr>
          <w:sz w:val="22"/>
          <w:szCs w:val="22"/>
        </w:rPr>
        <w:t xml:space="preserve">project </w:t>
      </w:r>
      <w:r w:rsidR="006E536A">
        <w:rPr>
          <w:sz w:val="22"/>
          <w:szCs w:val="22"/>
        </w:rPr>
        <w:t>shapes new policy and working requirements for the organisation along with certain change to office design, utilisation and use</w:t>
      </w:r>
      <w:r w:rsidRPr="00ED6C0A">
        <w:rPr>
          <w:sz w:val="22"/>
          <w:szCs w:val="22"/>
        </w:rPr>
        <w:t xml:space="preserve">.  </w:t>
      </w:r>
    </w:p>
    <w:p w:rsidR="004154F4" w:rsidRPr="00ED6C0A" w:rsidRDefault="004154F4" w:rsidP="004154F4">
      <w:pPr>
        <w:jc w:val="both"/>
        <w:rPr>
          <w:sz w:val="22"/>
          <w:szCs w:val="22"/>
        </w:rPr>
      </w:pPr>
    </w:p>
    <w:p w:rsidR="004154F4" w:rsidRPr="00ED6C0A" w:rsidRDefault="006E536A" w:rsidP="004154F4">
      <w:pPr>
        <w:jc w:val="both"/>
        <w:rPr>
          <w:sz w:val="22"/>
          <w:szCs w:val="22"/>
        </w:rPr>
      </w:pPr>
      <w:r>
        <w:rPr>
          <w:sz w:val="22"/>
          <w:szCs w:val="22"/>
        </w:rPr>
        <w:t xml:space="preserve">Prior to </w:t>
      </w:r>
      <w:proofErr w:type="spellStart"/>
      <w:r>
        <w:rPr>
          <w:sz w:val="22"/>
          <w:szCs w:val="22"/>
        </w:rPr>
        <w:t>Covid</w:t>
      </w:r>
      <w:proofErr w:type="spellEnd"/>
      <w:r>
        <w:rPr>
          <w:sz w:val="22"/>
          <w:szCs w:val="22"/>
        </w:rPr>
        <w:t>, w</w:t>
      </w:r>
      <w:r w:rsidR="004154F4" w:rsidRPr="00ED6C0A">
        <w:rPr>
          <w:sz w:val="22"/>
          <w:szCs w:val="22"/>
        </w:rPr>
        <w:t>e ha</w:t>
      </w:r>
      <w:r>
        <w:rPr>
          <w:sz w:val="22"/>
          <w:szCs w:val="22"/>
        </w:rPr>
        <w:t>d</w:t>
      </w:r>
      <w:r w:rsidR="004154F4" w:rsidRPr="00ED6C0A">
        <w:rPr>
          <w:sz w:val="22"/>
          <w:szCs w:val="22"/>
        </w:rPr>
        <w:t xml:space="preserve"> established clear priorities for property services.  </w:t>
      </w:r>
      <w:r>
        <w:rPr>
          <w:sz w:val="22"/>
          <w:szCs w:val="22"/>
        </w:rPr>
        <w:t>C</w:t>
      </w:r>
      <w:r w:rsidR="004154F4" w:rsidRPr="00ED6C0A">
        <w:rPr>
          <w:sz w:val="22"/>
          <w:szCs w:val="22"/>
        </w:rPr>
        <w:t>ontinued focus w</w:t>
      </w:r>
      <w:r>
        <w:rPr>
          <w:sz w:val="22"/>
          <w:szCs w:val="22"/>
        </w:rPr>
        <w:t>as</w:t>
      </w:r>
      <w:r w:rsidR="004154F4" w:rsidRPr="00ED6C0A">
        <w:rPr>
          <w:sz w:val="22"/>
          <w:szCs w:val="22"/>
        </w:rPr>
        <w:t xml:space="preserve"> placed on the delivery of best value in the provision of property assets.  For our central headquarters this include</w:t>
      </w:r>
      <w:r>
        <w:rPr>
          <w:sz w:val="22"/>
          <w:szCs w:val="22"/>
        </w:rPr>
        <w:t>d</w:t>
      </w:r>
      <w:r w:rsidR="004154F4" w:rsidRPr="00ED6C0A">
        <w:rPr>
          <w:sz w:val="22"/>
          <w:szCs w:val="22"/>
        </w:rPr>
        <w:t xml:space="preserve"> optimising the utilisation of space and creating opportunities for future letting of available space and looking at smarter working to provide breakout and collabor</w:t>
      </w:r>
      <w:r>
        <w:rPr>
          <w:sz w:val="22"/>
          <w:szCs w:val="22"/>
        </w:rPr>
        <w:t>ative solutions for staff. It is reasonable to assume that for now and in the future our focus on best value remains at the heart of our Asset Management Plan.</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 xml:space="preserve">One of the benefits of continuing to rationalise our use of space is that we are able to offer more accommodation to the wider Scottish Government community. </w:t>
      </w:r>
      <w:r w:rsidR="006E536A">
        <w:rPr>
          <w:sz w:val="22"/>
          <w:szCs w:val="22"/>
        </w:rPr>
        <w:t>An e</w:t>
      </w:r>
      <w:r w:rsidRPr="00ED6C0A">
        <w:rPr>
          <w:sz w:val="22"/>
          <w:szCs w:val="22"/>
        </w:rPr>
        <w:t xml:space="preserve">xample of this rationalisation </w:t>
      </w:r>
      <w:r w:rsidR="00455F1A">
        <w:rPr>
          <w:sz w:val="22"/>
          <w:szCs w:val="22"/>
        </w:rPr>
        <w:t xml:space="preserve">was </w:t>
      </w:r>
      <w:r w:rsidR="00455F1A" w:rsidRPr="00ED6C0A">
        <w:rPr>
          <w:sz w:val="22"/>
          <w:szCs w:val="22"/>
        </w:rPr>
        <w:t>demonstrated</w:t>
      </w:r>
      <w:r w:rsidRPr="00ED6C0A">
        <w:rPr>
          <w:sz w:val="22"/>
          <w:szCs w:val="22"/>
        </w:rPr>
        <w:t xml:space="preserve"> with the Mental Welfare Commission for Scotland, an existing tenant on the 3</w:t>
      </w:r>
      <w:r w:rsidRPr="00ED6C0A">
        <w:rPr>
          <w:sz w:val="22"/>
          <w:szCs w:val="22"/>
          <w:vertAlign w:val="superscript"/>
        </w:rPr>
        <w:t>rd</w:t>
      </w:r>
      <w:r w:rsidRPr="00ED6C0A">
        <w:rPr>
          <w:sz w:val="22"/>
          <w:szCs w:val="22"/>
        </w:rPr>
        <w:t xml:space="preserve"> floor of Thistle House, to rationalise and reduce the space they occupied, thereby allowing us to accommodate Children’s Hearing Scotland in 2019.</w:t>
      </w:r>
      <w:r w:rsidR="00455F1A">
        <w:rPr>
          <w:sz w:val="22"/>
          <w:szCs w:val="22"/>
        </w:rPr>
        <w:t xml:space="preserve"> This resulted in a shared but separate space for two organisations that moved the design of the workplace into the modern collaborative space that SLAB will look to achieve as part of our journey with the DANWE Project. </w:t>
      </w:r>
    </w:p>
    <w:p w:rsidR="004154F4" w:rsidRPr="00ED6C0A" w:rsidRDefault="004154F4" w:rsidP="004154F4">
      <w:pPr>
        <w:jc w:val="both"/>
        <w:rPr>
          <w:sz w:val="22"/>
          <w:szCs w:val="22"/>
        </w:rPr>
      </w:pPr>
    </w:p>
    <w:p w:rsidR="004154F4" w:rsidRPr="00ED6C0A" w:rsidRDefault="004154F4" w:rsidP="004154F4">
      <w:pPr>
        <w:jc w:val="both"/>
        <w:rPr>
          <w:sz w:val="22"/>
          <w:szCs w:val="22"/>
        </w:rPr>
      </w:pPr>
    </w:p>
    <w:p w:rsidR="004154F4" w:rsidRPr="000439F1" w:rsidRDefault="004154F4" w:rsidP="004273FF">
      <w:pPr>
        <w:pStyle w:val="Heading3"/>
        <w:keepNext/>
        <w:numPr>
          <w:ilvl w:val="0"/>
          <w:numId w:val="9"/>
        </w:numPr>
        <w:tabs>
          <w:tab w:val="clear" w:pos="720"/>
          <w:tab w:val="num" w:pos="567"/>
        </w:tabs>
        <w:rPr>
          <w:b/>
          <w:i w:val="0"/>
          <w:sz w:val="22"/>
          <w:szCs w:val="22"/>
        </w:rPr>
      </w:pPr>
      <w:r>
        <w:rPr>
          <w:szCs w:val="22"/>
        </w:rPr>
        <w:br w:type="page"/>
      </w:r>
      <w:r w:rsidRPr="000439F1">
        <w:rPr>
          <w:b/>
          <w:i w:val="0"/>
          <w:sz w:val="22"/>
          <w:szCs w:val="22"/>
        </w:rPr>
        <w:lastRenderedPageBreak/>
        <w:t>Introduction</w:t>
      </w:r>
    </w:p>
    <w:p w:rsidR="004154F4" w:rsidRPr="00ED6C0A" w:rsidRDefault="004154F4" w:rsidP="004154F4"/>
    <w:p w:rsidR="004154F4" w:rsidRPr="00ED6C0A" w:rsidRDefault="004154F4" w:rsidP="004154F4">
      <w:pPr>
        <w:jc w:val="both"/>
        <w:rPr>
          <w:sz w:val="22"/>
          <w:szCs w:val="22"/>
        </w:rPr>
      </w:pPr>
      <w:r w:rsidRPr="00ED6C0A">
        <w:rPr>
          <w:sz w:val="22"/>
          <w:szCs w:val="22"/>
        </w:rPr>
        <w:t xml:space="preserve">This document is SLAB’s </w:t>
      </w:r>
      <w:r w:rsidR="00890A94">
        <w:rPr>
          <w:sz w:val="22"/>
          <w:szCs w:val="22"/>
        </w:rPr>
        <w:t>eighth</w:t>
      </w:r>
      <w:r w:rsidRPr="00ED6C0A">
        <w:rPr>
          <w:sz w:val="22"/>
          <w:szCs w:val="22"/>
        </w:rPr>
        <w:t xml:space="preserve"> Asset Management Plan. It is set out within a framework suggested by the Office for Government Commerce (OGC). We view this plan as a strategy document to be used for an ongoing asset management strategy review. </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In April 2019 the Scottish Government issued an Estate Strategy for the central estate. It includes key objectives, underlying principles and measures of success and is intended to provide clarity on what is expected of organisations and their future property needs.</w:t>
      </w:r>
      <w:r w:rsidR="00B572F3">
        <w:rPr>
          <w:sz w:val="22"/>
          <w:szCs w:val="22"/>
        </w:rPr>
        <w:t xml:space="preserve"> SLAB continues to base the Strategy around this; however many short term changes due to </w:t>
      </w:r>
      <w:proofErr w:type="spellStart"/>
      <w:r w:rsidR="00B572F3">
        <w:rPr>
          <w:sz w:val="22"/>
          <w:szCs w:val="22"/>
        </w:rPr>
        <w:t>Covid</w:t>
      </w:r>
      <w:proofErr w:type="spellEnd"/>
      <w:r w:rsidR="00B572F3">
        <w:rPr>
          <w:sz w:val="22"/>
          <w:szCs w:val="22"/>
        </w:rPr>
        <w:t xml:space="preserve"> have been implemented and there is a</w:t>
      </w:r>
      <w:r w:rsidR="00890A94">
        <w:rPr>
          <w:sz w:val="22"/>
          <w:szCs w:val="22"/>
        </w:rPr>
        <w:t xml:space="preserve">n anticipated </w:t>
      </w:r>
      <w:r w:rsidR="00B572F3">
        <w:rPr>
          <w:sz w:val="22"/>
          <w:szCs w:val="22"/>
        </w:rPr>
        <w:t xml:space="preserve">development of a new Scottish Government Strategy following the </w:t>
      </w:r>
      <w:r w:rsidR="00890A94">
        <w:rPr>
          <w:sz w:val="22"/>
          <w:szCs w:val="22"/>
        </w:rPr>
        <w:t xml:space="preserve">reduction and likely end to </w:t>
      </w:r>
      <w:proofErr w:type="spellStart"/>
      <w:r w:rsidR="00B572F3">
        <w:rPr>
          <w:sz w:val="22"/>
          <w:szCs w:val="22"/>
        </w:rPr>
        <w:t>Covid</w:t>
      </w:r>
      <w:proofErr w:type="spellEnd"/>
      <w:r w:rsidR="00B572F3">
        <w:rPr>
          <w:sz w:val="22"/>
          <w:szCs w:val="22"/>
        </w:rPr>
        <w:t xml:space="preserve"> restrictions and </w:t>
      </w:r>
      <w:r w:rsidR="00890A94">
        <w:rPr>
          <w:sz w:val="22"/>
          <w:szCs w:val="22"/>
        </w:rPr>
        <w:t>impending</w:t>
      </w:r>
      <w:r w:rsidR="00B572F3">
        <w:rPr>
          <w:sz w:val="22"/>
          <w:szCs w:val="22"/>
        </w:rPr>
        <w:t xml:space="preserve"> removal of the best practice of 1 meter social distancing in public offices.  </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The central estate supports Scottish Government and its public body network in delivering public services across Scotland.</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Physical assets can also support the outcomes embedded in our National Performance Framework, contributing to local economic impact and provide the opportunity to connect and interact with the communities that we serve. Planning ahead will ensure we have the right property and services in the right location, with the opportunity for a sustainable and well-managed estate.</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The Scottish Government estate strategy builds on changes already achieved across central estate offices:</w:t>
      </w:r>
    </w:p>
    <w:p w:rsidR="004154F4" w:rsidRPr="00ED6C0A" w:rsidRDefault="004154F4" w:rsidP="004154F4">
      <w:pPr>
        <w:jc w:val="both"/>
        <w:rPr>
          <w:sz w:val="22"/>
          <w:szCs w:val="22"/>
        </w:rPr>
      </w:pPr>
      <w:r w:rsidRPr="00ED6C0A">
        <w:rPr>
          <w:sz w:val="22"/>
          <w:szCs w:val="22"/>
        </w:rPr>
        <w:t>• A reduction in the total estate size of 25% between 2012/13 and 2017/18.</w:t>
      </w:r>
    </w:p>
    <w:p w:rsidR="004154F4" w:rsidRPr="00ED6C0A" w:rsidRDefault="004154F4" w:rsidP="004154F4">
      <w:pPr>
        <w:jc w:val="both"/>
        <w:rPr>
          <w:sz w:val="22"/>
          <w:szCs w:val="22"/>
        </w:rPr>
      </w:pPr>
      <w:r w:rsidRPr="00ED6C0A">
        <w:rPr>
          <w:sz w:val="22"/>
          <w:szCs w:val="22"/>
        </w:rPr>
        <w:t>• A reduction in running costs of 27% over that period.</w:t>
      </w:r>
    </w:p>
    <w:p w:rsidR="004154F4" w:rsidRPr="00ED6C0A" w:rsidRDefault="004154F4" w:rsidP="004154F4">
      <w:pPr>
        <w:jc w:val="both"/>
        <w:rPr>
          <w:sz w:val="22"/>
          <w:szCs w:val="22"/>
        </w:rPr>
      </w:pPr>
      <w:r w:rsidRPr="00ED6C0A">
        <w:rPr>
          <w:sz w:val="22"/>
          <w:szCs w:val="22"/>
        </w:rPr>
        <w:t>• A transition by many organisations to ‘smart working’ practices.</w:t>
      </w:r>
    </w:p>
    <w:p w:rsidR="004154F4" w:rsidRPr="00ED6C0A" w:rsidRDefault="004154F4" w:rsidP="004154F4">
      <w:pPr>
        <w:jc w:val="both"/>
        <w:rPr>
          <w:sz w:val="22"/>
          <w:szCs w:val="22"/>
        </w:rPr>
      </w:pPr>
    </w:p>
    <w:p w:rsidR="00B572F3" w:rsidRDefault="00B572F3" w:rsidP="004154F4">
      <w:pPr>
        <w:jc w:val="both"/>
        <w:rPr>
          <w:sz w:val="22"/>
          <w:szCs w:val="22"/>
        </w:rPr>
      </w:pPr>
      <w:r>
        <w:rPr>
          <w:sz w:val="22"/>
          <w:szCs w:val="22"/>
        </w:rPr>
        <w:t>However, many organisations including Scottish Government are in a state of transition awaiting and developing new strategies to support the longer term changes in office working practices.</w:t>
      </w:r>
    </w:p>
    <w:p w:rsidR="00B572F3" w:rsidRDefault="00B572F3" w:rsidP="004154F4">
      <w:pPr>
        <w:jc w:val="both"/>
        <w:rPr>
          <w:sz w:val="22"/>
          <w:szCs w:val="22"/>
        </w:rPr>
      </w:pPr>
    </w:p>
    <w:p w:rsidR="004154F4" w:rsidRPr="00ED6C0A" w:rsidRDefault="00B572F3" w:rsidP="004154F4">
      <w:pPr>
        <w:jc w:val="both"/>
        <w:rPr>
          <w:sz w:val="22"/>
          <w:szCs w:val="22"/>
        </w:rPr>
      </w:pPr>
      <w:r>
        <w:rPr>
          <w:sz w:val="22"/>
          <w:szCs w:val="22"/>
        </w:rPr>
        <w:t xml:space="preserve">At the core of our current arrangements, the </w:t>
      </w:r>
      <w:r w:rsidR="004154F4" w:rsidRPr="00ED6C0A">
        <w:rPr>
          <w:sz w:val="22"/>
          <w:szCs w:val="22"/>
        </w:rPr>
        <w:t>strategy is key to ensuring a more corporate and collaborative approach to managing the Scottish Government</w:t>
      </w:r>
      <w:r w:rsidR="00631EB2">
        <w:rPr>
          <w:sz w:val="22"/>
          <w:szCs w:val="22"/>
        </w:rPr>
        <w:t>’</w:t>
      </w:r>
      <w:r w:rsidR="004154F4" w:rsidRPr="00ED6C0A">
        <w:rPr>
          <w:sz w:val="22"/>
          <w:szCs w:val="22"/>
        </w:rPr>
        <w:t>s assets, using them to create a transformative working environment to support a culture which underpins a great place to work. This strategy is</w:t>
      </w:r>
      <w:r w:rsidR="004154F4" w:rsidRPr="00ED6C0A">
        <w:t xml:space="preserve"> </w:t>
      </w:r>
      <w:r w:rsidR="004154F4" w:rsidRPr="00ED6C0A">
        <w:rPr>
          <w:sz w:val="22"/>
          <w:szCs w:val="22"/>
        </w:rPr>
        <w:t xml:space="preserve">through the ‘Property Controls’ arrangement in place under the Scottish Public Finance Manual and we work closely with colleagues in the Scottish Futures Trust, Smarter Workplaces Programme and the Scottish Government Property Division to deliver it. </w:t>
      </w:r>
    </w:p>
    <w:p w:rsidR="004154F4" w:rsidRPr="00ED6C0A" w:rsidRDefault="004154F4" w:rsidP="004154F4">
      <w:pPr>
        <w:jc w:val="both"/>
        <w:rPr>
          <w:sz w:val="22"/>
          <w:szCs w:val="22"/>
        </w:rPr>
      </w:pPr>
    </w:p>
    <w:p w:rsidR="004154F4" w:rsidRPr="00ED6C0A" w:rsidRDefault="00890A94" w:rsidP="004154F4">
      <w:pPr>
        <w:jc w:val="both"/>
        <w:rPr>
          <w:sz w:val="22"/>
          <w:szCs w:val="22"/>
        </w:rPr>
      </w:pPr>
      <w:r>
        <w:rPr>
          <w:sz w:val="22"/>
          <w:szCs w:val="22"/>
        </w:rPr>
        <w:t>W</w:t>
      </w:r>
      <w:r w:rsidR="004154F4" w:rsidRPr="00ED6C0A">
        <w:rPr>
          <w:sz w:val="22"/>
          <w:szCs w:val="22"/>
        </w:rPr>
        <w:t xml:space="preserve">ell established in Thistle House we </w:t>
      </w:r>
      <w:r>
        <w:rPr>
          <w:sz w:val="22"/>
          <w:szCs w:val="22"/>
        </w:rPr>
        <w:t>were</w:t>
      </w:r>
      <w:r w:rsidR="004154F4" w:rsidRPr="00ED6C0A">
        <w:rPr>
          <w:sz w:val="22"/>
          <w:szCs w:val="22"/>
        </w:rPr>
        <w:t xml:space="preserve"> examining the most appropriate working environment for our staff. Having already achieved a low space/staff density we </w:t>
      </w:r>
      <w:r>
        <w:rPr>
          <w:sz w:val="22"/>
          <w:szCs w:val="22"/>
        </w:rPr>
        <w:t xml:space="preserve">had been </w:t>
      </w:r>
      <w:r w:rsidR="004154F4" w:rsidRPr="00ED6C0A">
        <w:rPr>
          <w:sz w:val="22"/>
          <w:szCs w:val="22"/>
        </w:rPr>
        <w:t>look</w:t>
      </w:r>
      <w:r>
        <w:rPr>
          <w:sz w:val="22"/>
          <w:szCs w:val="22"/>
        </w:rPr>
        <w:t>ing</w:t>
      </w:r>
      <w:r w:rsidR="004154F4" w:rsidRPr="00ED6C0A">
        <w:rPr>
          <w:sz w:val="22"/>
          <w:szCs w:val="22"/>
        </w:rPr>
        <w:t xml:space="preserve"> at better ways of utilising our space to support effective service delivery. These include</w:t>
      </w:r>
      <w:r>
        <w:rPr>
          <w:sz w:val="22"/>
          <w:szCs w:val="22"/>
        </w:rPr>
        <w:t>d</w:t>
      </w:r>
      <w:r w:rsidR="004154F4" w:rsidRPr="00ED6C0A">
        <w:rPr>
          <w:sz w:val="22"/>
          <w:szCs w:val="22"/>
        </w:rPr>
        <w:t xml:space="preserve"> informal meeting areas, collaborative space, break out space and sit / stand </w:t>
      </w:r>
      <w:proofErr w:type="spellStart"/>
      <w:r w:rsidR="004154F4" w:rsidRPr="00ED6C0A">
        <w:rPr>
          <w:sz w:val="22"/>
          <w:szCs w:val="22"/>
        </w:rPr>
        <w:t>desking</w:t>
      </w:r>
      <w:proofErr w:type="spellEnd"/>
      <w:r w:rsidR="004154F4" w:rsidRPr="00ED6C0A">
        <w:rPr>
          <w:sz w:val="22"/>
          <w:szCs w:val="22"/>
        </w:rPr>
        <w:t xml:space="preserve">. As stated in the last plan significant further opportunities for improved space utilisation were identified within tenanted areas where density of staff </w:t>
      </w:r>
      <w:r>
        <w:rPr>
          <w:sz w:val="22"/>
          <w:szCs w:val="22"/>
        </w:rPr>
        <w:t>remains</w:t>
      </w:r>
      <w:r w:rsidR="004154F4" w:rsidRPr="00ED6C0A">
        <w:rPr>
          <w:sz w:val="22"/>
          <w:szCs w:val="22"/>
        </w:rPr>
        <w:t xml:space="preserve"> much lower. </w:t>
      </w:r>
      <w:r>
        <w:rPr>
          <w:sz w:val="22"/>
          <w:szCs w:val="22"/>
        </w:rPr>
        <w:t xml:space="preserve">The impacts of </w:t>
      </w:r>
      <w:proofErr w:type="spellStart"/>
      <w:r>
        <w:rPr>
          <w:sz w:val="22"/>
          <w:szCs w:val="22"/>
        </w:rPr>
        <w:t>Covid</w:t>
      </w:r>
      <w:proofErr w:type="spellEnd"/>
      <w:r>
        <w:rPr>
          <w:sz w:val="22"/>
          <w:szCs w:val="22"/>
        </w:rPr>
        <w:t xml:space="preserve"> over the last 24 months has resulted to an extent in a standstill; however many of the aforementioned improvements have been implemented as a direct result of having resource, time and effectively little </w:t>
      </w:r>
      <w:r w:rsidR="00336B6F">
        <w:rPr>
          <w:sz w:val="22"/>
          <w:szCs w:val="22"/>
        </w:rPr>
        <w:t>or</w:t>
      </w:r>
      <w:r>
        <w:rPr>
          <w:sz w:val="22"/>
          <w:szCs w:val="22"/>
        </w:rPr>
        <w:t xml:space="preserve"> no u</w:t>
      </w:r>
      <w:r w:rsidR="00631EB2">
        <w:rPr>
          <w:sz w:val="22"/>
          <w:szCs w:val="22"/>
        </w:rPr>
        <w:t>til</w:t>
      </w:r>
      <w:r>
        <w:rPr>
          <w:sz w:val="22"/>
          <w:szCs w:val="22"/>
        </w:rPr>
        <w:t xml:space="preserve">isation </w:t>
      </w:r>
      <w:r w:rsidR="00336B6F">
        <w:rPr>
          <w:sz w:val="22"/>
          <w:szCs w:val="22"/>
        </w:rPr>
        <w:t xml:space="preserve">(Facilities and some core requirements aside) </w:t>
      </w:r>
      <w:r>
        <w:rPr>
          <w:sz w:val="22"/>
          <w:szCs w:val="22"/>
        </w:rPr>
        <w:t>of Thistle House until late 2021. We have in</w:t>
      </w:r>
      <w:r w:rsidR="00631EB2">
        <w:rPr>
          <w:sz w:val="22"/>
          <w:szCs w:val="22"/>
        </w:rPr>
        <w:t xml:space="preserve"> </w:t>
      </w:r>
      <w:r w:rsidR="00336B6F">
        <w:rPr>
          <w:sz w:val="22"/>
          <w:szCs w:val="22"/>
        </w:rPr>
        <w:t>situ</w:t>
      </w:r>
      <w:r>
        <w:rPr>
          <w:sz w:val="22"/>
          <w:szCs w:val="22"/>
        </w:rPr>
        <w:t xml:space="preserve"> </w:t>
      </w:r>
      <w:r w:rsidR="00336B6F">
        <w:rPr>
          <w:sz w:val="22"/>
          <w:szCs w:val="22"/>
        </w:rPr>
        <w:t xml:space="preserve">an </w:t>
      </w:r>
      <w:r>
        <w:rPr>
          <w:sz w:val="22"/>
          <w:szCs w:val="22"/>
        </w:rPr>
        <w:t xml:space="preserve">excess of 48 sit stand / desks, created new space, let out more of the building to tenants </w:t>
      </w:r>
      <w:r w:rsidR="00336B6F">
        <w:rPr>
          <w:sz w:val="22"/>
          <w:szCs w:val="22"/>
        </w:rPr>
        <w:t xml:space="preserve">and started to move away from traditional desks and pedestals to </w:t>
      </w:r>
      <w:proofErr w:type="spellStart"/>
      <w:r w:rsidR="00336B6F">
        <w:rPr>
          <w:sz w:val="22"/>
          <w:szCs w:val="22"/>
        </w:rPr>
        <w:t>desking</w:t>
      </w:r>
      <w:proofErr w:type="spellEnd"/>
      <w:r w:rsidR="00336B6F">
        <w:rPr>
          <w:sz w:val="22"/>
          <w:szCs w:val="22"/>
        </w:rPr>
        <w:t xml:space="preserve"> / tables and lockers for staff attending the office to keep essentials, a mouse, keyboard and headset. This rollout of lockers and removal of pedestals will continue to progress during 2022. In addition, the Board Room and other meeting facilities including PDSO Edinburgh have been supplied with meeting room equipment upgrades to allow for better hybrid meeting arrangements.</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 xml:space="preserve">We have also </w:t>
      </w:r>
      <w:r w:rsidR="00336B6F">
        <w:rPr>
          <w:sz w:val="22"/>
          <w:szCs w:val="22"/>
        </w:rPr>
        <w:t xml:space="preserve">been successful in developing and letting out more space in Thistle House with new tenants and will continue to look for opportunities with existing and </w:t>
      </w:r>
      <w:r w:rsidRPr="00ED6C0A">
        <w:rPr>
          <w:sz w:val="22"/>
          <w:szCs w:val="22"/>
        </w:rPr>
        <w:t>other potential tenants who may be able to utilise any free space that becomes available</w:t>
      </w:r>
      <w:r w:rsidR="00336B6F">
        <w:rPr>
          <w:sz w:val="22"/>
          <w:szCs w:val="22"/>
        </w:rPr>
        <w:t xml:space="preserve"> as a result of our DANWE Project and new policies</w:t>
      </w:r>
      <w:r w:rsidRPr="00ED6C0A">
        <w:rPr>
          <w:sz w:val="22"/>
          <w:szCs w:val="22"/>
        </w:rPr>
        <w:t xml:space="preserve">. </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lastRenderedPageBreak/>
        <w:t xml:space="preserve">Although the issues are different in the dispersed estate occupied by PDSO and CLAO, our focus on best value is no less relentless. We will ensure best value in procurement decisions through robust options appraisal and will, like in our central headquarters, look for good and improving performance by measuring customer satisfaction and asset performance using metrics associated with space utilisation, ownership costs and energy efficiency. </w:t>
      </w:r>
      <w:r w:rsidRPr="00BD393F">
        <w:rPr>
          <w:sz w:val="22"/>
          <w:szCs w:val="22"/>
        </w:rPr>
        <w:t>Our current focus is to concentrate on those properties with leases that are due to expire. This process is complex and time consuming due to the number of parties that are involved in the process</w:t>
      </w:r>
      <w:r w:rsidR="00336B6F">
        <w:rPr>
          <w:sz w:val="22"/>
          <w:szCs w:val="22"/>
        </w:rPr>
        <w:t xml:space="preserve"> and the impacts of the pandemic</w:t>
      </w:r>
      <w:r w:rsidRPr="00BD393F">
        <w:rPr>
          <w:sz w:val="22"/>
          <w:szCs w:val="22"/>
        </w:rPr>
        <w:t>.</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The plan also reflects SLAB’s objective of reducing the environmental impact of its activities; including our efforts to reduce our carbon footprint through better use of assets and helping staff travel to work by public or active transport; and through development of sustainable procurement and biodiversity strategies.</w:t>
      </w:r>
      <w:r w:rsidR="00336B6F">
        <w:rPr>
          <w:sz w:val="22"/>
          <w:szCs w:val="22"/>
        </w:rPr>
        <w:t xml:space="preserve"> It is anticipated that</w:t>
      </w:r>
      <w:r w:rsidR="00B8782D">
        <w:rPr>
          <w:sz w:val="22"/>
          <w:szCs w:val="22"/>
        </w:rPr>
        <w:t xml:space="preserve"> the end of restrictions and the progress of new working policies will support many options to further reduce our carbon footprint.</w:t>
      </w:r>
      <w:r w:rsidR="00336B6F">
        <w:rPr>
          <w:sz w:val="22"/>
          <w:szCs w:val="22"/>
        </w:rPr>
        <w:t xml:space="preserve"> </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This Asset Management Plan sets out our approach for our combined estates across the whole of SLAB’s activity, the current nature of the estate and the direction of travel we propose to take and the arrangements we have put in place to enable this.</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 xml:space="preserve">The main aim of our Asset Management Plan is to ensure that appropriate property assets are held and property services provided meet SLAB’s Business Plan and its objectives. </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This Property Asset Management Plan is intended to be a dynamic framework for the improvement of the property estate and services and this plan will be reviewed annually to ensure effective progress is being made</w:t>
      </w:r>
      <w:r w:rsidR="00336B6F">
        <w:rPr>
          <w:sz w:val="22"/>
          <w:szCs w:val="22"/>
        </w:rPr>
        <w:t>, especially with the DANWE project interactions</w:t>
      </w:r>
      <w:r w:rsidRPr="00ED6C0A">
        <w:rPr>
          <w:sz w:val="22"/>
          <w:szCs w:val="22"/>
        </w:rPr>
        <w:t>.</w:t>
      </w:r>
    </w:p>
    <w:p w:rsidR="004154F4" w:rsidRPr="000439F1" w:rsidRDefault="004154F4" w:rsidP="004273FF">
      <w:pPr>
        <w:pStyle w:val="Heading3"/>
        <w:keepNext/>
        <w:numPr>
          <w:ilvl w:val="0"/>
          <w:numId w:val="9"/>
        </w:numPr>
        <w:tabs>
          <w:tab w:val="clear" w:pos="720"/>
          <w:tab w:val="num" w:pos="567"/>
        </w:tabs>
        <w:rPr>
          <w:b/>
          <w:i w:val="0"/>
          <w:sz w:val="22"/>
          <w:szCs w:val="22"/>
        </w:rPr>
      </w:pPr>
      <w:r w:rsidRPr="00ED6C0A">
        <w:rPr>
          <w:b/>
          <w:color w:val="000000"/>
          <w:szCs w:val="22"/>
        </w:rPr>
        <w:br w:type="page"/>
      </w:r>
      <w:r w:rsidRPr="000439F1">
        <w:rPr>
          <w:b/>
          <w:i w:val="0"/>
          <w:sz w:val="22"/>
          <w:szCs w:val="22"/>
        </w:rPr>
        <w:lastRenderedPageBreak/>
        <w:t>Current Property Asset Base</w:t>
      </w:r>
    </w:p>
    <w:p w:rsidR="004154F4" w:rsidRPr="00FF6C69" w:rsidRDefault="004154F4" w:rsidP="004154F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79"/>
        <w:gridCol w:w="1397"/>
        <w:gridCol w:w="66"/>
        <w:gridCol w:w="1402"/>
        <w:gridCol w:w="53"/>
        <w:gridCol w:w="1417"/>
        <w:gridCol w:w="39"/>
        <w:gridCol w:w="1423"/>
        <w:gridCol w:w="26"/>
        <w:gridCol w:w="1440"/>
        <w:gridCol w:w="13"/>
        <w:gridCol w:w="1477"/>
      </w:tblGrid>
      <w:tr w:rsidR="004154F4" w:rsidRPr="00FF6C69" w:rsidTr="000E29E0">
        <w:tc>
          <w:tcPr>
            <w:tcW w:w="1409" w:type="dxa"/>
            <w:tcBorders>
              <w:bottom w:val="single" w:sz="4" w:space="0" w:color="auto"/>
            </w:tcBorders>
            <w:shd w:val="clear" w:color="auto" w:fill="auto"/>
            <w:vAlign w:val="center"/>
          </w:tcPr>
          <w:p w:rsidR="004154F4" w:rsidRPr="00FF6C69" w:rsidRDefault="004154F4" w:rsidP="000E29E0">
            <w:pPr>
              <w:jc w:val="both"/>
              <w:rPr>
                <w:sz w:val="22"/>
                <w:szCs w:val="22"/>
              </w:rPr>
            </w:pPr>
          </w:p>
        </w:tc>
        <w:tc>
          <w:tcPr>
            <w:tcW w:w="1502" w:type="dxa"/>
            <w:gridSpan w:val="2"/>
            <w:tcBorders>
              <w:bottom w:val="single" w:sz="4" w:space="0" w:color="auto"/>
            </w:tcBorders>
            <w:shd w:val="clear" w:color="auto" w:fill="auto"/>
            <w:vAlign w:val="center"/>
          </w:tcPr>
          <w:p w:rsidR="004154F4" w:rsidRPr="00FF6C69" w:rsidRDefault="004154F4" w:rsidP="000E29E0">
            <w:pPr>
              <w:jc w:val="center"/>
              <w:rPr>
                <w:b/>
                <w:i/>
                <w:sz w:val="22"/>
                <w:szCs w:val="22"/>
              </w:rPr>
            </w:pPr>
            <w:r w:rsidRPr="00FF6C69">
              <w:rPr>
                <w:b/>
                <w:i/>
                <w:sz w:val="22"/>
                <w:szCs w:val="22"/>
              </w:rPr>
              <w:t>Net internal Area m</w:t>
            </w:r>
            <w:r w:rsidRPr="00FF6C69">
              <w:rPr>
                <w:b/>
                <w:i/>
                <w:sz w:val="22"/>
                <w:szCs w:val="22"/>
                <w:vertAlign w:val="superscript"/>
              </w:rPr>
              <w:t>2</w:t>
            </w:r>
          </w:p>
        </w:tc>
        <w:tc>
          <w:tcPr>
            <w:tcW w:w="1502" w:type="dxa"/>
            <w:gridSpan w:val="2"/>
            <w:tcBorders>
              <w:bottom w:val="single" w:sz="4" w:space="0" w:color="auto"/>
            </w:tcBorders>
            <w:shd w:val="clear" w:color="auto" w:fill="auto"/>
            <w:vAlign w:val="center"/>
          </w:tcPr>
          <w:p w:rsidR="004154F4" w:rsidRPr="00FF6C69" w:rsidRDefault="004154F4" w:rsidP="000E29E0">
            <w:pPr>
              <w:jc w:val="center"/>
              <w:rPr>
                <w:b/>
                <w:i/>
                <w:sz w:val="22"/>
                <w:szCs w:val="22"/>
              </w:rPr>
            </w:pPr>
            <w:r w:rsidRPr="00FF6C69">
              <w:rPr>
                <w:b/>
                <w:i/>
                <w:sz w:val="22"/>
                <w:szCs w:val="22"/>
              </w:rPr>
              <w:t>Annual rental</w:t>
            </w:r>
          </w:p>
        </w:tc>
        <w:tc>
          <w:tcPr>
            <w:tcW w:w="1502" w:type="dxa"/>
            <w:gridSpan w:val="2"/>
            <w:tcBorders>
              <w:bottom w:val="single" w:sz="4" w:space="0" w:color="auto"/>
            </w:tcBorders>
            <w:shd w:val="clear" w:color="auto" w:fill="auto"/>
            <w:vAlign w:val="center"/>
          </w:tcPr>
          <w:p w:rsidR="004154F4" w:rsidRPr="00FF6C69" w:rsidRDefault="004154F4" w:rsidP="000E29E0">
            <w:pPr>
              <w:jc w:val="center"/>
              <w:rPr>
                <w:b/>
                <w:i/>
                <w:sz w:val="22"/>
                <w:szCs w:val="22"/>
              </w:rPr>
            </w:pPr>
            <w:r w:rsidRPr="00FF6C69">
              <w:rPr>
                <w:b/>
                <w:i/>
                <w:sz w:val="22"/>
                <w:szCs w:val="22"/>
              </w:rPr>
              <w:t>Tenure</w:t>
            </w:r>
          </w:p>
        </w:tc>
        <w:tc>
          <w:tcPr>
            <w:tcW w:w="1502" w:type="dxa"/>
            <w:gridSpan w:val="2"/>
            <w:tcBorders>
              <w:bottom w:val="single" w:sz="4" w:space="0" w:color="auto"/>
            </w:tcBorders>
            <w:shd w:val="clear" w:color="auto" w:fill="auto"/>
            <w:vAlign w:val="center"/>
          </w:tcPr>
          <w:p w:rsidR="004154F4" w:rsidRPr="00FF6C69" w:rsidRDefault="004154F4" w:rsidP="000E29E0">
            <w:pPr>
              <w:jc w:val="center"/>
              <w:rPr>
                <w:b/>
                <w:i/>
                <w:sz w:val="22"/>
                <w:szCs w:val="22"/>
              </w:rPr>
            </w:pPr>
            <w:r w:rsidRPr="00FF6C69">
              <w:rPr>
                <w:b/>
                <w:i/>
                <w:sz w:val="22"/>
                <w:szCs w:val="22"/>
              </w:rPr>
              <w:t>Lease break</w:t>
            </w:r>
          </w:p>
        </w:tc>
        <w:tc>
          <w:tcPr>
            <w:tcW w:w="1502" w:type="dxa"/>
            <w:gridSpan w:val="2"/>
            <w:tcBorders>
              <w:bottom w:val="single" w:sz="4" w:space="0" w:color="auto"/>
            </w:tcBorders>
            <w:shd w:val="clear" w:color="auto" w:fill="auto"/>
            <w:vAlign w:val="center"/>
          </w:tcPr>
          <w:p w:rsidR="004154F4" w:rsidRPr="00FF6C69" w:rsidRDefault="004154F4" w:rsidP="000E29E0">
            <w:pPr>
              <w:jc w:val="center"/>
              <w:rPr>
                <w:b/>
                <w:i/>
                <w:sz w:val="22"/>
                <w:szCs w:val="22"/>
              </w:rPr>
            </w:pPr>
            <w:r w:rsidRPr="00FF6C69">
              <w:rPr>
                <w:b/>
                <w:i/>
                <w:sz w:val="22"/>
                <w:szCs w:val="22"/>
              </w:rPr>
              <w:t>Lease expiry</w:t>
            </w:r>
          </w:p>
        </w:tc>
        <w:tc>
          <w:tcPr>
            <w:tcW w:w="1502" w:type="dxa"/>
            <w:gridSpan w:val="2"/>
            <w:tcBorders>
              <w:bottom w:val="single" w:sz="4" w:space="0" w:color="auto"/>
            </w:tcBorders>
            <w:shd w:val="clear" w:color="auto" w:fill="auto"/>
            <w:vAlign w:val="center"/>
          </w:tcPr>
          <w:p w:rsidR="004154F4" w:rsidRPr="00FF6C69" w:rsidRDefault="004154F4" w:rsidP="000E29E0">
            <w:pPr>
              <w:jc w:val="center"/>
              <w:rPr>
                <w:b/>
                <w:i/>
                <w:sz w:val="22"/>
                <w:szCs w:val="22"/>
              </w:rPr>
            </w:pPr>
            <w:r w:rsidRPr="00FF6C69">
              <w:rPr>
                <w:b/>
                <w:i/>
                <w:sz w:val="22"/>
                <w:szCs w:val="22"/>
              </w:rPr>
              <w:t>Location</w:t>
            </w:r>
          </w:p>
        </w:tc>
      </w:tr>
      <w:tr w:rsidR="004154F4" w:rsidRPr="00FF6C69" w:rsidTr="000E29E0">
        <w:tc>
          <w:tcPr>
            <w:tcW w:w="10421" w:type="dxa"/>
            <w:gridSpan w:val="13"/>
            <w:shd w:val="clear" w:color="auto" w:fill="000000"/>
            <w:vAlign w:val="center"/>
          </w:tcPr>
          <w:p w:rsidR="004154F4" w:rsidRPr="00FF6C69" w:rsidRDefault="004154F4" w:rsidP="000E29E0">
            <w:pPr>
              <w:spacing w:before="120" w:after="120"/>
              <w:rPr>
                <w:b/>
                <w:sz w:val="22"/>
                <w:szCs w:val="22"/>
              </w:rPr>
            </w:pPr>
            <w:r w:rsidRPr="00FF6C69">
              <w:rPr>
                <w:b/>
                <w:sz w:val="22"/>
                <w:szCs w:val="22"/>
              </w:rPr>
              <w:t>Scottish Legal Aid Board, Thistle House</w:t>
            </w:r>
          </w:p>
        </w:tc>
      </w:tr>
      <w:tr w:rsidR="004154F4" w:rsidRPr="00FF6C69" w:rsidTr="000E29E0">
        <w:tc>
          <w:tcPr>
            <w:tcW w:w="1488" w:type="dxa"/>
            <w:gridSpan w:val="2"/>
            <w:shd w:val="clear" w:color="auto" w:fill="auto"/>
            <w:vAlign w:val="center"/>
          </w:tcPr>
          <w:p w:rsidR="004154F4" w:rsidRPr="00FF6C69" w:rsidRDefault="004154F4" w:rsidP="000E29E0">
            <w:pPr>
              <w:jc w:val="both"/>
              <w:rPr>
                <w:sz w:val="22"/>
                <w:szCs w:val="22"/>
              </w:rPr>
            </w:pPr>
            <w:r w:rsidRPr="00FF6C69">
              <w:rPr>
                <w:sz w:val="22"/>
                <w:szCs w:val="22"/>
              </w:rPr>
              <w:t>SLAB HQ</w:t>
            </w:r>
          </w:p>
        </w:tc>
        <w:tc>
          <w:tcPr>
            <w:tcW w:w="1489" w:type="dxa"/>
            <w:gridSpan w:val="2"/>
            <w:shd w:val="clear" w:color="auto" w:fill="auto"/>
            <w:vAlign w:val="center"/>
          </w:tcPr>
          <w:p w:rsidR="004154F4" w:rsidRPr="00FF6C69" w:rsidRDefault="004154F4" w:rsidP="000E29E0">
            <w:pPr>
              <w:jc w:val="center"/>
              <w:rPr>
                <w:sz w:val="22"/>
                <w:szCs w:val="22"/>
              </w:rPr>
            </w:pPr>
            <w:r w:rsidRPr="00FF6C69">
              <w:rPr>
                <w:sz w:val="22"/>
                <w:szCs w:val="22"/>
              </w:rPr>
              <w:t>2,152</w:t>
            </w:r>
          </w:p>
          <w:p w:rsidR="004154F4" w:rsidRPr="00FF6C69" w:rsidRDefault="004154F4" w:rsidP="000E29E0">
            <w:pPr>
              <w:jc w:val="center"/>
              <w:rPr>
                <w:sz w:val="22"/>
                <w:szCs w:val="22"/>
              </w:rPr>
            </w:pPr>
            <w:r w:rsidRPr="00FF6C69">
              <w:rPr>
                <w:sz w:val="22"/>
                <w:szCs w:val="22"/>
              </w:rPr>
              <w:t>3,575+</w:t>
            </w:r>
          </w:p>
        </w:tc>
        <w:tc>
          <w:tcPr>
            <w:tcW w:w="1489" w:type="dxa"/>
            <w:gridSpan w:val="2"/>
            <w:shd w:val="clear" w:color="auto" w:fill="auto"/>
            <w:vAlign w:val="center"/>
          </w:tcPr>
          <w:p w:rsidR="004154F4" w:rsidRPr="00FF6C69" w:rsidRDefault="004154F4" w:rsidP="000E29E0">
            <w:pPr>
              <w:jc w:val="center"/>
              <w:rPr>
                <w:sz w:val="22"/>
                <w:szCs w:val="22"/>
              </w:rPr>
            </w:pPr>
            <w:r w:rsidRPr="00FF6C69">
              <w:rPr>
                <w:sz w:val="22"/>
                <w:szCs w:val="22"/>
              </w:rPr>
              <w:t>n/a</w:t>
            </w:r>
          </w:p>
        </w:tc>
        <w:tc>
          <w:tcPr>
            <w:tcW w:w="1488" w:type="dxa"/>
            <w:gridSpan w:val="2"/>
            <w:shd w:val="clear" w:color="auto" w:fill="auto"/>
            <w:vAlign w:val="center"/>
          </w:tcPr>
          <w:p w:rsidR="004154F4" w:rsidRPr="00FF6C69" w:rsidRDefault="004154F4" w:rsidP="000E29E0">
            <w:pPr>
              <w:jc w:val="center"/>
              <w:rPr>
                <w:sz w:val="22"/>
                <w:szCs w:val="22"/>
              </w:rPr>
            </w:pPr>
            <w:r w:rsidRPr="00FF6C69">
              <w:rPr>
                <w:sz w:val="22"/>
                <w:szCs w:val="22"/>
              </w:rPr>
              <w:t>SLAB</w:t>
            </w:r>
          </w:p>
        </w:tc>
        <w:tc>
          <w:tcPr>
            <w:tcW w:w="1489" w:type="dxa"/>
            <w:gridSpan w:val="2"/>
            <w:shd w:val="clear" w:color="auto" w:fill="auto"/>
            <w:vAlign w:val="center"/>
          </w:tcPr>
          <w:p w:rsidR="004154F4" w:rsidRPr="00FF6C69" w:rsidRDefault="004154F4" w:rsidP="000E29E0">
            <w:pPr>
              <w:jc w:val="center"/>
              <w:rPr>
                <w:sz w:val="22"/>
                <w:szCs w:val="22"/>
              </w:rPr>
            </w:pPr>
            <w:r w:rsidRPr="00FF6C69">
              <w:rPr>
                <w:sz w:val="22"/>
                <w:szCs w:val="22"/>
              </w:rPr>
              <w:t>n/a</w:t>
            </w:r>
          </w:p>
        </w:tc>
        <w:tc>
          <w:tcPr>
            <w:tcW w:w="1489" w:type="dxa"/>
            <w:gridSpan w:val="2"/>
            <w:shd w:val="clear" w:color="auto" w:fill="auto"/>
            <w:vAlign w:val="center"/>
          </w:tcPr>
          <w:p w:rsidR="004154F4" w:rsidRPr="00FF6C69" w:rsidRDefault="004154F4" w:rsidP="000E29E0">
            <w:pPr>
              <w:jc w:val="center"/>
              <w:rPr>
                <w:sz w:val="22"/>
                <w:szCs w:val="22"/>
              </w:rPr>
            </w:pPr>
            <w:r w:rsidRPr="00FF6C69">
              <w:rPr>
                <w:sz w:val="22"/>
                <w:szCs w:val="22"/>
              </w:rPr>
              <w:t>n/a</w:t>
            </w:r>
          </w:p>
        </w:tc>
        <w:tc>
          <w:tcPr>
            <w:tcW w:w="1489" w:type="dxa"/>
            <w:shd w:val="clear" w:color="auto" w:fill="auto"/>
            <w:vAlign w:val="center"/>
          </w:tcPr>
          <w:p w:rsidR="004154F4" w:rsidRPr="00FF6C69" w:rsidRDefault="004154F4" w:rsidP="000E29E0">
            <w:pPr>
              <w:rPr>
                <w:sz w:val="22"/>
                <w:szCs w:val="22"/>
              </w:rPr>
            </w:pPr>
            <w:r w:rsidRPr="00FF6C69">
              <w:rPr>
                <w:sz w:val="22"/>
                <w:szCs w:val="22"/>
              </w:rPr>
              <w:t>Haymarket Terrace, Edinburgh</w:t>
            </w:r>
          </w:p>
        </w:tc>
      </w:tr>
    </w:tbl>
    <w:p w:rsidR="004154F4" w:rsidRPr="00FF6C69" w:rsidRDefault="004154F4" w:rsidP="004154F4">
      <w:pPr>
        <w:rPr>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58"/>
        <w:gridCol w:w="1367"/>
        <w:gridCol w:w="1437"/>
        <w:gridCol w:w="1318"/>
        <w:gridCol w:w="1318"/>
        <w:gridCol w:w="1479"/>
      </w:tblGrid>
      <w:tr w:rsidR="004154F4" w:rsidRPr="00FF6C69" w:rsidTr="002B2D2E">
        <w:tc>
          <w:tcPr>
            <w:tcW w:w="10195" w:type="dxa"/>
            <w:gridSpan w:val="7"/>
            <w:tcBorders>
              <w:bottom w:val="single" w:sz="4" w:space="0" w:color="auto"/>
            </w:tcBorders>
            <w:shd w:val="clear" w:color="auto" w:fill="000000"/>
            <w:vAlign w:val="center"/>
          </w:tcPr>
          <w:p w:rsidR="004154F4" w:rsidRPr="00FF6C69" w:rsidRDefault="004154F4" w:rsidP="000E29E0">
            <w:pPr>
              <w:spacing w:before="120" w:after="120"/>
              <w:rPr>
                <w:b/>
                <w:sz w:val="22"/>
                <w:szCs w:val="22"/>
              </w:rPr>
            </w:pPr>
            <w:r w:rsidRPr="00FF6C69">
              <w:rPr>
                <w:b/>
                <w:sz w:val="22"/>
                <w:szCs w:val="22"/>
              </w:rPr>
              <w:t>PDSO</w:t>
            </w:r>
          </w:p>
        </w:tc>
      </w:tr>
      <w:tr w:rsidR="004154F4" w:rsidRPr="00FF6C69" w:rsidTr="002B2D2E">
        <w:tc>
          <w:tcPr>
            <w:tcW w:w="1418" w:type="dxa"/>
            <w:shd w:val="clear" w:color="auto" w:fill="auto"/>
            <w:vAlign w:val="center"/>
          </w:tcPr>
          <w:p w:rsidR="004154F4" w:rsidRPr="00FF6C69" w:rsidRDefault="004154F4" w:rsidP="000E29E0">
            <w:pPr>
              <w:jc w:val="both"/>
              <w:rPr>
                <w:b/>
                <w:sz w:val="22"/>
                <w:szCs w:val="22"/>
              </w:rPr>
            </w:pPr>
            <w:r w:rsidRPr="00FF6C69">
              <w:rPr>
                <w:sz w:val="22"/>
                <w:szCs w:val="22"/>
              </w:rPr>
              <w:t>Glasgow</w:t>
            </w:r>
          </w:p>
        </w:tc>
        <w:tc>
          <w:tcPr>
            <w:tcW w:w="1858" w:type="dxa"/>
            <w:shd w:val="clear" w:color="auto" w:fill="auto"/>
            <w:vAlign w:val="center"/>
          </w:tcPr>
          <w:p w:rsidR="004154F4" w:rsidRPr="00FF6C69" w:rsidRDefault="004154F4" w:rsidP="000E29E0">
            <w:pPr>
              <w:jc w:val="center"/>
              <w:rPr>
                <w:sz w:val="22"/>
                <w:szCs w:val="22"/>
              </w:rPr>
            </w:pPr>
            <w:r w:rsidRPr="00FF6C69">
              <w:rPr>
                <w:sz w:val="22"/>
                <w:szCs w:val="22"/>
              </w:rPr>
              <w:t>111</w:t>
            </w:r>
          </w:p>
        </w:tc>
        <w:tc>
          <w:tcPr>
            <w:tcW w:w="1367" w:type="dxa"/>
            <w:shd w:val="clear" w:color="auto" w:fill="auto"/>
            <w:vAlign w:val="center"/>
          </w:tcPr>
          <w:p w:rsidR="004154F4" w:rsidRPr="008F4574" w:rsidRDefault="004154F4" w:rsidP="000E29E0">
            <w:pPr>
              <w:jc w:val="center"/>
              <w:rPr>
                <w:sz w:val="22"/>
                <w:szCs w:val="22"/>
              </w:rPr>
            </w:pPr>
            <w:r w:rsidRPr="008F4574">
              <w:rPr>
                <w:sz w:val="22"/>
                <w:szCs w:val="22"/>
              </w:rPr>
              <w:t>£13,000</w:t>
            </w:r>
          </w:p>
        </w:tc>
        <w:tc>
          <w:tcPr>
            <w:tcW w:w="1437" w:type="dxa"/>
            <w:shd w:val="clear" w:color="auto" w:fill="auto"/>
            <w:vAlign w:val="center"/>
          </w:tcPr>
          <w:p w:rsidR="004154F4" w:rsidRPr="008F4574" w:rsidRDefault="004154F4" w:rsidP="000E29E0">
            <w:pPr>
              <w:jc w:val="center"/>
              <w:rPr>
                <w:sz w:val="22"/>
                <w:szCs w:val="22"/>
              </w:rPr>
            </w:pPr>
            <w:r w:rsidRPr="008F4574">
              <w:rPr>
                <w:sz w:val="22"/>
                <w:szCs w:val="22"/>
              </w:rPr>
              <w:t>Leasehold*</w:t>
            </w:r>
          </w:p>
        </w:tc>
        <w:tc>
          <w:tcPr>
            <w:tcW w:w="1318" w:type="dxa"/>
            <w:shd w:val="clear" w:color="auto" w:fill="auto"/>
            <w:vAlign w:val="center"/>
          </w:tcPr>
          <w:p w:rsidR="004154F4" w:rsidRPr="008F4574" w:rsidRDefault="004154F4" w:rsidP="000E29E0">
            <w:pPr>
              <w:jc w:val="center"/>
              <w:rPr>
                <w:sz w:val="22"/>
                <w:szCs w:val="22"/>
              </w:rPr>
            </w:pPr>
            <w:r w:rsidRPr="008F4574">
              <w:rPr>
                <w:sz w:val="22"/>
                <w:szCs w:val="22"/>
              </w:rPr>
              <w:t>-</w:t>
            </w:r>
          </w:p>
        </w:tc>
        <w:tc>
          <w:tcPr>
            <w:tcW w:w="1318" w:type="dxa"/>
            <w:shd w:val="clear" w:color="auto" w:fill="auto"/>
            <w:vAlign w:val="center"/>
          </w:tcPr>
          <w:p w:rsidR="004154F4" w:rsidRPr="008F4574" w:rsidRDefault="004154F4" w:rsidP="00FD5320">
            <w:pPr>
              <w:jc w:val="center"/>
              <w:rPr>
                <w:sz w:val="22"/>
                <w:szCs w:val="22"/>
              </w:rPr>
            </w:pPr>
            <w:r w:rsidRPr="008F4574">
              <w:rPr>
                <w:sz w:val="22"/>
                <w:szCs w:val="22"/>
              </w:rPr>
              <w:t>Jan 20</w:t>
            </w:r>
            <w:r w:rsidR="00FD5320">
              <w:rPr>
                <w:sz w:val="22"/>
                <w:szCs w:val="22"/>
              </w:rPr>
              <w:t>23</w:t>
            </w:r>
          </w:p>
        </w:tc>
        <w:tc>
          <w:tcPr>
            <w:tcW w:w="1479" w:type="dxa"/>
            <w:shd w:val="clear" w:color="auto" w:fill="auto"/>
            <w:vAlign w:val="center"/>
          </w:tcPr>
          <w:p w:rsidR="004154F4" w:rsidRPr="008F4574" w:rsidRDefault="004154F4" w:rsidP="000E29E0">
            <w:pPr>
              <w:rPr>
                <w:b/>
                <w:sz w:val="22"/>
                <w:szCs w:val="22"/>
              </w:rPr>
            </w:pPr>
            <w:r w:rsidRPr="008F4574">
              <w:rPr>
                <w:sz w:val="22"/>
                <w:szCs w:val="22"/>
              </w:rPr>
              <w:t>Saltmarket, Glasgow</w:t>
            </w:r>
          </w:p>
        </w:tc>
      </w:tr>
      <w:tr w:rsidR="00E044B8" w:rsidRPr="00FF6C69" w:rsidTr="002B2D2E">
        <w:tc>
          <w:tcPr>
            <w:tcW w:w="1418" w:type="dxa"/>
            <w:shd w:val="clear" w:color="auto" w:fill="auto"/>
            <w:vAlign w:val="center"/>
          </w:tcPr>
          <w:p w:rsidR="00E044B8" w:rsidRPr="002B2D2E" w:rsidRDefault="00E044B8" w:rsidP="00E044B8">
            <w:pPr>
              <w:jc w:val="both"/>
              <w:rPr>
                <w:sz w:val="22"/>
                <w:szCs w:val="22"/>
                <w:highlight w:val="yellow"/>
              </w:rPr>
            </w:pPr>
            <w:r w:rsidRPr="00E044B8">
              <w:rPr>
                <w:sz w:val="22"/>
                <w:szCs w:val="22"/>
              </w:rPr>
              <w:t>Edinburgh</w:t>
            </w:r>
          </w:p>
        </w:tc>
        <w:tc>
          <w:tcPr>
            <w:tcW w:w="1858" w:type="dxa"/>
            <w:shd w:val="clear" w:color="auto" w:fill="auto"/>
            <w:vAlign w:val="center"/>
          </w:tcPr>
          <w:p w:rsidR="00E044B8" w:rsidRPr="00E044B8" w:rsidRDefault="00E044B8" w:rsidP="00E044B8">
            <w:pPr>
              <w:jc w:val="center"/>
              <w:rPr>
                <w:sz w:val="22"/>
                <w:szCs w:val="22"/>
                <w:highlight w:val="yellow"/>
              </w:rPr>
            </w:pPr>
            <w:r w:rsidRPr="00E044B8">
              <w:rPr>
                <w:sz w:val="22"/>
                <w:szCs w:val="22"/>
              </w:rPr>
              <w:t>266.17</w:t>
            </w:r>
          </w:p>
        </w:tc>
        <w:tc>
          <w:tcPr>
            <w:tcW w:w="1367" w:type="dxa"/>
            <w:shd w:val="clear" w:color="auto" w:fill="auto"/>
            <w:vAlign w:val="center"/>
          </w:tcPr>
          <w:p w:rsidR="00E044B8" w:rsidRPr="00E044B8" w:rsidRDefault="00E044B8" w:rsidP="00E044B8">
            <w:pPr>
              <w:jc w:val="center"/>
              <w:rPr>
                <w:sz w:val="22"/>
                <w:szCs w:val="22"/>
                <w:highlight w:val="yellow"/>
              </w:rPr>
            </w:pPr>
            <w:r w:rsidRPr="00E044B8">
              <w:rPr>
                <w:sz w:val="22"/>
                <w:szCs w:val="22"/>
              </w:rPr>
              <w:t>£88</w:t>
            </w:r>
            <w:r>
              <w:rPr>
                <w:sz w:val="22"/>
                <w:szCs w:val="22"/>
              </w:rPr>
              <w:t>,</w:t>
            </w:r>
            <w:r w:rsidRPr="00E044B8">
              <w:rPr>
                <w:sz w:val="22"/>
                <w:szCs w:val="22"/>
              </w:rPr>
              <w:t>041 (to Jan 2025)</w:t>
            </w:r>
          </w:p>
        </w:tc>
        <w:tc>
          <w:tcPr>
            <w:tcW w:w="1437" w:type="dxa"/>
            <w:shd w:val="clear" w:color="auto" w:fill="auto"/>
            <w:vAlign w:val="center"/>
          </w:tcPr>
          <w:p w:rsidR="00E044B8" w:rsidRPr="00E044B8" w:rsidRDefault="00E044B8" w:rsidP="00E044B8">
            <w:pPr>
              <w:jc w:val="center"/>
              <w:rPr>
                <w:sz w:val="22"/>
                <w:szCs w:val="22"/>
                <w:highlight w:val="yellow"/>
              </w:rPr>
            </w:pPr>
            <w:r w:rsidRPr="00E044B8">
              <w:rPr>
                <w:sz w:val="22"/>
                <w:szCs w:val="22"/>
              </w:rPr>
              <w:t>Leasehold</w:t>
            </w:r>
          </w:p>
        </w:tc>
        <w:tc>
          <w:tcPr>
            <w:tcW w:w="1318" w:type="dxa"/>
            <w:shd w:val="clear" w:color="auto" w:fill="auto"/>
            <w:vAlign w:val="center"/>
          </w:tcPr>
          <w:p w:rsidR="00E044B8" w:rsidRPr="00E044B8" w:rsidRDefault="00E044B8" w:rsidP="00E044B8">
            <w:pPr>
              <w:jc w:val="center"/>
              <w:rPr>
                <w:sz w:val="22"/>
                <w:szCs w:val="22"/>
                <w:highlight w:val="yellow"/>
              </w:rPr>
            </w:pPr>
            <w:r w:rsidRPr="00E044B8">
              <w:rPr>
                <w:sz w:val="22"/>
                <w:szCs w:val="22"/>
              </w:rPr>
              <w:t>Jan 2025</w:t>
            </w:r>
          </w:p>
        </w:tc>
        <w:tc>
          <w:tcPr>
            <w:tcW w:w="1318" w:type="dxa"/>
            <w:shd w:val="clear" w:color="auto" w:fill="auto"/>
            <w:vAlign w:val="center"/>
          </w:tcPr>
          <w:p w:rsidR="00E044B8" w:rsidRPr="00E044B8" w:rsidRDefault="00E044B8" w:rsidP="00E044B8">
            <w:pPr>
              <w:jc w:val="center"/>
              <w:rPr>
                <w:sz w:val="22"/>
                <w:szCs w:val="22"/>
                <w:highlight w:val="yellow"/>
              </w:rPr>
            </w:pPr>
            <w:r w:rsidRPr="00E044B8">
              <w:rPr>
                <w:sz w:val="22"/>
                <w:szCs w:val="22"/>
              </w:rPr>
              <w:t>Jan 2030</w:t>
            </w:r>
          </w:p>
        </w:tc>
        <w:tc>
          <w:tcPr>
            <w:tcW w:w="1479" w:type="dxa"/>
            <w:shd w:val="clear" w:color="auto" w:fill="auto"/>
            <w:vAlign w:val="center"/>
          </w:tcPr>
          <w:p w:rsidR="00E044B8" w:rsidRPr="00E044B8" w:rsidRDefault="00E044B8" w:rsidP="00E044B8">
            <w:pPr>
              <w:rPr>
                <w:sz w:val="22"/>
                <w:szCs w:val="22"/>
                <w:highlight w:val="yellow"/>
              </w:rPr>
            </w:pPr>
            <w:r w:rsidRPr="00E044B8">
              <w:rPr>
                <w:sz w:val="22"/>
                <w:szCs w:val="22"/>
              </w:rPr>
              <w:t>York Place, Edinburgh</w:t>
            </w:r>
          </w:p>
        </w:tc>
      </w:tr>
      <w:tr w:rsidR="004154F4" w:rsidRPr="00FF6C69" w:rsidTr="002B2D2E">
        <w:tc>
          <w:tcPr>
            <w:tcW w:w="1418" w:type="dxa"/>
            <w:shd w:val="clear" w:color="auto" w:fill="auto"/>
            <w:vAlign w:val="center"/>
          </w:tcPr>
          <w:p w:rsidR="004154F4" w:rsidRPr="00FF6C69" w:rsidRDefault="004154F4" w:rsidP="000E29E0">
            <w:pPr>
              <w:jc w:val="both"/>
              <w:rPr>
                <w:sz w:val="22"/>
                <w:szCs w:val="22"/>
              </w:rPr>
            </w:pPr>
            <w:r w:rsidRPr="00FF6C69">
              <w:rPr>
                <w:sz w:val="22"/>
                <w:szCs w:val="22"/>
              </w:rPr>
              <w:t>Ayr</w:t>
            </w:r>
          </w:p>
        </w:tc>
        <w:tc>
          <w:tcPr>
            <w:tcW w:w="1858" w:type="dxa"/>
            <w:shd w:val="clear" w:color="auto" w:fill="auto"/>
            <w:vAlign w:val="center"/>
          </w:tcPr>
          <w:p w:rsidR="004154F4" w:rsidRPr="00FF6C69" w:rsidRDefault="004154F4" w:rsidP="000E29E0">
            <w:pPr>
              <w:jc w:val="center"/>
              <w:rPr>
                <w:sz w:val="22"/>
                <w:szCs w:val="22"/>
              </w:rPr>
            </w:pPr>
            <w:r w:rsidRPr="00FF6C69">
              <w:rPr>
                <w:sz w:val="22"/>
                <w:szCs w:val="22"/>
              </w:rPr>
              <w:t>60.7</w:t>
            </w:r>
          </w:p>
        </w:tc>
        <w:tc>
          <w:tcPr>
            <w:tcW w:w="1367" w:type="dxa"/>
            <w:shd w:val="clear" w:color="auto" w:fill="auto"/>
            <w:vAlign w:val="center"/>
          </w:tcPr>
          <w:p w:rsidR="004154F4" w:rsidRPr="008F4574" w:rsidRDefault="004154F4" w:rsidP="000E29E0">
            <w:pPr>
              <w:jc w:val="center"/>
              <w:rPr>
                <w:sz w:val="22"/>
                <w:szCs w:val="22"/>
              </w:rPr>
            </w:pPr>
            <w:r w:rsidRPr="008F4574">
              <w:rPr>
                <w:sz w:val="22"/>
                <w:szCs w:val="22"/>
              </w:rPr>
              <w:t>£6,500</w:t>
            </w:r>
          </w:p>
        </w:tc>
        <w:tc>
          <w:tcPr>
            <w:tcW w:w="1437" w:type="dxa"/>
            <w:shd w:val="clear" w:color="auto" w:fill="auto"/>
            <w:vAlign w:val="center"/>
          </w:tcPr>
          <w:p w:rsidR="004154F4" w:rsidRPr="008F4574" w:rsidRDefault="004154F4" w:rsidP="000E29E0">
            <w:pPr>
              <w:jc w:val="center"/>
              <w:rPr>
                <w:sz w:val="22"/>
                <w:szCs w:val="22"/>
              </w:rPr>
            </w:pPr>
            <w:r w:rsidRPr="008F4574">
              <w:rPr>
                <w:sz w:val="22"/>
                <w:szCs w:val="22"/>
              </w:rPr>
              <w:t>Leasehold*</w:t>
            </w:r>
          </w:p>
        </w:tc>
        <w:tc>
          <w:tcPr>
            <w:tcW w:w="1318" w:type="dxa"/>
            <w:shd w:val="clear" w:color="auto" w:fill="auto"/>
            <w:vAlign w:val="center"/>
          </w:tcPr>
          <w:p w:rsidR="004154F4" w:rsidRPr="008F4574" w:rsidRDefault="004154F4" w:rsidP="000E29E0">
            <w:pPr>
              <w:jc w:val="center"/>
              <w:rPr>
                <w:sz w:val="22"/>
                <w:szCs w:val="22"/>
              </w:rPr>
            </w:pPr>
            <w:r w:rsidRPr="008F4574">
              <w:rPr>
                <w:sz w:val="22"/>
                <w:szCs w:val="22"/>
              </w:rPr>
              <w:t>-</w:t>
            </w:r>
          </w:p>
        </w:tc>
        <w:tc>
          <w:tcPr>
            <w:tcW w:w="1318" w:type="dxa"/>
            <w:shd w:val="clear" w:color="auto" w:fill="auto"/>
            <w:vAlign w:val="center"/>
          </w:tcPr>
          <w:p w:rsidR="004154F4" w:rsidRPr="008F4574" w:rsidRDefault="004154F4" w:rsidP="00FD5320">
            <w:pPr>
              <w:jc w:val="center"/>
              <w:rPr>
                <w:sz w:val="22"/>
                <w:szCs w:val="22"/>
              </w:rPr>
            </w:pPr>
            <w:r w:rsidRPr="008F4574">
              <w:rPr>
                <w:sz w:val="22"/>
                <w:szCs w:val="22"/>
              </w:rPr>
              <w:t>Apr 20</w:t>
            </w:r>
            <w:r w:rsidR="00FD5320">
              <w:rPr>
                <w:sz w:val="22"/>
                <w:szCs w:val="22"/>
              </w:rPr>
              <w:t>22</w:t>
            </w:r>
          </w:p>
        </w:tc>
        <w:tc>
          <w:tcPr>
            <w:tcW w:w="1479" w:type="dxa"/>
            <w:shd w:val="clear" w:color="auto" w:fill="auto"/>
            <w:vAlign w:val="center"/>
          </w:tcPr>
          <w:p w:rsidR="004154F4" w:rsidRPr="008F4574" w:rsidRDefault="004154F4" w:rsidP="000E29E0">
            <w:pPr>
              <w:rPr>
                <w:sz w:val="22"/>
                <w:szCs w:val="22"/>
              </w:rPr>
            </w:pPr>
            <w:r w:rsidRPr="008F4574">
              <w:rPr>
                <w:sz w:val="22"/>
                <w:szCs w:val="22"/>
              </w:rPr>
              <w:t>Wellington Square, Ayr</w:t>
            </w:r>
          </w:p>
        </w:tc>
      </w:tr>
      <w:tr w:rsidR="00E044B8" w:rsidRPr="00FF6C69" w:rsidTr="002B2D2E">
        <w:tc>
          <w:tcPr>
            <w:tcW w:w="1418" w:type="dxa"/>
            <w:tcBorders>
              <w:bottom w:val="single" w:sz="4" w:space="0" w:color="auto"/>
            </w:tcBorders>
            <w:shd w:val="clear" w:color="auto" w:fill="auto"/>
            <w:vAlign w:val="center"/>
          </w:tcPr>
          <w:p w:rsidR="00E044B8" w:rsidRPr="00E044B8" w:rsidRDefault="00E044B8" w:rsidP="00E044B8">
            <w:pPr>
              <w:jc w:val="both"/>
              <w:rPr>
                <w:sz w:val="22"/>
                <w:szCs w:val="22"/>
              </w:rPr>
            </w:pPr>
            <w:r w:rsidRPr="00E044B8">
              <w:rPr>
                <w:sz w:val="22"/>
                <w:szCs w:val="22"/>
              </w:rPr>
              <w:t>Dundee</w:t>
            </w:r>
          </w:p>
        </w:tc>
        <w:tc>
          <w:tcPr>
            <w:tcW w:w="1858" w:type="dxa"/>
            <w:tcBorders>
              <w:bottom w:val="single" w:sz="4" w:space="0" w:color="auto"/>
            </w:tcBorders>
            <w:shd w:val="clear" w:color="auto" w:fill="auto"/>
            <w:vAlign w:val="center"/>
          </w:tcPr>
          <w:p w:rsidR="00E044B8" w:rsidRPr="00E044B8" w:rsidRDefault="00E044B8" w:rsidP="00E044B8">
            <w:pPr>
              <w:jc w:val="center"/>
              <w:rPr>
                <w:sz w:val="22"/>
                <w:szCs w:val="22"/>
              </w:rPr>
            </w:pPr>
            <w:r w:rsidRPr="00E044B8">
              <w:rPr>
                <w:sz w:val="22"/>
                <w:szCs w:val="22"/>
              </w:rPr>
              <w:t>Temporary accommodation, awaiting the outcome of a permanent business case</w:t>
            </w:r>
          </w:p>
        </w:tc>
        <w:tc>
          <w:tcPr>
            <w:tcW w:w="1367" w:type="dxa"/>
            <w:tcBorders>
              <w:bottom w:val="single" w:sz="4" w:space="0" w:color="auto"/>
            </w:tcBorders>
            <w:shd w:val="clear" w:color="auto" w:fill="auto"/>
            <w:vAlign w:val="center"/>
          </w:tcPr>
          <w:p w:rsidR="00E044B8" w:rsidRPr="00E044B8" w:rsidRDefault="00E044B8" w:rsidP="00E044B8">
            <w:pPr>
              <w:jc w:val="center"/>
              <w:rPr>
                <w:sz w:val="22"/>
                <w:szCs w:val="22"/>
              </w:rPr>
            </w:pPr>
            <w:r w:rsidRPr="00E044B8">
              <w:rPr>
                <w:sz w:val="22"/>
                <w:szCs w:val="22"/>
              </w:rPr>
              <w:t xml:space="preserve">£13,986 (for the 9 months) </w:t>
            </w:r>
          </w:p>
        </w:tc>
        <w:tc>
          <w:tcPr>
            <w:tcW w:w="1437" w:type="dxa"/>
            <w:tcBorders>
              <w:bottom w:val="single" w:sz="4" w:space="0" w:color="auto"/>
            </w:tcBorders>
            <w:shd w:val="clear" w:color="auto" w:fill="auto"/>
            <w:vAlign w:val="center"/>
          </w:tcPr>
          <w:p w:rsidR="00E044B8" w:rsidRPr="00E044B8" w:rsidRDefault="00E044B8" w:rsidP="00E044B8">
            <w:pPr>
              <w:jc w:val="center"/>
              <w:rPr>
                <w:sz w:val="22"/>
                <w:szCs w:val="22"/>
              </w:rPr>
            </w:pPr>
            <w:r w:rsidRPr="00E044B8">
              <w:rPr>
                <w:sz w:val="22"/>
                <w:szCs w:val="22"/>
              </w:rPr>
              <w:t>9 months</w:t>
            </w:r>
          </w:p>
        </w:tc>
        <w:tc>
          <w:tcPr>
            <w:tcW w:w="1318" w:type="dxa"/>
            <w:tcBorders>
              <w:bottom w:val="single" w:sz="4" w:space="0" w:color="auto"/>
            </w:tcBorders>
            <w:shd w:val="clear" w:color="auto" w:fill="auto"/>
            <w:vAlign w:val="center"/>
          </w:tcPr>
          <w:p w:rsidR="00E044B8" w:rsidRPr="00E044B8" w:rsidRDefault="00E044B8" w:rsidP="00E044B8">
            <w:pPr>
              <w:jc w:val="center"/>
              <w:rPr>
                <w:sz w:val="22"/>
                <w:szCs w:val="22"/>
              </w:rPr>
            </w:pPr>
            <w:r w:rsidRPr="00E044B8">
              <w:rPr>
                <w:sz w:val="22"/>
                <w:szCs w:val="22"/>
              </w:rPr>
              <w:t>-</w:t>
            </w:r>
          </w:p>
        </w:tc>
        <w:tc>
          <w:tcPr>
            <w:tcW w:w="1318" w:type="dxa"/>
            <w:tcBorders>
              <w:bottom w:val="single" w:sz="4" w:space="0" w:color="auto"/>
            </w:tcBorders>
            <w:shd w:val="clear" w:color="auto" w:fill="auto"/>
            <w:vAlign w:val="center"/>
          </w:tcPr>
          <w:p w:rsidR="00E044B8" w:rsidRPr="00E044B8" w:rsidRDefault="00E044B8" w:rsidP="00E044B8">
            <w:pPr>
              <w:jc w:val="center"/>
              <w:rPr>
                <w:sz w:val="22"/>
                <w:szCs w:val="22"/>
              </w:rPr>
            </w:pPr>
          </w:p>
        </w:tc>
        <w:tc>
          <w:tcPr>
            <w:tcW w:w="1479" w:type="dxa"/>
            <w:tcBorders>
              <w:bottom w:val="single" w:sz="4" w:space="0" w:color="auto"/>
            </w:tcBorders>
            <w:shd w:val="clear" w:color="auto" w:fill="auto"/>
            <w:vAlign w:val="center"/>
          </w:tcPr>
          <w:p w:rsidR="00E044B8" w:rsidRPr="00E044B8" w:rsidRDefault="00E044B8" w:rsidP="00E044B8">
            <w:pPr>
              <w:rPr>
                <w:sz w:val="22"/>
                <w:szCs w:val="22"/>
              </w:rPr>
            </w:pPr>
            <w:r w:rsidRPr="00E044B8">
              <w:rPr>
                <w:sz w:val="22"/>
                <w:szCs w:val="22"/>
              </w:rPr>
              <w:t xml:space="preserve">Units 5&amp;9 </w:t>
            </w:r>
          </w:p>
          <w:p w:rsidR="00E044B8" w:rsidRPr="00E044B8" w:rsidRDefault="00E044B8" w:rsidP="00E044B8">
            <w:pPr>
              <w:rPr>
                <w:sz w:val="22"/>
                <w:szCs w:val="22"/>
              </w:rPr>
            </w:pPr>
            <w:r w:rsidRPr="00E044B8">
              <w:rPr>
                <w:sz w:val="22"/>
                <w:szCs w:val="22"/>
              </w:rPr>
              <w:t xml:space="preserve">152 West </w:t>
            </w:r>
            <w:proofErr w:type="spellStart"/>
            <w:r w:rsidRPr="00E044B8">
              <w:rPr>
                <w:sz w:val="22"/>
                <w:szCs w:val="22"/>
              </w:rPr>
              <w:t>Marketgait</w:t>
            </w:r>
            <w:proofErr w:type="spellEnd"/>
          </w:p>
          <w:p w:rsidR="00E044B8" w:rsidRPr="00E044B8" w:rsidRDefault="00E044B8" w:rsidP="00E044B8">
            <w:pPr>
              <w:rPr>
                <w:sz w:val="22"/>
                <w:szCs w:val="22"/>
              </w:rPr>
            </w:pPr>
            <w:r w:rsidRPr="00E044B8">
              <w:rPr>
                <w:sz w:val="22"/>
                <w:szCs w:val="22"/>
              </w:rPr>
              <w:t>Dundee</w:t>
            </w:r>
          </w:p>
        </w:tc>
      </w:tr>
      <w:tr w:rsidR="004154F4" w:rsidRPr="00FF6C69" w:rsidTr="002B2D2E">
        <w:tc>
          <w:tcPr>
            <w:tcW w:w="1418" w:type="dxa"/>
            <w:shd w:val="clear" w:color="auto" w:fill="auto"/>
            <w:vAlign w:val="center"/>
          </w:tcPr>
          <w:p w:rsidR="004154F4" w:rsidRPr="00FF6C69" w:rsidRDefault="004154F4" w:rsidP="000E29E0">
            <w:pPr>
              <w:jc w:val="both"/>
              <w:rPr>
                <w:sz w:val="22"/>
                <w:szCs w:val="22"/>
              </w:rPr>
            </w:pPr>
            <w:r w:rsidRPr="00FF6C69">
              <w:rPr>
                <w:sz w:val="22"/>
                <w:szCs w:val="22"/>
              </w:rPr>
              <w:t>Falkirk</w:t>
            </w:r>
          </w:p>
        </w:tc>
        <w:tc>
          <w:tcPr>
            <w:tcW w:w="1858" w:type="dxa"/>
            <w:shd w:val="clear" w:color="auto" w:fill="auto"/>
            <w:vAlign w:val="center"/>
          </w:tcPr>
          <w:p w:rsidR="004154F4" w:rsidRPr="00FF6C69" w:rsidRDefault="004154F4" w:rsidP="000E29E0">
            <w:pPr>
              <w:jc w:val="center"/>
              <w:rPr>
                <w:sz w:val="22"/>
                <w:szCs w:val="22"/>
              </w:rPr>
            </w:pPr>
            <w:r w:rsidRPr="00FF6C69">
              <w:rPr>
                <w:sz w:val="22"/>
                <w:szCs w:val="22"/>
              </w:rPr>
              <w:t>98.8</w:t>
            </w:r>
          </w:p>
        </w:tc>
        <w:tc>
          <w:tcPr>
            <w:tcW w:w="1367" w:type="dxa"/>
            <w:shd w:val="clear" w:color="auto" w:fill="auto"/>
            <w:vAlign w:val="center"/>
          </w:tcPr>
          <w:p w:rsidR="004154F4" w:rsidRPr="008F4574" w:rsidRDefault="004154F4" w:rsidP="000E29E0">
            <w:pPr>
              <w:jc w:val="center"/>
              <w:rPr>
                <w:sz w:val="22"/>
                <w:szCs w:val="22"/>
              </w:rPr>
            </w:pPr>
            <w:r w:rsidRPr="008F4574">
              <w:rPr>
                <w:sz w:val="22"/>
                <w:szCs w:val="22"/>
              </w:rPr>
              <w:t>£8,500</w:t>
            </w:r>
          </w:p>
        </w:tc>
        <w:tc>
          <w:tcPr>
            <w:tcW w:w="1437" w:type="dxa"/>
            <w:shd w:val="clear" w:color="auto" w:fill="auto"/>
            <w:vAlign w:val="center"/>
          </w:tcPr>
          <w:p w:rsidR="004154F4" w:rsidRPr="008F4574" w:rsidRDefault="004154F4" w:rsidP="000E29E0">
            <w:pPr>
              <w:jc w:val="center"/>
              <w:rPr>
                <w:sz w:val="22"/>
                <w:szCs w:val="22"/>
              </w:rPr>
            </w:pPr>
            <w:r w:rsidRPr="008F4574">
              <w:rPr>
                <w:sz w:val="22"/>
                <w:szCs w:val="22"/>
              </w:rPr>
              <w:t>Leasehold*</w:t>
            </w:r>
          </w:p>
        </w:tc>
        <w:tc>
          <w:tcPr>
            <w:tcW w:w="1318" w:type="dxa"/>
            <w:shd w:val="clear" w:color="auto" w:fill="auto"/>
            <w:vAlign w:val="center"/>
          </w:tcPr>
          <w:p w:rsidR="004154F4" w:rsidRPr="008F4574" w:rsidRDefault="004154F4" w:rsidP="000E29E0">
            <w:pPr>
              <w:jc w:val="center"/>
              <w:rPr>
                <w:sz w:val="22"/>
                <w:szCs w:val="22"/>
              </w:rPr>
            </w:pPr>
            <w:r w:rsidRPr="008F4574">
              <w:rPr>
                <w:sz w:val="22"/>
                <w:szCs w:val="22"/>
              </w:rPr>
              <w:t>-</w:t>
            </w:r>
          </w:p>
        </w:tc>
        <w:tc>
          <w:tcPr>
            <w:tcW w:w="1318" w:type="dxa"/>
            <w:shd w:val="clear" w:color="auto" w:fill="auto"/>
            <w:vAlign w:val="center"/>
          </w:tcPr>
          <w:p w:rsidR="004154F4" w:rsidRPr="008F4574" w:rsidRDefault="004154F4" w:rsidP="00FD5320">
            <w:pPr>
              <w:jc w:val="center"/>
              <w:rPr>
                <w:sz w:val="22"/>
                <w:szCs w:val="22"/>
              </w:rPr>
            </w:pPr>
            <w:r w:rsidRPr="008F4574">
              <w:rPr>
                <w:sz w:val="22"/>
                <w:szCs w:val="22"/>
              </w:rPr>
              <w:t>May 20</w:t>
            </w:r>
            <w:r w:rsidR="00FD5320">
              <w:rPr>
                <w:sz w:val="22"/>
                <w:szCs w:val="22"/>
              </w:rPr>
              <w:t>22</w:t>
            </w:r>
          </w:p>
        </w:tc>
        <w:tc>
          <w:tcPr>
            <w:tcW w:w="1479" w:type="dxa"/>
            <w:shd w:val="clear" w:color="auto" w:fill="auto"/>
            <w:vAlign w:val="center"/>
          </w:tcPr>
          <w:p w:rsidR="004154F4" w:rsidRPr="008F4574" w:rsidRDefault="004154F4" w:rsidP="000E29E0">
            <w:pPr>
              <w:rPr>
                <w:sz w:val="22"/>
                <w:szCs w:val="22"/>
              </w:rPr>
            </w:pPr>
            <w:r w:rsidRPr="008F4574">
              <w:rPr>
                <w:sz w:val="22"/>
                <w:szCs w:val="22"/>
              </w:rPr>
              <w:t>West Bridge Street, Falkirk</w:t>
            </w:r>
          </w:p>
        </w:tc>
      </w:tr>
      <w:tr w:rsidR="004154F4" w:rsidRPr="00FF6C69" w:rsidTr="002B2D2E">
        <w:tc>
          <w:tcPr>
            <w:tcW w:w="1418" w:type="dxa"/>
            <w:tcBorders>
              <w:bottom w:val="single" w:sz="4" w:space="0" w:color="auto"/>
            </w:tcBorders>
            <w:shd w:val="clear" w:color="auto" w:fill="auto"/>
            <w:vAlign w:val="center"/>
          </w:tcPr>
          <w:p w:rsidR="004154F4" w:rsidRPr="00FF6C69" w:rsidRDefault="004154F4" w:rsidP="000E29E0">
            <w:pPr>
              <w:jc w:val="both"/>
              <w:rPr>
                <w:sz w:val="22"/>
                <w:szCs w:val="22"/>
              </w:rPr>
            </w:pPr>
          </w:p>
        </w:tc>
        <w:tc>
          <w:tcPr>
            <w:tcW w:w="1858" w:type="dxa"/>
            <w:tcBorders>
              <w:bottom w:val="single" w:sz="4" w:space="0" w:color="auto"/>
            </w:tcBorders>
            <w:shd w:val="clear" w:color="auto" w:fill="auto"/>
            <w:vAlign w:val="center"/>
          </w:tcPr>
          <w:p w:rsidR="004154F4" w:rsidRPr="00FF6C69" w:rsidRDefault="004154F4" w:rsidP="000E29E0">
            <w:pPr>
              <w:jc w:val="center"/>
              <w:rPr>
                <w:sz w:val="22"/>
                <w:szCs w:val="22"/>
              </w:rPr>
            </w:pPr>
          </w:p>
        </w:tc>
        <w:tc>
          <w:tcPr>
            <w:tcW w:w="1367" w:type="dxa"/>
            <w:tcBorders>
              <w:bottom w:val="single" w:sz="4" w:space="0" w:color="auto"/>
            </w:tcBorders>
            <w:shd w:val="clear" w:color="auto" w:fill="auto"/>
            <w:vAlign w:val="center"/>
          </w:tcPr>
          <w:p w:rsidR="004154F4" w:rsidRPr="008F4574" w:rsidRDefault="004154F4" w:rsidP="000E29E0">
            <w:pPr>
              <w:jc w:val="center"/>
              <w:rPr>
                <w:sz w:val="22"/>
                <w:szCs w:val="22"/>
              </w:rPr>
            </w:pPr>
          </w:p>
        </w:tc>
        <w:tc>
          <w:tcPr>
            <w:tcW w:w="1437" w:type="dxa"/>
            <w:tcBorders>
              <w:bottom w:val="single" w:sz="4" w:space="0" w:color="auto"/>
            </w:tcBorders>
            <w:shd w:val="clear" w:color="auto" w:fill="auto"/>
            <w:vAlign w:val="center"/>
          </w:tcPr>
          <w:p w:rsidR="004154F4" w:rsidRPr="008F4574" w:rsidRDefault="004154F4" w:rsidP="000E29E0">
            <w:pPr>
              <w:jc w:val="center"/>
              <w:rPr>
                <w:sz w:val="22"/>
                <w:szCs w:val="22"/>
              </w:rPr>
            </w:pPr>
          </w:p>
        </w:tc>
        <w:tc>
          <w:tcPr>
            <w:tcW w:w="1318" w:type="dxa"/>
            <w:tcBorders>
              <w:bottom w:val="single" w:sz="4" w:space="0" w:color="auto"/>
            </w:tcBorders>
            <w:shd w:val="clear" w:color="auto" w:fill="auto"/>
            <w:vAlign w:val="center"/>
          </w:tcPr>
          <w:p w:rsidR="004154F4" w:rsidRPr="008F4574" w:rsidRDefault="004154F4" w:rsidP="000E29E0">
            <w:pPr>
              <w:jc w:val="center"/>
              <w:rPr>
                <w:sz w:val="22"/>
                <w:szCs w:val="22"/>
              </w:rPr>
            </w:pPr>
          </w:p>
        </w:tc>
        <w:tc>
          <w:tcPr>
            <w:tcW w:w="1318" w:type="dxa"/>
            <w:tcBorders>
              <w:bottom w:val="single" w:sz="4" w:space="0" w:color="auto"/>
            </w:tcBorders>
            <w:shd w:val="clear" w:color="auto" w:fill="auto"/>
            <w:vAlign w:val="center"/>
          </w:tcPr>
          <w:p w:rsidR="004154F4" w:rsidRPr="008F4574" w:rsidRDefault="004154F4" w:rsidP="000E29E0">
            <w:pPr>
              <w:jc w:val="center"/>
              <w:rPr>
                <w:sz w:val="22"/>
                <w:szCs w:val="22"/>
              </w:rPr>
            </w:pPr>
          </w:p>
        </w:tc>
        <w:tc>
          <w:tcPr>
            <w:tcW w:w="1479" w:type="dxa"/>
            <w:tcBorders>
              <w:bottom w:val="single" w:sz="4" w:space="0" w:color="auto"/>
            </w:tcBorders>
            <w:shd w:val="clear" w:color="auto" w:fill="auto"/>
            <w:vAlign w:val="center"/>
          </w:tcPr>
          <w:p w:rsidR="004154F4" w:rsidRPr="008F4574" w:rsidRDefault="004154F4" w:rsidP="000E29E0">
            <w:pPr>
              <w:rPr>
                <w:sz w:val="22"/>
                <w:szCs w:val="22"/>
              </w:rPr>
            </w:pPr>
          </w:p>
        </w:tc>
      </w:tr>
      <w:tr w:rsidR="004154F4" w:rsidRPr="00FF6C69" w:rsidTr="002B2D2E">
        <w:tc>
          <w:tcPr>
            <w:tcW w:w="10195" w:type="dxa"/>
            <w:gridSpan w:val="7"/>
            <w:tcBorders>
              <w:bottom w:val="single" w:sz="4" w:space="0" w:color="auto"/>
            </w:tcBorders>
            <w:shd w:val="clear" w:color="auto" w:fill="000000"/>
            <w:vAlign w:val="center"/>
          </w:tcPr>
          <w:p w:rsidR="004154F4" w:rsidRPr="008F4574" w:rsidRDefault="004154F4" w:rsidP="000E29E0">
            <w:pPr>
              <w:spacing w:before="120" w:after="120"/>
              <w:rPr>
                <w:b/>
                <w:sz w:val="22"/>
                <w:szCs w:val="22"/>
              </w:rPr>
            </w:pPr>
            <w:r w:rsidRPr="008F4574">
              <w:rPr>
                <w:b/>
                <w:sz w:val="22"/>
                <w:szCs w:val="22"/>
              </w:rPr>
              <w:t>CLAO</w:t>
            </w:r>
          </w:p>
        </w:tc>
      </w:tr>
      <w:tr w:rsidR="004154F4" w:rsidRPr="00FF6C69" w:rsidTr="002B2D2E">
        <w:tc>
          <w:tcPr>
            <w:tcW w:w="1418" w:type="dxa"/>
            <w:shd w:val="clear" w:color="auto" w:fill="auto"/>
            <w:vAlign w:val="center"/>
          </w:tcPr>
          <w:p w:rsidR="004154F4" w:rsidRPr="00FF6C69" w:rsidRDefault="004154F4" w:rsidP="000E29E0">
            <w:pPr>
              <w:rPr>
                <w:sz w:val="22"/>
                <w:szCs w:val="22"/>
              </w:rPr>
            </w:pPr>
            <w:r w:rsidRPr="00FF6C69">
              <w:rPr>
                <w:sz w:val="22"/>
                <w:szCs w:val="22"/>
              </w:rPr>
              <w:t>Edinburgh</w:t>
            </w:r>
          </w:p>
        </w:tc>
        <w:tc>
          <w:tcPr>
            <w:tcW w:w="1858" w:type="dxa"/>
            <w:shd w:val="clear" w:color="auto" w:fill="auto"/>
            <w:vAlign w:val="center"/>
          </w:tcPr>
          <w:p w:rsidR="004154F4" w:rsidRPr="00FF6C69" w:rsidRDefault="004154F4" w:rsidP="000E29E0">
            <w:pPr>
              <w:jc w:val="center"/>
              <w:rPr>
                <w:sz w:val="22"/>
                <w:szCs w:val="22"/>
              </w:rPr>
            </w:pPr>
            <w:r w:rsidRPr="00FF6C69">
              <w:rPr>
                <w:sz w:val="22"/>
                <w:szCs w:val="22"/>
              </w:rPr>
              <w:t>100</w:t>
            </w:r>
          </w:p>
        </w:tc>
        <w:tc>
          <w:tcPr>
            <w:tcW w:w="1367" w:type="dxa"/>
            <w:shd w:val="clear" w:color="auto" w:fill="auto"/>
            <w:vAlign w:val="center"/>
          </w:tcPr>
          <w:p w:rsidR="004154F4" w:rsidRPr="008F4574" w:rsidRDefault="004154F4" w:rsidP="000E29E0">
            <w:pPr>
              <w:jc w:val="center"/>
              <w:rPr>
                <w:sz w:val="22"/>
                <w:szCs w:val="22"/>
              </w:rPr>
            </w:pPr>
            <w:r w:rsidRPr="008F4574">
              <w:rPr>
                <w:sz w:val="22"/>
                <w:szCs w:val="22"/>
              </w:rPr>
              <w:t>n/a</w:t>
            </w:r>
          </w:p>
        </w:tc>
        <w:tc>
          <w:tcPr>
            <w:tcW w:w="1437" w:type="dxa"/>
            <w:shd w:val="clear" w:color="auto" w:fill="auto"/>
            <w:vAlign w:val="center"/>
          </w:tcPr>
          <w:p w:rsidR="004154F4" w:rsidRPr="008F4574" w:rsidRDefault="004154F4" w:rsidP="000E29E0">
            <w:pPr>
              <w:jc w:val="center"/>
              <w:rPr>
                <w:sz w:val="22"/>
                <w:szCs w:val="22"/>
              </w:rPr>
            </w:pPr>
            <w:r w:rsidRPr="008F4574">
              <w:rPr>
                <w:sz w:val="22"/>
                <w:szCs w:val="22"/>
              </w:rPr>
              <w:t>MOTU</w:t>
            </w:r>
          </w:p>
        </w:tc>
        <w:tc>
          <w:tcPr>
            <w:tcW w:w="1318" w:type="dxa"/>
            <w:shd w:val="clear" w:color="auto" w:fill="auto"/>
            <w:vAlign w:val="center"/>
          </w:tcPr>
          <w:p w:rsidR="004154F4" w:rsidRPr="008F4574" w:rsidRDefault="004154F4" w:rsidP="000E29E0">
            <w:pPr>
              <w:jc w:val="center"/>
              <w:rPr>
                <w:sz w:val="22"/>
                <w:szCs w:val="22"/>
              </w:rPr>
            </w:pPr>
            <w:r w:rsidRPr="008F4574">
              <w:rPr>
                <w:sz w:val="22"/>
                <w:szCs w:val="22"/>
              </w:rPr>
              <w:t>MOTU</w:t>
            </w:r>
          </w:p>
        </w:tc>
        <w:tc>
          <w:tcPr>
            <w:tcW w:w="1318" w:type="dxa"/>
            <w:shd w:val="clear" w:color="auto" w:fill="auto"/>
            <w:vAlign w:val="center"/>
          </w:tcPr>
          <w:p w:rsidR="004154F4" w:rsidRPr="008F4574" w:rsidRDefault="004154F4" w:rsidP="000E29E0">
            <w:pPr>
              <w:jc w:val="center"/>
              <w:rPr>
                <w:sz w:val="22"/>
                <w:szCs w:val="22"/>
              </w:rPr>
            </w:pPr>
            <w:r w:rsidRPr="008F4574">
              <w:rPr>
                <w:sz w:val="22"/>
                <w:szCs w:val="22"/>
              </w:rPr>
              <w:t>MOTU</w:t>
            </w:r>
          </w:p>
        </w:tc>
        <w:tc>
          <w:tcPr>
            <w:tcW w:w="1479" w:type="dxa"/>
            <w:shd w:val="clear" w:color="auto" w:fill="auto"/>
            <w:vAlign w:val="center"/>
          </w:tcPr>
          <w:p w:rsidR="004154F4" w:rsidRPr="008F4574" w:rsidRDefault="004154F4" w:rsidP="000E29E0">
            <w:pPr>
              <w:rPr>
                <w:sz w:val="22"/>
                <w:szCs w:val="22"/>
              </w:rPr>
            </w:pPr>
            <w:r w:rsidRPr="008F4574">
              <w:rPr>
                <w:sz w:val="22"/>
                <w:szCs w:val="22"/>
              </w:rPr>
              <w:t>Haymarket Terrace, Edinburgh</w:t>
            </w:r>
          </w:p>
        </w:tc>
      </w:tr>
      <w:tr w:rsidR="004154F4" w:rsidRPr="00FF6C69" w:rsidTr="002B2D2E">
        <w:tc>
          <w:tcPr>
            <w:tcW w:w="1418" w:type="dxa"/>
            <w:shd w:val="clear" w:color="auto" w:fill="auto"/>
            <w:vAlign w:val="center"/>
          </w:tcPr>
          <w:p w:rsidR="004154F4" w:rsidRPr="00FF6C69" w:rsidRDefault="004154F4" w:rsidP="000E29E0">
            <w:pPr>
              <w:rPr>
                <w:sz w:val="22"/>
                <w:szCs w:val="22"/>
              </w:rPr>
            </w:pPr>
            <w:r w:rsidRPr="00FF6C69">
              <w:rPr>
                <w:sz w:val="22"/>
                <w:szCs w:val="22"/>
              </w:rPr>
              <w:t>Aberdeen</w:t>
            </w:r>
          </w:p>
        </w:tc>
        <w:tc>
          <w:tcPr>
            <w:tcW w:w="1858" w:type="dxa"/>
            <w:shd w:val="clear" w:color="auto" w:fill="auto"/>
            <w:vAlign w:val="center"/>
          </w:tcPr>
          <w:p w:rsidR="004154F4" w:rsidRPr="00FF6C69" w:rsidRDefault="004154F4" w:rsidP="000E29E0">
            <w:pPr>
              <w:jc w:val="center"/>
              <w:rPr>
                <w:sz w:val="22"/>
                <w:szCs w:val="22"/>
              </w:rPr>
            </w:pPr>
            <w:r w:rsidRPr="00FF6C69">
              <w:rPr>
                <w:sz w:val="22"/>
                <w:szCs w:val="22"/>
              </w:rPr>
              <w:t>147.7</w:t>
            </w:r>
          </w:p>
        </w:tc>
        <w:tc>
          <w:tcPr>
            <w:tcW w:w="1367" w:type="dxa"/>
            <w:shd w:val="clear" w:color="auto" w:fill="auto"/>
            <w:vAlign w:val="center"/>
          </w:tcPr>
          <w:p w:rsidR="004154F4" w:rsidRPr="008F4574" w:rsidRDefault="004154F4" w:rsidP="000E29E0">
            <w:pPr>
              <w:jc w:val="center"/>
              <w:rPr>
                <w:sz w:val="22"/>
                <w:szCs w:val="22"/>
              </w:rPr>
            </w:pPr>
          </w:p>
          <w:p w:rsidR="004154F4" w:rsidRPr="008F4574" w:rsidRDefault="004154F4" w:rsidP="000E29E0">
            <w:pPr>
              <w:jc w:val="center"/>
              <w:rPr>
                <w:sz w:val="22"/>
                <w:szCs w:val="22"/>
              </w:rPr>
            </w:pPr>
            <w:r w:rsidRPr="008F4574">
              <w:rPr>
                <w:sz w:val="22"/>
                <w:szCs w:val="22"/>
              </w:rPr>
              <w:t>£14,500</w:t>
            </w:r>
          </w:p>
          <w:p w:rsidR="004154F4" w:rsidRPr="008F4574" w:rsidRDefault="004154F4" w:rsidP="000E29E0">
            <w:pPr>
              <w:jc w:val="center"/>
              <w:rPr>
                <w:sz w:val="22"/>
                <w:szCs w:val="22"/>
              </w:rPr>
            </w:pPr>
          </w:p>
        </w:tc>
        <w:tc>
          <w:tcPr>
            <w:tcW w:w="1437" w:type="dxa"/>
            <w:shd w:val="clear" w:color="auto" w:fill="auto"/>
            <w:vAlign w:val="center"/>
          </w:tcPr>
          <w:p w:rsidR="004154F4" w:rsidRPr="008F4574" w:rsidRDefault="004154F4" w:rsidP="000E29E0">
            <w:pPr>
              <w:jc w:val="center"/>
              <w:rPr>
                <w:sz w:val="22"/>
                <w:szCs w:val="22"/>
              </w:rPr>
            </w:pPr>
            <w:r w:rsidRPr="008F4574">
              <w:rPr>
                <w:sz w:val="22"/>
                <w:szCs w:val="22"/>
              </w:rPr>
              <w:t>Leasehold</w:t>
            </w:r>
          </w:p>
        </w:tc>
        <w:tc>
          <w:tcPr>
            <w:tcW w:w="1318" w:type="dxa"/>
            <w:shd w:val="clear" w:color="auto" w:fill="auto"/>
            <w:vAlign w:val="center"/>
          </w:tcPr>
          <w:p w:rsidR="004154F4" w:rsidRPr="008F4574" w:rsidRDefault="004154F4" w:rsidP="000E29E0">
            <w:pPr>
              <w:jc w:val="center"/>
              <w:rPr>
                <w:sz w:val="22"/>
                <w:szCs w:val="22"/>
              </w:rPr>
            </w:pPr>
            <w:r w:rsidRPr="008F4574">
              <w:rPr>
                <w:sz w:val="22"/>
                <w:szCs w:val="22"/>
              </w:rPr>
              <w:t>-</w:t>
            </w:r>
          </w:p>
        </w:tc>
        <w:tc>
          <w:tcPr>
            <w:tcW w:w="1318" w:type="dxa"/>
            <w:shd w:val="clear" w:color="auto" w:fill="auto"/>
            <w:vAlign w:val="center"/>
          </w:tcPr>
          <w:p w:rsidR="004154F4" w:rsidRPr="008F4574" w:rsidRDefault="004154F4" w:rsidP="00FD5320">
            <w:pPr>
              <w:jc w:val="center"/>
              <w:rPr>
                <w:sz w:val="22"/>
                <w:szCs w:val="22"/>
              </w:rPr>
            </w:pPr>
            <w:r w:rsidRPr="008F4574">
              <w:rPr>
                <w:sz w:val="22"/>
                <w:szCs w:val="22"/>
              </w:rPr>
              <w:t>Feb 202</w:t>
            </w:r>
            <w:r w:rsidR="00FD5320">
              <w:rPr>
                <w:sz w:val="22"/>
                <w:szCs w:val="22"/>
              </w:rPr>
              <w:t>3</w:t>
            </w:r>
          </w:p>
        </w:tc>
        <w:tc>
          <w:tcPr>
            <w:tcW w:w="1479" w:type="dxa"/>
            <w:shd w:val="clear" w:color="auto" w:fill="auto"/>
            <w:vAlign w:val="center"/>
          </w:tcPr>
          <w:p w:rsidR="004154F4" w:rsidRPr="008F4574" w:rsidRDefault="004154F4" w:rsidP="000E29E0">
            <w:pPr>
              <w:rPr>
                <w:sz w:val="22"/>
                <w:szCs w:val="22"/>
              </w:rPr>
            </w:pPr>
            <w:r w:rsidRPr="008F4574">
              <w:rPr>
                <w:sz w:val="22"/>
                <w:szCs w:val="22"/>
              </w:rPr>
              <w:t>Union Street, Aberdeen</w:t>
            </w:r>
          </w:p>
        </w:tc>
      </w:tr>
      <w:tr w:rsidR="002B2D2E" w:rsidRPr="008F4574" w:rsidTr="000865F1">
        <w:tc>
          <w:tcPr>
            <w:tcW w:w="10195" w:type="dxa"/>
            <w:gridSpan w:val="7"/>
            <w:tcBorders>
              <w:bottom w:val="single" w:sz="4" w:space="0" w:color="auto"/>
            </w:tcBorders>
            <w:shd w:val="clear" w:color="auto" w:fill="000000"/>
            <w:vAlign w:val="center"/>
          </w:tcPr>
          <w:p w:rsidR="002B2D2E" w:rsidRPr="008F4574" w:rsidRDefault="002B2D2E" w:rsidP="000865F1">
            <w:pPr>
              <w:spacing w:before="120" w:after="120"/>
              <w:rPr>
                <w:b/>
                <w:sz w:val="22"/>
                <w:szCs w:val="22"/>
              </w:rPr>
            </w:pPr>
            <w:r>
              <w:rPr>
                <w:b/>
                <w:sz w:val="22"/>
                <w:szCs w:val="22"/>
              </w:rPr>
              <w:t>PDSO &amp; CLAO</w:t>
            </w:r>
          </w:p>
        </w:tc>
      </w:tr>
      <w:tr w:rsidR="00E044B8" w:rsidRPr="002B2D2E" w:rsidTr="000865F1">
        <w:tc>
          <w:tcPr>
            <w:tcW w:w="1418" w:type="dxa"/>
            <w:shd w:val="clear" w:color="auto" w:fill="auto"/>
            <w:vAlign w:val="center"/>
          </w:tcPr>
          <w:p w:rsidR="00E044B8" w:rsidRPr="00E044B8" w:rsidRDefault="00E044B8" w:rsidP="00E044B8">
            <w:pPr>
              <w:rPr>
                <w:sz w:val="22"/>
                <w:szCs w:val="22"/>
              </w:rPr>
            </w:pPr>
            <w:r w:rsidRPr="00E044B8">
              <w:rPr>
                <w:sz w:val="22"/>
                <w:szCs w:val="22"/>
              </w:rPr>
              <w:t>Highlands and Islands</w:t>
            </w:r>
          </w:p>
        </w:tc>
        <w:tc>
          <w:tcPr>
            <w:tcW w:w="1858" w:type="dxa"/>
            <w:shd w:val="clear" w:color="auto" w:fill="auto"/>
            <w:vAlign w:val="center"/>
          </w:tcPr>
          <w:p w:rsidR="00E044B8" w:rsidRPr="00E044B8" w:rsidRDefault="00E044B8" w:rsidP="00E044B8">
            <w:pPr>
              <w:jc w:val="center"/>
              <w:rPr>
                <w:sz w:val="22"/>
                <w:szCs w:val="22"/>
                <w:highlight w:val="yellow"/>
              </w:rPr>
            </w:pPr>
            <w:r w:rsidRPr="00E044B8">
              <w:rPr>
                <w:sz w:val="22"/>
                <w:szCs w:val="22"/>
              </w:rPr>
              <w:t>462</w:t>
            </w:r>
          </w:p>
        </w:tc>
        <w:tc>
          <w:tcPr>
            <w:tcW w:w="1367" w:type="dxa"/>
            <w:shd w:val="clear" w:color="auto" w:fill="auto"/>
            <w:vAlign w:val="center"/>
          </w:tcPr>
          <w:p w:rsidR="00E044B8" w:rsidRPr="00E044B8" w:rsidRDefault="00E044B8" w:rsidP="00E044B8">
            <w:pPr>
              <w:jc w:val="center"/>
              <w:rPr>
                <w:sz w:val="22"/>
                <w:szCs w:val="22"/>
                <w:highlight w:val="yellow"/>
              </w:rPr>
            </w:pPr>
            <w:r w:rsidRPr="00E044B8">
              <w:rPr>
                <w:sz w:val="22"/>
                <w:szCs w:val="22"/>
              </w:rPr>
              <w:t>£35,400</w:t>
            </w:r>
          </w:p>
        </w:tc>
        <w:tc>
          <w:tcPr>
            <w:tcW w:w="1437" w:type="dxa"/>
            <w:shd w:val="clear" w:color="auto" w:fill="auto"/>
            <w:vAlign w:val="center"/>
          </w:tcPr>
          <w:p w:rsidR="00E044B8" w:rsidRPr="00E044B8" w:rsidRDefault="00E044B8" w:rsidP="00E044B8">
            <w:pPr>
              <w:jc w:val="center"/>
              <w:rPr>
                <w:sz w:val="22"/>
                <w:szCs w:val="22"/>
                <w:highlight w:val="yellow"/>
              </w:rPr>
            </w:pPr>
            <w:r w:rsidRPr="00E044B8">
              <w:rPr>
                <w:sz w:val="22"/>
                <w:szCs w:val="22"/>
              </w:rPr>
              <w:t>Leasehold</w:t>
            </w:r>
          </w:p>
        </w:tc>
        <w:tc>
          <w:tcPr>
            <w:tcW w:w="1318" w:type="dxa"/>
            <w:shd w:val="clear" w:color="auto" w:fill="auto"/>
            <w:vAlign w:val="center"/>
          </w:tcPr>
          <w:p w:rsidR="00E044B8" w:rsidRPr="00E044B8" w:rsidRDefault="00E044B8" w:rsidP="00E044B8">
            <w:pPr>
              <w:jc w:val="center"/>
              <w:rPr>
                <w:sz w:val="22"/>
                <w:szCs w:val="22"/>
                <w:highlight w:val="yellow"/>
              </w:rPr>
            </w:pPr>
            <w:r w:rsidRPr="00E044B8">
              <w:rPr>
                <w:sz w:val="22"/>
                <w:szCs w:val="22"/>
              </w:rPr>
              <w:t>-</w:t>
            </w:r>
          </w:p>
        </w:tc>
        <w:tc>
          <w:tcPr>
            <w:tcW w:w="1318" w:type="dxa"/>
            <w:shd w:val="clear" w:color="auto" w:fill="auto"/>
            <w:vAlign w:val="center"/>
          </w:tcPr>
          <w:p w:rsidR="00E044B8" w:rsidRPr="00E044B8" w:rsidRDefault="00E044B8" w:rsidP="00E044B8">
            <w:pPr>
              <w:jc w:val="center"/>
              <w:rPr>
                <w:sz w:val="22"/>
                <w:szCs w:val="22"/>
                <w:highlight w:val="yellow"/>
              </w:rPr>
            </w:pPr>
            <w:r w:rsidRPr="00E044B8">
              <w:rPr>
                <w:sz w:val="22"/>
                <w:szCs w:val="22"/>
              </w:rPr>
              <w:t>May 2026</w:t>
            </w:r>
          </w:p>
        </w:tc>
        <w:tc>
          <w:tcPr>
            <w:tcW w:w="1479" w:type="dxa"/>
            <w:shd w:val="clear" w:color="auto" w:fill="auto"/>
            <w:vAlign w:val="center"/>
          </w:tcPr>
          <w:p w:rsidR="00E044B8" w:rsidRPr="00E044B8" w:rsidRDefault="00E044B8" w:rsidP="00E044B8">
            <w:pPr>
              <w:rPr>
                <w:sz w:val="22"/>
                <w:szCs w:val="22"/>
                <w:highlight w:val="yellow"/>
              </w:rPr>
            </w:pPr>
            <w:proofErr w:type="spellStart"/>
            <w:r w:rsidRPr="00E044B8">
              <w:rPr>
                <w:sz w:val="22"/>
                <w:szCs w:val="22"/>
              </w:rPr>
              <w:t>Castlewynd</w:t>
            </w:r>
            <w:proofErr w:type="spellEnd"/>
            <w:r w:rsidRPr="00E044B8">
              <w:rPr>
                <w:sz w:val="22"/>
                <w:szCs w:val="22"/>
              </w:rPr>
              <w:t>, Inverness</w:t>
            </w:r>
          </w:p>
        </w:tc>
      </w:tr>
    </w:tbl>
    <w:p w:rsidR="004154F4" w:rsidRPr="00ED6C0A" w:rsidRDefault="004154F4" w:rsidP="004154F4">
      <w:pPr>
        <w:spacing w:after="60"/>
        <w:jc w:val="both"/>
        <w:rPr>
          <w:sz w:val="22"/>
          <w:szCs w:val="22"/>
        </w:rPr>
      </w:pPr>
      <w:r w:rsidRPr="00ED6C0A">
        <w:rPr>
          <w:sz w:val="22"/>
          <w:szCs w:val="22"/>
        </w:rPr>
        <w:t>*   These leases are currently being extended on tacit relocation.</w:t>
      </w:r>
    </w:p>
    <w:p w:rsidR="004154F4" w:rsidRPr="00ED6C0A" w:rsidRDefault="004154F4" w:rsidP="004154F4">
      <w:pPr>
        <w:jc w:val="both"/>
        <w:rPr>
          <w:sz w:val="22"/>
          <w:szCs w:val="22"/>
        </w:rPr>
      </w:pPr>
      <w:r w:rsidRPr="00ED6C0A">
        <w:rPr>
          <w:sz w:val="22"/>
          <w:szCs w:val="22"/>
        </w:rPr>
        <w:t>+ Whole Building 3,575, SLAB 2,152m2</w:t>
      </w:r>
    </w:p>
    <w:p w:rsidR="004154F4" w:rsidRPr="00ED6C0A" w:rsidRDefault="004154F4" w:rsidP="004154F4">
      <w:pPr>
        <w:jc w:val="both"/>
        <w:rPr>
          <w:sz w:val="22"/>
          <w:szCs w:val="22"/>
        </w:rPr>
      </w:pPr>
    </w:p>
    <w:p w:rsidR="004154F4" w:rsidRPr="000439F1" w:rsidRDefault="004154F4" w:rsidP="004273FF">
      <w:pPr>
        <w:pStyle w:val="Heading3"/>
        <w:keepNext/>
        <w:numPr>
          <w:ilvl w:val="1"/>
          <w:numId w:val="9"/>
        </w:numPr>
        <w:rPr>
          <w:b/>
          <w:i w:val="0"/>
          <w:sz w:val="22"/>
          <w:szCs w:val="22"/>
        </w:rPr>
      </w:pPr>
      <w:r w:rsidRPr="000439F1">
        <w:rPr>
          <w:b/>
          <w:i w:val="0"/>
          <w:sz w:val="22"/>
          <w:szCs w:val="22"/>
        </w:rPr>
        <w:t>Scottish Legal Aid Board Administrative Offices</w:t>
      </w:r>
    </w:p>
    <w:p w:rsidR="004154F4" w:rsidRPr="00ED6C0A" w:rsidRDefault="004154F4" w:rsidP="004154F4"/>
    <w:p w:rsidR="004154F4" w:rsidRPr="00ED6C0A" w:rsidRDefault="004154F4" w:rsidP="004154F4">
      <w:pPr>
        <w:jc w:val="both"/>
        <w:rPr>
          <w:sz w:val="22"/>
          <w:szCs w:val="22"/>
        </w:rPr>
      </w:pPr>
      <w:r w:rsidRPr="00ED6C0A">
        <w:rPr>
          <w:b/>
          <w:sz w:val="22"/>
          <w:szCs w:val="22"/>
        </w:rPr>
        <w:t>Thistle House</w:t>
      </w:r>
      <w:r w:rsidRPr="00ED6C0A">
        <w:rPr>
          <w:sz w:val="22"/>
          <w:szCs w:val="22"/>
        </w:rPr>
        <w:t xml:space="preserve"> was previously within the Scottish Government portfolio and is a modern open plan office environment. The total Net Internal Area (NIA) is 3,575m</w:t>
      </w:r>
      <w:r w:rsidRPr="00ED6C0A">
        <w:rPr>
          <w:sz w:val="22"/>
          <w:szCs w:val="22"/>
          <w:vertAlign w:val="superscript"/>
        </w:rPr>
        <w:t>2</w:t>
      </w:r>
      <w:r w:rsidRPr="00ED6C0A">
        <w:rPr>
          <w:sz w:val="22"/>
          <w:szCs w:val="22"/>
        </w:rPr>
        <w:t xml:space="preserve"> (SLAB 2,152 m</w:t>
      </w:r>
      <w:r w:rsidRPr="00ED6C0A">
        <w:rPr>
          <w:sz w:val="22"/>
          <w:szCs w:val="22"/>
          <w:vertAlign w:val="superscript"/>
        </w:rPr>
        <w:t>2</w:t>
      </w:r>
      <w:r w:rsidRPr="00ED6C0A">
        <w:rPr>
          <w:sz w:val="22"/>
          <w:szCs w:val="22"/>
        </w:rPr>
        <w:t>) and there are 31 rooms in the Scottish Legal Aid Board’s areas. This is made up of 5 open plan rooms, 5 individual offices and twelve meeting rooms, the rest being stores and other ancillary rooms.</w:t>
      </w:r>
      <w:r w:rsidR="000A7BDA">
        <w:rPr>
          <w:sz w:val="22"/>
          <w:szCs w:val="22"/>
        </w:rPr>
        <w:t xml:space="preserve"> Following the pandemic most of the individual rooms have been repurposed into meeting space.</w:t>
      </w:r>
    </w:p>
    <w:p w:rsidR="004154F4" w:rsidRPr="00ED6C0A" w:rsidRDefault="004154F4" w:rsidP="004154F4">
      <w:pPr>
        <w:spacing w:after="120"/>
        <w:jc w:val="both"/>
        <w:rPr>
          <w:sz w:val="22"/>
          <w:szCs w:val="22"/>
        </w:rPr>
      </w:pPr>
      <w:r w:rsidRPr="00ED6C0A">
        <w:rPr>
          <w:sz w:val="22"/>
          <w:szCs w:val="22"/>
        </w:rPr>
        <w:t>The building benefits from a modern heating / cooling system, lighting and services to be expected of an office built in the last 30 years</w:t>
      </w:r>
      <w:r w:rsidR="000A7BDA">
        <w:rPr>
          <w:sz w:val="22"/>
          <w:szCs w:val="22"/>
        </w:rPr>
        <w:t>. Since the last plan, f</w:t>
      </w:r>
      <w:r w:rsidRPr="00ED6C0A">
        <w:rPr>
          <w:sz w:val="22"/>
          <w:szCs w:val="22"/>
        </w:rPr>
        <w:t xml:space="preserve">urther work undertaken </w:t>
      </w:r>
      <w:r w:rsidR="000A7BDA">
        <w:rPr>
          <w:sz w:val="22"/>
          <w:szCs w:val="22"/>
        </w:rPr>
        <w:t>includes th</w:t>
      </w:r>
      <w:r w:rsidRPr="00ED6C0A">
        <w:rPr>
          <w:sz w:val="22"/>
          <w:szCs w:val="22"/>
        </w:rPr>
        <w:t>e refurbish</w:t>
      </w:r>
      <w:r w:rsidR="000A7BDA">
        <w:rPr>
          <w:sz w:val="22"/>
          <w:szCs w:val="22"/>
        </w:rPr>
        <w:t xml:space="preserve">ment of </w:t>
      </w:r>
      <w:r w:rsidRPr="00ED6C0A">
        <w:rPr>
          <w:sz w:val="22"/>
          <w:szCs w:val="22"/>
        </w:rPr>
        <w:t xml:space="preserve">our “restroom” facilities </w:t>
      </w:r>
      <w:r w:rsidR="000A7BDA">
        <w:rPr>
          <w:sz w:val="22"/>
          <w:szCs w:val="22"/>
        </w:rPr>
        <w:t>following the</w:t>
      </w:r>
      <w:r w:rsidRPr="00ED6C0A">
        <w:rPr>
          <w:sz w:val="22"/>
          <w:szCs w:val="22"/>
        </w:rPr>
        <w:t xml:space="preserve"> replac</w:t>
      </w:r>
      <w:r w:rsidR="000A7BDA">
        <w:rPr>
          <w:sz w:val="22"/>
          <w:szCs w:val="22"/>
        </w:rPr>
        <w:t>ement of</w:t>
      </w:r>
      <w:r w:rsidRPr="00ED6C0A">
        <w:rPr>
          <w:sz w:val="22"/>
          <w:szCs w:val="22"/>
        </w:rPr>
        <w:t xml:space="preserve"> the vinyl on the staircases in </w:t>
      </w:r>
      <w:r w:rsidR="000A7BDA">
        <w:rPr>
          <w:sz w:val="22"/>
          <w:szCs w:val="22"/>
        </w:rPr>
        <w:t>previous year.</w:t>
      </w:r>
      <w:r w:rsidRPr="00ED6C0A">
        <w:rPr>
          <w:sz w:val="22"/>
          <w:szCs w:val="22"/>
        </w:rPr>
        <w:t xml:space="preserve"> This </w:t>
      </w:r>
      <w:r w:rsidR="000A7BDA">
        <w:rPr>
          <w:sz w:val="22"/>
          <w:szCs w:val="22"/>
        </w:rPr>
        <w:t xml:space="preserve">has proven to </w:t>
      </w:r>
      <w:r w:rsidRPr="00ED6C0A">
        <w:rPr>
          <w:sz w:val="22"/>
          <w:szCs w:val="22"/>
        </w:rPr>
        <w:t xml:space="preserve">provide a long term maintenance benefit, not to mention a significant improvement to our facilities. </w:t>
      </w:r>
      <w:r w:rsidR="000A7BDA">
        <w:rPr>
          <w:sz w:val="22"/>
          <w:szCs w:val="22"/>
        </w:rPr>
        <w:t xml:space="preserve">Over the last 2 years since we published our Asset Management Plan, we </w:t>
      </w:r>
      <w:r w:rsidR="000A7BDA">
        <w:rPr>
          <w:sz w:val="22"/>
          <w:szCs w:val="22"/>
        </w:rPr>
        <w:lastRenderedPageBreak/>
        <w:t>have</w:t>
      </w:r>
      <w:r w:rsidRPr="00ED6C0A">
        <w:rPr>
          <w:sz w:val="22"/>
          <w:szCs w:val="22"/>
        </w:rPr>
        <w:t xml:space="preserve"> modernis</w:t>
      </w:r>
      <w:r w:rsidR="000A7BDA">
        <w:rPr>
          <w:sz w:val="22"/>
          <w:szCs w:val="22"/>
        </w:rPr>
        <w:t>ed</w:t>
      </w:r>
      <w:r w:rsidRPr="00ED6C0A">
        <w:rPr>
          <w:sz w:val="22"/>
          <w:szCs w:val="22"/>
        </w:rPr>
        <w:t xml:space="preserve"> our lifts,</w:t>
      </w:r>
      <w:r w:rsidR="000A7BDA">
        <w:rPr>
          <w:sz w:val="22"/>
          <w:szCs w:val="22"/>
        </w:rPr>
        <w:t xml:space="preserve"> replacing the gear and carriages, enhanced and increased our </w:t>
      </w:r>
      <w:r w:rsidRPr="00ED6C0A">
        <w:rPr>
          <w:sz w:val="22"/>
          <w:szCs w:val="22"/>
        </w:rPr>
        <w:t>shower facilities</w:t>
      </w:r>
      <w:r w:rsidR="000A7BDA">
        <w:rPr>
          <w:sz w:val="22"/>
          <w:szCs w:val="22"/>
        </w:rPr>
        <w:t xml:space="preserve"> including repurposing a storage area into a disabled shower,</w:t>
      </w:r>
      <w:r w:rsidRPr="00ED6C0A">
        <w:rPr>
          <w:sz w:val="22"/>
          <w:szCs w:val="22"/>
        </w:rPr>
        <w:t xml:space="preserve"> and replac</w:t>
      </w:r>
      <w:r w:rsidR="000A7BDA">
        <w:rPr>
          <w:sz w:val="22"/>
          <w:szCs w:val="22"/>
        </w:rPr>
        <w:t>ed</w:t>
      </w:r>
      <w:r w:rsidRPr="00ED6C0A">
        <w:rPr>
          <w:sz w:val="22"/>
          <w:szCs w:val="22"/>
        </w:rPr>
        <w:t xml:space="preserve"> the boiler flue.</w:t>
      </w:r>
    </w:p>
    <w:p w:rsidR="004154F4" w:rsidRPr="00ED6C0A" w:rsidRDefault="004154F4" w:rsidP="004154F4">
      <w:pPr>
        <w:jc w:val="both"/>
        <w:rPr>
          <w:sz w:val="22"/>
          <w:szCs w:val="22"/>
        </w:rPr>
      </w:pPr>
      <w:r w:rsidRPr="00ED6C0A">
        <w:rPr>
          <w:sz w:val="22"/>
          <w:szCs w:val="22"/>
        </w:rPr>
        <w:t xml:space="preserve">The Solicitor Contact Line </w:t>
      </w:r>
      <w:r w:rsidR="000A7BDA">
        <w:rPr>
          <w:sz w:val="22"/>
          <w:szCs w:val="22"/>
        </w:rPr>
        <w:t>was</w:t>
      </w:r>
      <w:r w:rsidRPr="00ED6C0A">
        <w:rPr>
          <w:sz w:val="22"/>
          <w:szCs w:val="22"/>
        </w:rPr>
        <w:t xml:space="preserve"> located on the Ground floor which allow</w:t>
      </w:r>
      <w:r w:rsidR="000A7BDA">
        <w:rPr>
          <w:sz w:val="22"/>
          <w:szCs w:val="22"/>
        </w:rPr>
        <w:t>ed</w:t>
      </w:r>
      <w:r w:rsidRPr="00ED6C0A">
        <w:rPr>
          <w:sz w:val="22"/>
          <w:szCs w:val="22"/>
        </w:rPr>
        <w:t xml:space="preserve"> it to operate 24 hours 7 days a week with its own entrance / exit, kitchen and toilets</w:t>
      </w:r>
      <w:r w:rsidR="000A7BDA">
        <w:rPr>
          <w:sz w:val="22"/>
          <w:szCs w:val="22"/>
        </w:rPr>
        <w:t xml:space="preserve">; however due to </w:t>
      </w:r>
      <w:proofErr w:type="spellStart"/>
      <w:r w:rsidR="000A7BDA">
        <w:rPr>
          <w:sz w:val="22"/>
          <w:szCs w:val="22"/>
        </w:rPr>
        <w:t>covid</w:t>
      </w:r>
      <w:proofErr w:type="spellEnd"/>
      <w:r w:rsidR="000A7BDA">
        <w:rPr>
          <w:sz w:val="22"/>
          <w:szCs w:val="22"/>
        </w:rPr>
        <w:t xml:space="preserve"> this is no longer required for the SCL and we have now let this out to </w:t>
      </w:r>
      <w:r w:rsidR="00990FEA" w:rsidRPr="00990FEA">
        <w:rPr>
          <w:sz w:val="22"/>
          <w:szCs w:val="22"/>
        </w:rPr>
        <w:t>Environmental Standards Scotland</w:t>
      </w:r>
      <w:r w:rsidR="00990FEA">
        <w:rPr>
          <w:sz w:val="22"/>
          <w:szCs w:val="22"/>
        </w:rPr>
        <w:t xml:space="preserve">, </w:t>
      </w:r>
      <w:r w:rsidR="000A7BDA">
        <w:rPr>
          <w:sz w:val="22"/>
          <w:szCs w:val="22"/>
        </w:rPr>
        <w:t>a new tenant.</w:t>
      </w:r>
    </w:p>
    <w:p w:rsidR="004154F4" w:rsidRPr="00ED6C0A" w:rsidRDefault="004154F4" w:rsidP="004154F4">
      <w:pPr>
        <w:jc w:val="both"/>
        <w:rPr>
          <w:sz w:val="22"/>
          <w:szCs w:val="22"/>
        </w:rPr>
      </w:pPr>
    </w:p>
    <w:p w:rsidR="004154F4" w:rsidRPr="000439F1" w:rsidRDefault="004154F4" w:rsidP="004273FF">
      <w:pPr>
        <w:pStyle w:val="Heading3"/>
        <w:keepNext/>
        <w:numPr>
          <w:ilvl w:val="1"/>
          <w:numId w:val="9"/>
        </w:numPr>
        <w:rPr>
          <w:b/>
          <w:i w:val="0"/>
          <w:sz w:val="22"/>
          <w:szCs w:val="22"/>
        </w:rPr>
      </w:pPr>
      <w:r w:rsidRPr="000439F1">
        <w:rPr>
          <w:b/>
          <w:i w:val="0"/>
          <w:sz w:val="22"/>
          <w:szCs w:val="22"/>
        </w:rPr>
        <w:t>Accessibility</w:t>
      </w:r>
    </w:p>
    <w:p w:rsidR="004154F4" w:rsidRPr="00ED6C0A" w:rsidRDefault="004154F4" w:rsidP="004154F4"/>
    <w:p w:rsidR="004154F4" w:rsidRPr="00ED6C0A" w:rsidRDefault="004154F4" w:rsidP="004154F4">
      <w:pPr>
        <w:spacing w:after="120"/>
        <w:jc w:val="both"/>
        <w:rPr>
          <w:sz w:val="22"/>
          <w:szCs w:val="22"/>
        </w:rPr>
      </w:pPr>
      <w:r w:rsidRPr="00ED6C0A">
        <w:rPr>
          <w:sz w:val="22"/>
          <w:szCs w:val="22"/>
        </w:rPr>
        <w:t>Accessibility &amp; Equalities are key measures in assessing any existing or proposed premises. When sourcing new offices they must be considered from the outset. Where practical, ground floor accommodation will be sought which is easily accessible using public transport.</w:t>
      </w:r>
    </w:p>
    <w:p w:rsidR="004154F4" w:rsidRPr="00ED6C0A" w:rsidRDefault="004154F4" w:rsidP="004154F4">
      <w:pPr>
        <w:spacing w:after="120"/>
        <w:jc w:val="both"/>
        <w:rPr>
          <w:sz w:val="22"/>
          <w:szCs w:val="22"/>
        </w:rPr>
      </w:pPr>
      <w:r w:rsidRPr="00ED6C0A">
        <w:rPr>
          <w:sz w:val="22"/>
          <w:szCs w:val="22"/>
        </w:rPr>
        <w:t>The Scottish Government Estate Strategy has three objectives one of which is to be accessible, open to change and in the right locations, maximising co-location opportunities. Offices and other sites are to be easy to get to for all staff (including those with disability and mobility issues). Buildings should support engagement with local communities.</w:t>
      </w:r>
    </w:p>
    <w:p w:rsidR="004154F4" w:rsidRPr="00ED6C0A" w:rsidRDefault="004154F4" w:rsidP="004154F4">
      <w:pPr>
        <w:spacing w:after="120"/>
        <w:jc w:val="both"/>
        <w:rPr>
          <w:sz w:val="22"/>
          <w:szCs w:val="22"/>
        </w:rPr>
      </w:pPr>
      <w:r w:rsidRPr="00ED6C0A">
        <w:rPr>
          <w:sz w:val="22"/>
          <w:szCs w:val="22"/>
        </w:rPr>
        <w:t>SLAB’s main premises at Thistle House have been assessed for accessibility and a disabled access ramp is in use to provide assisted access to the building’s entrance and reception area.  Disabled access provision is also included in the premises inspection checklist for PDSO and CLAO premises.  Where disabled access is not practicable, alternative meeting points are arranged.</w:t>
      </w:r>
    </w:p>
    <w:p w:rsidR="004154F4" w:rsidRPr="00ED6C0A" w:rsidRDefault="004154F4" w:rsidP="004154F4">
      <w:pPr>
        <w:jc w:val="both"/>
        <w:rPr>
          <w:sz w:val="22"/>
          <w:szCs w:val="22"/>
        </w:rPr>
      </w:pPr>
      <w:r w:rsidRPr="00ED6C0A">
        <w:rPr>
          <w:sz w:val="22"/>
          <w:szCs w:val="22"/>
        </w:rPr>
        <w:t>We carried out Accessibility Audits on all properties in 2016. Action plans were developed and have been implemented by Facilities staff and remote office managers. Improvements have been made to the disabled parking provisions, reception area and signage in Thistle House during our occupation.</w:t>
      </w:r>
    </w:p>
    <w:p w:rsidR="004154F4" w:rsidRPr="00ED6C0A" w:rsidRDefault="004154F4" w:rsidP="004154F4">
      <w:pPr>
        <w:jc w:val="both"/>
        <w:rPr>
          <w:sz w:val="22"/>
          <w:szCs w:val="22"/>
        </w:rPr>
      </w:pPr>
    </w:p>
    <w:p w:rsidR="004154F4" w:rsidRPr="00180537" w:rsidRDefault="004154F4" w:rsidP="004154F4">
      <w:pPr>
        <w:jc w:val="both"/>
        <w:rPr>
          <w:sz w:val="22"/>
          <w:szCs w:val="22"/>
        </w:rPr>
      </w:pPr>
      <w:r w:rsidRPr="00ED6C0A">
        <w:rPr>
          <w:sz w:val="22"/>
          <w:szCs w:val="22"/>
        </w:rPr>
        <w:t>Accessi</w:t>
      </w:r>
      <w:r w:rsidRPr="00AE2D0E">
        <w:rPr>
          <w:sz w:val="22"/>
          <w:szCs w:val="22"/>
        </w:rPr>
        <w:t>bility is one of the key measures we use when assessing new property</w:t>
      </w:r>
      <w:r w:rsidRPr="00BD393F">
        <w:rPr>
          <w:sz w:val="22"/>
          <w:szCs w:val="22"/>
        </w:rPr>
        <w:t>. In line with the Scottish Government Estate Strategy we must ensure that any new acquisition is suitable for all with disability and mobility issues</w:t>
      </w:r>
      <w:r w:rsidR="0053512C">
        <w:rPr>
          <w:sz w:val="22"/>
          <w:szCs w:val="22"/>
        </w:rPr>
        <w:t>. G</w:t>
      </w:r>
      <w:r w:rsidRPr="00BD393F">
        <w:rPr>
          <w:sz w:val="22"/>
          <w:szCs w:val="22"/>
        </w:rPr>
        <w:t>overnment property control approval will not be achieved without this.</w:t>
      </w:r>
      <w:r w:rsidR="00351772">
        <w:rPr>
          <w:sz w:val="22"/>
          <w:szCs w:val="22"/>
        </w:rPr>
        <w:t xml:space="preserve"> To further progress this Facilities are preparing a Buildings standards policy and EQIA to ensure that all future maintenance, developments, building changes and new leasehold premises are of a certain standard. </w:t>
      </w:r>
    </w:p>
    <w:p w:rsidR="004154F4" w:rsidRPr="00AE2D0E" w:rsidRDefault="004154F4" w:rsidP="004154F4">
      <w:pPr>
        <w:jc w:val="both"/>
        <w:rPr>
          <w:sz w:val="22"/>
          <w:szCs w:val="22"/>
        </w:rPr>
      </w:pPr>
    </w:p>
    <w:p w:rsidR="004154F4" w:rsidRPr="000439F1" w:rsidRDefault="004154F4" w:rsidP="004273FF">
      <w:pPr>
        <w:pStyle w:val="Heading3"/>
        <w:keepNext/>
        <w:numPr>
          <w:ilvl w:val="1"/>
          <w:numId w:val="9"/>
        </w:numPr>
        <w:rPr>
          <w:b/>
          <w:i w:val="0"/>
          <w:sz w:val="22"/>
          <w:szCs w:val="22"/>
        </w:rPr>
      </w:pPr>
      <w:r w:rsidRPr="000439F1">
        <w:rPr>
          <w:b/>
          <w:i w:val="0"/>
          <w:sz w:val="22"/>
          <w:szCs w:val="22"/>
        </w:rPr>
        <w:t>Asset Data Management</w:t>
      </w:r>
    </w:p>
    <w:p w:rsidR="004154F4" w:rsidRPr="00AE2D0E" w:rsidRDefault="004154F4" w:rsidP="004154F4">
      <w:pPr>
        <w:spacing w:after="120"/>
        <w:jc w:val="both"/>
        <w:rPr>
          <w:sz w:val="22"/>
          <w:szCs w:val="22"/>
        </w:rPr>
      </w:pPr>
    </w:p>
    <w:p w:rsidR="004154F4" w:rsidRPr="00AE2D0E" w:rsidRDefault="004154F4" w:rsidP="004154F4">
      <w:pPr>
        <w:spacing w:after="120"/>
        <w:jc w:val="both"/>
        <w:rPr>
          <w:sz w:val="22"/>
          <w:szCs w:val="22"/>
        </w:rPr>
      </w:pPr>
      <w:r w:rsidRPr="00AE2D0E">
        <w:rPr>
          <w:sz w:val="22"/>
          <w:szCs w:val="22"/>
        </w:rPr>
        <w:t>In response to a Modernising Government White Paper initiative, the Office of Government Commerce (OGC) developed an electronic Property Information Mapping Service (</w:t>
      </w:r>
      <w:proofErr w:type="spellStart"/>
      <w:r w:rsidRPr="00AE2D0E">
        <w:rPr>
          <w:sz w:val="22"/>
          <w:szCs w:val="22"/>
        </w:rPr>
        <w:t>ePIMS</w:t>
      </w:r>
      <w:proofErr w:type="spellEnd"/>
      <w:r w:rsidRPr="00AE2D0E">
        <w:rPr>
          <w:sz w:val="22"/>
          <w:szCs w:val="22"/>
        </w:rPr>
        <w:t xml:space="preserve">) of government’s civil estate occupations. </w:t>
      </w:r>
    </w:p>
    <w:p w:rsidR="004154F4" w:rsidRPr="00AE2D0E" w:rsidRDefault="004154F4" w:rsidP="004154F4">
      <w:pPr>
        <w:spacing w:after="120"/>
        <w:jc w:val="both"/>
        <w:rPr>
          <w:sz w:val="22"/>
          <w:szCs w:val="22"/>
        </w:rPr>
      </w:pPr>
      <w:r w:rsidRPr="00AE2D0E">
        <w:rPr>
          <w:sz w:val="22"/>
          <w:szCs w:val="22"/>
        </w:rPr>
        <w:t xml:space="preserve">SLAB stores all of its core basic property data (such as location, type, age, ownership, covenants, occupancy, valuation, and listed building status) on </w:t>
      </w:r>
      <w:proofErr w:type="spellStart"/>
      <w:r w:rsidRPr="00AE2D0E">
        <w:rPr>
          <w:sz w:val="22"/>
          <w:szCs w:val="22"/>
        </w:rPr>
        <w:t>ePIMS</w:t>
      </w:r>
      <w:proofErr w:type="spellEnd"/>
      <w:r w:rsidRPr="00AE2D0E">
        <w:rPr>
          <w:sz w:val="22"/>
          <w:szCs w:val="22"/>
        </w:rPr>
        <w:t xml:space="preserve">. Entries on the system must be kept up to date as required and reviewed annually under both the </w:t>
      </w:r>
      <w:proofErr w:type="spellStart"/>
      <w:r w:rsidRPr="00AE2D0E">
        <w:rPr>
          <w:sz w:val="22"/>
          <w:szCs w:val="22"/>
        </w:rPr>
        <w:t>ePIMS</w:t>
      </w:r>
      <w:proofErr w:type="spellEnd"/>
      <w:r w:rsidRPr="00AE2D0E">
        <w:rPr>
          <w:sz w:val="22"/>
          <w:szCs w:val="22"/>
        </w:rPr>
        <w:t xml:space="preserve"> licensing agreement and the responsibilities of accountable officers under the SPFM.</w:t>
      </w:r>
    </w:p>
    <w:p w:rsidR="004154F4" w:rsidRPr="00AE2D0E" w:rsidRDefault="004154F4" w:rsidP="004154F4">
      <w:pPr>
        <w:jc w:val="both"/>
        <w:rPr>
          <w:sz w:val="22"/>
          <w:szCs w:val="22"/>
        </w:rPr>
      </w:pPr>
      <w:r w:rsidRPr="00AE2D0E">
        <w:rPr>
          <w:sz w:val="22"/>
          <w:szCs w:val="22"/>
        </w:rPr>
        <w:t xml:space="preserve">Through </w:t>
      </w:r>
      <w:proofErr w:type="spellStart"/>
      <w:r w:rsidRPr="00AE2D0E">
        <w:rPr>
          <w:sz w:val="22"/>
          <w:szCs w:val="22"/>
        </w:rPr>
        <w:t>ePIMS</w:t>
      </w:r>
      <w:proofErr w:type="spellEnd"/>
      <w:r w:rsidRPr="00AE2D0E">
        <w:rPr>
          <w:sz w:val="22"/>
          <w:szCs w:val="22"/>
        </w:rPr>
        <w:t>, SLAB has online access to the government-wide property database.  This enables SLAB to both update their own property information and to view the central civil estate as a whole on an electronic map, including vacant space and demand information.</w:t>
      </w:r>
    </w:p>
    <w:p w:rsidR="004154F4" w:rsidRPr="00AE2D0E" w:rsidRDefault="004154F4" w:rsidP="004154F4">
      <w:pPr>
        <w:jc w:val="both"/>
        <w:rPr>
          <w:sz w:val="22"/>
          <w:szCs w:val="22"/>
        </w:rPr>
      </w:pPr>
    </w:p>
    <w:p w:rsidR="004154F4" w:rsidRDefault="004154F4" w:rsidP="004154F4">
      <w:pPr>
        <w:jc w:val="both"/>
        <w:rPr>
          <w:sz w:val="22"/>
          <w:szCs w:val="22"/>
        </w:rPr>
      </w:pPr>
      <w:r w:rsidRPr="00AE2D0E">
        <w:rPr>
          <w:sz w:val="22"/>
          <w:szCs w:val="22"/>
        </w:rPr>
        <w:t xml:space="preserve">The Smarter Workplaces Programme also seeks opportunities to improve the efficiency of the Scottish Government’s core and wider public body estate.  It also captured and reported on savings already being achieved by organisations.  </w:t>
      </w:r>
    </w:p>
    <w:p w:rsidR="004154F4" w:rsidRPr="0032358C" w:rsidRDefault="004154F4" w:rsidP="004154F4">
      <w:pPr>
        <w:jc w:val="both"/>
        <w:rPr>
          <w:sz w:val="22"/>
          <w:szCs w:val="22"/>
        </w:rPr>
      </w:pPr>
      <w:r>
        <w:rPr>
          <w:sz w:val="22"/>
          <w:szCs w:val="22"/>
        </w:rPr>
        <w:t xml:space="preserve"> </w:t>
      </w:r>
    </w:p>
    <w:p w:rsidR="004154F4" w:rsidRPr="000439F1" w:rsidRDefault="004154F4" w:rsidP="004273FF">
      <w:pPr>
        <w:pStyle w:val="Heading3"/>
        <w:keepNext/>
        <w:numPr>
          <w:ilvl w:val="1"/>
          <w:numId w:val="9"/>
        </w:numPr>
        <w:rPr>
          <w:b/>
          <w:i w:val="0"/>
          <w:sz w:val="22"/>
          <w:szCs w:val="22"/>
        </w:rPr>
      </w:pPr>
      <w:r w:rsidRPr="000439F1">
        <w:rPr>
          <w:b/>
          <w:i w:val="0"/>
          <w:sz w:val="22"/>
          <w:szCs w:val="22"/>
        </w:rPr>
        <w:t xml:space="preserve">Resource Consumption </w:t>
      </w:r>
    </w:p>
    <w:p w:rsidR="004154F4" w:rsidRPr="00ED6C0A" w:rsidRDefault="004154F4" w:rsidP="004154F4"/>
    <w:p w:rsidR="004154F4" w:rsidRPr="00ED6C0A" w:rsidRDefault="004154F4" w:rsidP="004154F4">
      <w:pPr>
        <w:spacing w:after="120"/>
        <w:jc w:val="both"/>
        <w:rPr>
          <w:sz w:val="22"/>
          <w:szCs w:val="22"/>
        </w:rPr>
      </w:pPr>
      <w:r>
        <w:rPr>
          <w:sz w:val="22"/>
          <w:szCs w:val="22"/>
        </w:rPr>
        <w:t xml:space="preserve">Resource consumption in terms of annual cost is shown in the table below which provides </w:t>
      </w:r>
      <w:r w:rsidRPr="00BD393F">
        <w:rPr>
          <w:sz w:val="22"/>
          <w:szCs w:val="22"/>
        </w:rPr>
        <w:t>very clear picture of the cost benefits of the move to Thistle House. The business case determined savings of circa £600k per annum and savings have matched that expectation.</w:t>
      </w:r>
      <w:r>
        <w:rPr>
          <w:sz w:val="22"/>
          <w:szCs w:val="22"/>
        </w:rPr>
        <w:t xml:space="preserve"> Individual years </w:t>
      </w:r>
      <w:r w:rsidRPr="00ED6C0A">
        <w:rPr>
          <w:sz w:val="22"/>
          <w:szCs w:val="22"/>
        </w:rPr>
        <w:t>ending 31 March 2015, 2016, 2017, 2018</w:t>
      </w:r>
      <w:r w:rsidR="00F365BD">
        <w:rPr>
          <w:sz w:val="22"/>
          <w:szCs w:val="22"/>
        </w:rPr>
        <w:t>,</w:t>
      </w:r>
      <w:r w:rsidR="00F365BD" w:rsidRPr="00ED6C0A">
        <w:rPr>
          <w:sz w:val="22"/>
          <w:szCs w:val="22"/>
        </w:rPr>
        <w:t xml:space="preserve"> 2019</w:t>
      </w:r>
      <w:r w:rsidR="00017EA1">
        <w:rPr>
          <w:sz w:val="22"/>
          <w:szCs w:val="22"/>
        </w:rPr>
        <w:t>, 2020 &amp; 2021</w:t>
      </w:r>
      <w:r>
        <w:rPr>
          <w:sz w:val="22"/>
          <w:szCs w:val="22"/>
        </w:rPr>
        <w:t xml:space="preserve"> are set out in Appendix 2.</w:t>
      </w:r>
      <w:r w:rsidRPr="00ED6C0A">
        <w:rPr>
          <w:sz w:val="22"/>
          <w:szCs w:val="22"/>
        </w:rPr>
        <w:t xml:space="preserve">  </w:t>
      </w:r>
    </w:p>
    <w:tbl>
      <w:tblPr>
        <w:tblW w:w="0" w:type="auto"/>
        <w:tblCellMar>
          <w:left w:w="0" w:type="dxa"/>
          <w:right w:w="0" w:type="dxa"/>
        </w:tblCellMar>
        <w:tblLook w:val="04A0" w:firstRow="1" w:lastRow="0" w:firstColumn="1" w:lastColumn="0" w:noHBand="0" w:noVBand="1"/>
      </w:tblPr>
      <w:tblGrid>
        <w:gridCol w:w="3510"/>
        <w:gridCol w:w="1276"/>
        <w:gridCol w:w="1134"/>
        <w:gridCol w:w="1276"/>
        <w:gridCol w:w="1134"/>
        <w:gridCol w:w="1134"/>
      </w:tblGrid>
      <w:tr w:rsidR="004154F4" w:rsidRPr="001C278B" w:rsidTr="000E29E0">
        <w:trPr>
          <w:trHeight w:val="677"/>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54F4" w:rsidRPr="00017EA1" w:rsidRDefault="004154F4" w:rsidP="000E29E0">
            <w:pPr>
              <w:spacing w:after="120"/>
              <w:jc w:val="both"/>
              <w:rPr>
                <w:sz w:val="22"/>
                <w:szCs w:val="22"/>
              </w:rPr>
            </w:pPr>
            <w:r w:rsidRPr="00017EA1">
              <w:rPr>
                <w:sz w:val="22"/>
                <w:szCs w:val="22"/>
              </w:rPr>
              <w:lastRenderedPageBreak/>
              <w:t>Years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54F4" w:rsidRPr="00017EA1" w:rsidRDefault="004154F4" w:rsidP="000E29E0">
            <w:pPr>
              <w:spacing w:after="120"/>
              <w:jc w:val="center"/>
              <w:rPr>
                <w:b/>
                <w:bCs/>
                <w:sz w:val="22"/>
                <w:szCs w:val="22"/>
              </w:rPr>
            </w:pPr>
            <w:r w:rsidRPr="00017EA1">
              <w:rPr>
                <w:b/>
                <w:bCs/>
                <w:sz w:val="22"/>
                <w:szCs w:val="22"/>
              </w:rPr>
              <w:t>SLAB</w:t>
            </w:r>
          </w:p>
          <w:p w:rsidR="004154F4" w:rsidRPr="00017EA1" w:rsidRDefault="004154F4" w:rsidP="000E29E0">
            <w:pPr>
              <w:spacing w:after="120"/>
              <w:jc w:val="center"/>
              <w:rPr>
                <w:b/>
                <w:bCs/>
                <w:sz w:val="22"/>
                <w:szCs w:val="22"/>
              </w:rPr>
            </w:pPr>
            <w:r w:rsidRPr="00017EA1">
              <w:rPr>
                <w:b/>
                <w:bCs/>
                <w:sz w:val="22"/>
                <w:szCs w:val="22"/>
              </w:rPr>
              <w:t>£000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54F4" w:rsidRPr="00017EA1" w:rsidRDefault="004154F4" w:rsidP="000E29E0">
            <w:pPr>
              <w:spacing w:after="120"/>
              <w:jc w:val="center"/>
              <w:rPr>
                <w:b/>
                <w:bCs/>
                <w:sz w:val="22"/>
                <w:szCs w:val="22"/>
              </w:rPr>
            </w:pPr>
            <w:r w:rsidRPr="00017EA1">
              <w:rPr>
                <w:b/>
                <w:bCs/>
                <w:sz w:val="22"/>
                <w:szCs w:val="22"/>
              </w:rPr>
              <w:t>PDSO</w:t>
            </w:r>
          </w:p>
          <w:p w:rsidR="004154F4" w:rsidRPr="00017EA1" w:rsidRDefault="004154F4" w:rsidP="000E29E0">
            <w:pPr>
              <w:spacing w:after="120"/>
              <w:jc w:val="center"/>
              <w:rPr>
                <w:b/>
                <w:bCs/>
                <w:sz w:val="22"/>
                <w:szCs w:val="22"/>
              </w:rPr>
            </w:pPr>
            <w:r w:rsidRPr="00017EA1">
              <w:rPr>
                <w:b/>
                <w:bCs/>
                <w:sz w:val="22"/>
                <w:szCs w:val="22"/>
              </w:rPr>
              <w:t>£000</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54F4" w:rsidRPr="00017EA1" w:rsidRDefault="004154F4" w:rsidP="000E29E0">
            <w:pPr>
              <w:spacing w:after="120"/>
              <w:jc w:val="center"/>
              <w:rPr>
                <w:b/>
                <w:bCs/>
                <w:sz w:val="22"/>
                <w:szCs w:val="22"/>
              </w:rPr>
            </w:pPr>
            <w:r w:rsidRPr="00017EA1">
              <w:rPr>
                <w:b/>
                <w:bCs/>
                <w:sz w:val="22"/>
                <w:szCs w:val="22"/>
              </w:rPr>
              <w:t>CLAO</w:t>
            </w:r>
          </w:p>
          <w:p w:rsidR="004154F4" w:rsidRPr="00017EA1" w:rsidRDefault="004154F4" w:rsidP="000E29E0">
            <w:pPr>
              <w:spacing w:after="120"/>
              <w:jc w:val="center"/>
              <w:rPr>
                <w:b/>
                <w:bCs/>
                <w:sz w:val="22"/>
                <w:szCs w:val="22"/>
              </w:rPr>
            </w:pPr>
            <w:r w:rsidRPr="00017EA1">
              <w:rPr>
                <w:b/>
                <w:bCs/>
                <w:sz w:val="22"/>
                <w:szCs w:val="22"/>
              </w:rPr>
              <w:t>£000</w:t>
            </w:r>
          </w:p>
        </w:tc>
        <w:tc>
          <w:tcPr>
            <w:tcW w:w="1134" w:type="dxa"/>
            <w:tcBorders>
              <w:top w:val="single" w:sz="8" w:space="0" w:color="auto"/>
              <w:left w:val="nil"/>
              <w:bottom w:val="single" w:sz="8" w:space="0" w:color="auto"/>
              <w:right w:val="single" w:sz="8" w:space="0" w:color="auto"/>
            </w:tcBorders>
            <w:vAlign w:val="bottom"/>
          </w:tcPr>
          <w:p w:rsidR="004154F4" w:rsidRPr="00017EA1" w:rsidRDefault="004154F4" w:rsidP="000E29E0">
            <w:pPr>
              <w:spacing w:after="120"/>
              <w:jc w:val="center"/>
              <w:rPr>
                <w:b/>
                <w:bCs/>
                <w:sz w:val="22"/>
                <w:szCs w:val="22"/>
              </w:rPr>
            </w:pPr>
            <w:r w:rsidRPr="00017EA1">
              <w:rPr>
                <w:b/>
                <w:bCs/>
                <w:sz w:val="22"/>
                <w:szCs w:val="22"/>
              </w:rPr>
              <w:t>SCL</w:t>
            </w:r>
          </w:p>
          <w:p w:rsidR="004154F4" w:rsidRPr="00017EA1" w:rsidRDefault="004154F4" w:rsidP="000E29E0">
            <w:pPr>
              <w:spacing w:after="120"/>
              <w:jc w:val="center"/>
              <w:rPr>
                <w:b/>
                <w:bCs/>
                <w:sz w:val="22"/>
                <w:szCs w:val="22"/>
              </w:rPr>
            </w:pPr>
            <w:r w:rsidRPr="00017EA1">
              <w:rPr>
                <w:b/>
                <w:bCs/>
                <w:sz w:val="22"/>
                <w:szCs w:val="22"/>
              </w:rPr>
              <w:t>£000</w:t>
            </w:r>
          </w:p>
        </w:tc>
        <w:tc>
          <w:tcPr>
            <w:tcW w:w="1134" w:type="dxa"/>
            <w:tcBorders>
              <w:top w:val="single" w:sz="8" w:space="0" w:color="auto"/>
              <w:left w:val="nil"/>
              <w:bottom w:val="single" w:sz="8" w:space="0" w:color="auto"/>
              <w:right w:val="single" w:sz="8" w:space="0" w:color="auto"/>
            </w:tcBorders>
            <w:vAlign w:val="bottom"/>
          </w:tcPr>
          <w:p w:rsidR="004154F4" w:rsidRPr="00017EA1" w:rsidRDefault="004154F4" w:rsidP="000E29E0">
            <w:pPr>
              <w:spacing w:after="120"/>
              <w:jc w:val="center"/>
              <w:rPr>
                <w:b/>
                <w:bCs/>
                <w:sz w:val="22"/>
                <w:szCs w:val="22"/>
              </w:rPr>
            </w:pPr>
            <w:r w:rsidRPr="00017EA1">
              <w:rPr>
                <w:b/>
                <w:bCs/>
                <w:sz w:val="22"/>
                <w:szCs w:val="22"/>
              </w:rPr>
              <w:t>Total</w:t>
            </w:r>
          </w:p>
          <w:p w:rsidR="004154F4" w:rsidRPr="00017EA1" w:rsidRDefault="004154F4" w:rsidP="000E29E0">
            <w:pPr>
              <w:spacing w:after="120"/>
              <w:jc w:val="center"/>
              <w:rPr>
                <w:b/>
                <w:bCs/>
                <w:sz w:val="22"/>
                <w:szCs w:val="22"/>
              </w:rPr>
            </w:pPr>
            <w:r w:rsidRPr="00017EA1">
              <w:rPr>
                <w:b/>
                <w:bCs/>
                <w:sz w:val="22"/>
                <w:szCs w:val="22"/>
              </w:rPr>
              <w:t>£000</w:t>
            </w:r>
          </w:p>
        </w:tc>
      </w:tr>
      <w:tr w:rsidR="004154F4" w:rsidRPr="001C278B"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4F4" w:rsidRPr="00017EA1" w:rsidRDefault="004154F4" w:rsidP="000E29E0">
            <w:pPr>
              <w:jc w:val="both"/>
              <w:rPr>
                <w:sz w:val="22"/>
                <w:szCs w:val="22"/>
              </w:rPr>
            </w:pPr>
            <w:r w:rsidRPr="00017EA1">
              <w:rPr>
                <w:sz w:val="22"/>
                <w:szCs w:val="22"/>
              </w:rPr>
              <w:t>2014-15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017EA1" w:rsidRDefault="004154F4" w:rsidP="000E29E0">
            <w:pPr>
              <w:jc w:val="center"/>
              <w:rPr>
                <w:sz w:val="22"/>
                <w:szCs w:val="22"/>
              </w:rPr>
            </w:pPr>
            <w:r w:rsidRPr="00017EA1">
              <w:rPr>
                <w:sz w:val="22"/>
                <w:szCs w:val="22"/>
              </w:rPr>
              <w:t>1,059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017EA1" w:rsidRDefault="004154F4" w:rsidP="000E29E0">
            <w:pPr>
              <w:jc w:val="center"/>
              <w:rPr>
                <w:sz w:val="22"/>
                <w:szCs w:val="22"/>
              </w:rPr>
            </w:pPr>
            <w:r w:rsidRPr="00017EA1">
              <w:rPr>
                <w:sz w:val="22"/>
                <w:szCs w:val="22"/>
              </w:rPr>
              <w:t>132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017EA1" w:rsidRDefault="004154F4" w:rsidP="000E29E0">
            <w:pPr>
              <w:jc w:val="center"/>
              <w:rPr>
                <w:sz w:val="22"/>
                <w:szCs w:val="22"/>
              </w:rPr>
            </w:pPr>
            <w:r w:rsidRPr="00017EA1">
              <w:rPr>
                <w:sz w:val="22"/>
                <w:szCs w:val="22"/>
              </w:rPr>
              <w:t>171</w:t>
            </w:r>
          </w:p>
        </w:tc>
        <w:tc>
          <w:tcPr>
            <w:tcW w:w="1134" w:type="dxa"/>
            <w:tcBorders>
              <w:top w:val="nil"/>
              <w:left w:val="nil"/>
              <w:bottom w:val="single" w:sz="8" w:space="0" w:color="auto"/>
              <w:right w:val="single" w:sz="8" w:space="0" w:color="auto"/>
            </w:tcBorders>
            <w:vAlign w:val="bottom"/>
          </w:tcPr>
          <w:p w:rsidR="004154F4" w:rsidRPr="00017EA1" w:rsidRDefault="004154F4" w:rsidP="000E29E0">
            <w:pPr>
              <w:jc w:val="center"/>
              <w:rPr>
                <w:sz w:val="22"/>
                <w:szCs w:val="22"/>
              </w:rPr>
            </w:pPr>
            <w:r w:rsidRPr="00017EA1">
              <w:rPr>
                <w:sz w:val="22"/>
                <w:szCs w:val="22"/>
              </w:rPr>
              <w:t>13</w:t>
            </w:r>
          </w:p>
        </w:tc>
        <w:tc>
          <w:tcPr>
            <w:tcW w:w="1134" w:type="dxa"/>
            <w:tcBorders>
              <w:top w:val="nil"/>
              <w:left w:val="nil"/>
              <w:bottom w:val="single" w:sz="8" w:space="0" w:color="auto"/>
              <w:right w:val="single" w:sz="8" w:space="0" w:color="auto"/>
            </w:tcBorders>
            <w:vAlign w:val="bottom"/>
          </w:tcPr>
          <w:p w:rsidR="004154F4" w:rsidRPr="00017EA1" w:rsidRDefault="004154F4" w:rsidP="000E29E0">
            <w:pPr>
              <w:jc w:val="center"/>
              <w:rPr>
                <w:sz w:val="22"/>
                <w:szCs w:val="22"/>
              </w:rPr>
            </w:pPr>
            <w:r w:rsidRPr="00017EA1">
              <w:rPr>
                <w:sz w:val="22"/>
                <w:szCs w:val="22"/>
              </w:rPr>
              <w:t>1,375</w:t>
            </w:r>
          </w:p>
        </w:tc>
      </w:tr>
      <w:tr w:rsidR="004154F4" w:rsidRPr="001C278B"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154F4" w:rsidRPr="00017EA1" w:rsidRDefault="004154F4" w:rsidP="000E29E0">
            <w:pPr>
              <w:jc w:val="both"/>
              <w:rPr>
                <w:sz w:val="22"/>
                <w:szCs w:val="22"/>
              </w:rPr>
            </w:pPr>
            <w:r w:rsidRPr="00017EA1">
              <w:rPr>
                <w:sz w:val="22"/>
                <w:szCs w:val="22"/>
              </w:rPr>
              <w:t>2015-16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4154F4" w:rsidRPr="00017EA1" w:rsidRDefault="004154F4" w:rsidP="000E29E0">
            <w:pPr>
              <w:jc w:val="center"/>
              <w:rPr>
                <w:sz w:val="22"/>
                <w:szCs w:val="22"/>
              </w:rPr>
            </w:pPr>
            <w:r w:rsidRPr="00017EA1">
              <w:rPr>
                <w:sz w:val="22"/>
                <w:szCs w:val="22"/>
              </w:rPr>
              <w:t>296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tcPr>
          <w:p w:rsidR="004154F4" w:rsidRPr="00017EA1" w:rsidRDefault="004154F4" w:rsidP="000E29E0">
            <w:pPr>
              <w:jc w:val="center"/>
              <w:rPr>
                <w:sz w:val="22"/>
                <w:szCs w:val="22"/>
              </w:rPr>
            </w:pPr>
            <w:r w:rsidRPr="00017EA1">
              <w:rPr>
                <w:sz w:val="22"/>
                <w:szCs w:val="22"/>
              </w:rPr>
              <w:t>133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4154F4" w:rsidRPr="00017EA1" w:rsidRDefault="004154F4" w:rsidP="000E29E0">
            <w:pPr>
              <w:jc w:val="center"/>
              <w:rPr>
                <w:sz w:val="22"/>
                <w:szCs w:val="22"/>
              </w:rPr>
            </w:pPr>
            <w:r w:rsidRPr="00017EA1">
              <w:rPr>
                <w:sz w:val="22"/>
                <w:szCs w:val="22"/>
              </w:rPr>
              <w:t>183</w:t>
            </w:r>
          </w:p>
        </w:tc>
        <w:tc>
          <w:tcPr>
            <w:tcW w:w="1134" w:type="dxa"/>
            <w:tcBorders>
              <w:top w:val="nil"/>
              <w:left w:val="nil"/>
              <w:bottom w:val="single" w:sz="8" w:space="0" w:color="auto"/>
              <w:right w:val="single" w:sz="8" w:space="0" w:color="auto"/>
            </w:tcBorders>
            <w:vAlign w:val="bottom"/>
          </w:tcPr>
          <w:p w:rsidR="004154F4" w:rsidRPr="00017EA1" w:rsidRDefault="004154F4" w:rsidP="000E29E0">
            <w:pPr>
              <w:jc w:val="center"/>
              <w:rPr>
                <w:sz w:val="22"/>
                <w:szCs w:val="22"/>
              </w:rPr>
            </w:pPr>
            <w:r w:rsidRPr="00017EA1">
              <w:rPr>
                <w:sz w:val="22"/>
                <w:szCs w:val="22"/>
              </w:rPr>
              <w:t>9</w:t>
            </w:r>
          </w:p>
        </w:tc>
        <w:tc>
          <w:tcPr>
            <w:tcW w:w="1134" w:type="dxa"/>
            <w:tcBorders>
              <w:top w:val="nil"/>
              <w:left w:val="nil"/>
              <w:bottom w:val="single" w:sz="8" w:space="0" w:color="auto"/>
              <w:right w:val="single" w:sz="8" w:space="0" w:color="auto"/>
            </w:tcBorders>
            <w:vAlign w:val="bottom"/>
          </w:tcPr>
          <w:p w:rsidR="004154F4" w:rsidRPr="00017EA1" w:rsidRDefault="004154F4" w:rsidP="000E29E0">
            <w:pPr>
              <w:jc w:val="center"/>
              <w:rPr>
                <w:sz w:val="22"/>
                <w:szCs w:val="22"/>
              </w:rPr>
            </w:pPr>
            <w:r w:rsidRPr="00017EA1">
              <w:rPr>
                <w:sz w:val="22"/>
                <w:szCs w:val="22"/>
              </w:rPr>
              <w:t>621</w:t>
            </w:r>
          </w:p>
        </w:tc>
      </w:tr>
      <w:tr w:rsidR="004154F4" w:rsidRPr="001C278B"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154F4" w:rsidRPr="00017EA1" w:rsidRDefault="004154F4" w:rsidP="000E29E0">
            <w:pPr>
              <w:jc w:val="both"/>
              <w:rPr>
                <w:sz w:val="22"/>
                <w:szCs w:val="22"/>
              </w:rPr>
            </w:pPr>
            <w:r w:rsidRPr="00017EA1">
              <w:rPr>
                <w:sz w:val="22"/>
                <w:szCs w:val="22"/>
              </w:rPr>
              <w:t>2016-17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4154F4" w:rsidRPr="00017EA1" w:rsidRDefault="004154F4" w:rsidP="000E29E0">
            <w:pPr>
              <w:jc w:val="center"/>
              <w:rPr>
                <w:sz w:val="22"/>
                <w:szCs w:val="22"/>
              </w:rPr>
            </w:pPr>
            <w:r w:rsidRPr="00017EA1">
              <w:rPr>
                <w:sz w:val="22"/>
                <w:szCs w:val="22"/>
              </w:rPr>
              <w:t>286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tcPr>
          <w:p w:rsidR="004154F4" w:rsidRPr="00017EA1" w:rsidRDefault="004154F4" w:rsidP="000E29E0">
            <w:pPr>
              <w:jc w:val="center"/>
              <w:rPr>
                <w:sz w:val="22"/>
                <w:szCs w:val="22"/>
              </w:rPr>
            </w:pPr>
            <w:r w:rsidRPr="00017EA1">
              <w:rPr>
                <w:sz w:val="22"/>
                <w:szCs w:val="22"/>
              </w:rPr>
              <w:t>147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4154F4" w:rsidRPr="00017EA1" w:rsidRDefault="004154F4" w:rsidP="000E29E0">
            <w:pPr>
              <w:jc w:val="center"/>
              <w:rPr>
                <w:sz w:val="22"/>
                <w:szCs w:val="22"/>
              </w:rPr>
            </w:pPr>
            <w:r w:rsidRPr="00017EA1">
              <w:rPr>
                <w:sz w:val="22"/>
                <w:szCs w:val="22"/>
              </w:rPr>
              <w:t>130</w:t>
            </w:r>
          </w:p>
        </w:tc>
        <w:tc>
          <w:tcPr>
            <w:tcW w:w="1134" w:type="dxa"/>
            <w:tcBorders>
              <w:top w:val="nil"/>
              <w:left w:val="nil"/>
              <w:bottom w:val="single" w:sz="8" w:space="0" w:color="auto"/>
              <w:right w:val="single" w:sz="8" w:space="0" w:color="auto"/>
            </w:tcBorders>
            <w:vAlign w:val="bottom"/>
          </w:tcPr>
          <w:p w:rsidR="004154F4" w:rsidRPr="00017EA1" w:rsidRDefault="004154F4" w:rsidP="000E29E0">
            <w:pPr>
              <w:jc w:val="center"/>
              <w:rPr>
                <w:sz w:val="22"/>
                <w:szCs w:val="22"/>
              </w:rPr>
            </w:pPr>
            <w:r w:rsidRPr="00017EA1">
              <w:rPr>
                <w:sz w:val="22"/>
                <w:szCs w:val="22"/>
              </w:rPr>
              <w:t>10</w:t>
            </w:r>
          </w:p>
        </w:tc>
        <w:tc>
          <w:tcPr>
            <w:tcW w:w="1134" w:type="dxa"/>
            <w:tcBorders>
              <w:top w:val="nil"/>
              <w:left w:val="nil"/>
              <w:bottom w:val="single" w:sz="8" w:space="0" w:color="auto"/>
              <w:right w:val="single" w:sz="8" w:space="0" w:color="auto"/>
            </w:tcBorders>
            <w:vAlign w:val="bottom"/>
          </w:tcPr>
          <w:p w:rsidR="004154F4" w:rsidRPr="00017EA1" w:rsidRDefault="004154F4" w:rsidP="000E29E0">
            <w:pPr>
              <w:jc w:val="center"/>
              <w:rPr>
                <w:sz w:val="22"/>
                <w:szCs w:val="22"/>
              </w:rPr>
            </w:pPr>
            <w:r w:rsidRPr="00017EA1">
              <w:rPr>
                <w:sz w:val="22"/>
                <w:szCs w:val="22"/>
              </w:rPr>
              <w:t>573</w:t>
            </w:r>
          </w:p>
        </w:tc>
      </w:tr>
      <w:tr w:rsidR="004154F4" w:rsidRPr="001C278B"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154F4" w:rsidRPr="00017EA1" w:rsidRDefault="004154F4" w:rsidP="000E29E0">
            <w:pPr>
              <w:jc w:val="both"/>
              <w:rPr>
                <w:sz w:val="22"/>
                <w:szCs w:val="22"/>
              </w:rPr>
            </w:pPr>
            <w:r w:rsidRPr="00017EA1">
              <w:rPr>
                <w:sz w:val="22"/>
                <w:szCs w:val="22"/>
              </w:rPr>
              <w:t>2017-18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4154F4" w:rsidRPr="00017EA1" w:rsidRDefault="004154F4" w:rsidP="000E29E0">
            <w:pPr>
              <w:jc w:val="center"/>
              <w:rPr>
                <w:sz w:val="22"/>
                <w:szCs w:val="22"/>
              </w:rPr>
            </w:pPr>
            <w:r w:rsidRPr="00017EA1">
              <w:rPr>
                <w:sz w:val="22"/>
                <w:szCs w:val="22"/>
              </w:rPr>
              <w:t>464</w:t>
            </w:r>
            <w:r w:rsidR="00A42A81">
              <w:rPr>
                <w:sz w:val="22"/>
                <w:szCs w:val="22"/>
                <w:vertAlign w:val="superscript"/>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tcPr>
          <w:p w:rsidR="004154F4" w:rsidRPr="00017EA1" w:rsidRDefault="004154F4" w:rsidP="000E29E0">
            <w:pPr>
              <w:jc w:val="center"/>
              <w:rPr>
                <w:sz w:val="22"/>
                <w:szCs w:val="22"/>
              </w:rPr>
            </w:pPr>
            <w:r w:rsidRPr="00017EA1">
              <w:rPr>
                <w:sz w:val="22"/>
                <w:szCs w:val="22"/>
              </w:rPr>
              <w:t>168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4154F4" w:rsidRPr="00017EA1" w:rsidRDefault="004154F4" w:rsidP="000E29E0">
            <w:pPr>
              <w:jc w:val="center"/>
              <w:rPr>
                <w:sz w:val="22"/>
                <w:szCs w:val="22"/>
              </w:rPr>
            </w:pPr>
            <w:r w:rsidRPr="00017EA1">
              <w:rPr>
                <w:sz w:val="22"/>
                <w:szCs w:val="22"/>
              </w:rPr>
              <w:t>133</w:t>
            </w:r>
          </w:p>
        </w:tc>
        <w:tc>
          <w:tcPr>
            <w:tcW w:w="1134" w:type="dxa"/>
            <w:tcBorders>
              <w:top w:val="nil"/>
              <w:left w:val="nil"/>
              <w:bottom w:val="single" w:sz="8" w:space="0" w:color="auto"/>
              <w:right w:val="single" w:sz="8" w:space="0" w:color="auto"/>
            </w:tcBorders>
            <w:vAlign w:val="bottom"/>
          </w:tcPr>
          <w:p w:rsidR="004154F4" w:rsidRPr="00017EA1" w:rsidRDefault="004154F4" w:rsidP="000E29E0">
            <w:pPr>
              <w:jc w:val="center"/>
              <w:rPr>
                <w:sz w:val="22"/>
                <w:szCs w:val="22"/>
              </w:rPr>
            </w:pPr>
            <w:r w:rsidRPr="00017EA1">
              <w:rPr>
                <w:sz w:val="22"/>
                <w:szCs w:val="22"/>
              </w:rPr>
              <w:t>10</w:t>
            </w:r>
          </w:p>
        </w:tc>
        <w:tc>
          <w:tcPr>
            <w:tcW w:w="1134" w:type="dxa"/>
            <w:tcBorders>
              <w:top w:val="nil"/>
              <w:left w:val="nil"/>
              <w:bottom w:val="single" w:sz="8" w:space="0" w:color="auto"/>
              <w:right w:val="single" w:sz="8" w:space="0" w:color="auto"/>
            </w:tcBorders>
            <w:vAlign w:val="bottom"/>
          </w:tcPr>
          <w:p w:rsidR="004154F4" w:rsidRPr="00017EA1" w:rsidRDefault="004154F4" w:rsidP="000E29E0">
            <w:pPr>
              <w:jc w:val="center"/>
              <w:rPr>
                <w:sz w:val="22"/>
                <w:szCs w:val="22"/>
              </w:rPr>
            </w:pPr>
            <w:r w:rsidRPr="00017EA1">
              <w:rPr>
                <w:sz w:val="22"/>
                <w:szCs w:val="22"/>
              </w:rPr>
              <w:t>775</w:t>
            </w:r>
          </w:p>
        </w:tc>
      </w:tr>
      <w:tr w:rsidR="004154F4" w:rsidRPr="00ED6C0A"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154F4" w:rsidRPr="00017EA1" w:rsidRDefault="004154F4" w:rsidP="000E29E0">
            <w:pPr>
              <w:jc w:val="both"/>
              <w:rPr>
                <w:sz w:val="22"/>
                <w:szCs w:val="22"/>
              </w:rPr>
            </w:pPr>
            <w:r w:rsidRPr="00017EA1">
              <w:rPr>
                <w:sz w:val="22"/>
                <w:szCs w:val="22"/>
              </w:rPr>
              <w:t>2018-19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4154F4" w:rsidRPr="00017EA1" w:rsidRDefault="004154F4" w:rsidP="000E29E0">
            <w:pPr>
              <w:jc w:val="center"/>
              <w:rPr>
                <w:sz w:val="22"/>
                <w:szCs w:val="22"/>
              </w:rPr>
            </w:pPr>
            <w:r w:rsidRPr="00017EA1">
              <w:rPr>
                <w:sz w:val="22"/>
                <w:szCs w:val="22"/>
              </w:rPr>
              <w:t>386</w:t>
            </w:r>
            <w:r w:rsidR="00A42A81">
              <w:rPr>
                <w:sz w:val="22"/>
                <w:szCs w:val="22"/>
                <w:vertAlign w:val="superscript"/>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tcPr>
          <w:p w:rsidR="004154F4" w:rsidRPr="00017EA1" w:rsidRDefault="004154F4" w:rsidP="000E29E0">
            <w:pPr>
              <w:jc w:val="center"/>
              <w:rPr>
                <w:sz w:val="22"/>
                <w:szCs w:val="22"/>
              </w:rPr>
            </w:pPr>
            <w:r w:rsidRPr="00017EA1">
              <w:rPr>
                <w:sz w:val="22"/>
                <w:szCs w:val="22"/>
              </w:rPr>
              <w:t>162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4154F4" w:rsidRPr="00017EA1" w:rsidRDefault="004154F4" w:rsidP="000E29E0">
            <w:pPr>
              <w:jc w:val="center"/>
              <w:rPr>
                <w:sz w:val="22"/>
                <w:szCs w:val="22"/>
              </w:rPr>
            </w:pPr>
            <w:r w:rsidRPr="00017EA1">
              <w:rPr>
                <w:sz w:val="22"/>
                <w:szCs w:val="22"/>
              </w:rPr>
              <w:t>143</w:t>
            </w:r>
          </w:p>
        </w:tc>
        <w:tc>
          <w:tcPr>
            <w:tcW w:w="1134" w:type="dxa"/>
            <w:tcBorders>
              <w:top w:val="nil"/>
              <w:left w:val="nil"/>
              <w:bottom w:val="single" w:sz="8" w:space="0" w:color="auto"/>
              <w:right w:val="single" w:sz="8" w:space="0" w:color="auto"/>
            </w:tcBorders>
            <w:vAlign w:val="bottom"/>
          </w:tcPr>
          <w:p w:rsidR="004154F4" w:rsidRPr="00017EA1" w:rsidRDefault="004154F4" w:rsidP="000E29E0">
            <w:pPr>
              <w:jc w:val="center"/>
              <w:rPr>
                <w:sz w:val="22"/>
                <w:szCs w:val="22"/>
              </w:rPr>
            </w:pPr>
            <w:r w:rsidRPr="00017EA1">
              <w:rPr>
                <w:sz w:val="22"/>
                <w:szCs w:val="22"/>
              </w:rPr>
              <w:t>13</w:t>
            </w:r>
          </w:p>
        </w:tc>
        <w:tc>
          <w:tcPr>
            <w:tcW w:w="1134" w:type="dxa"/>
            <w:tcBorders>
              <w:top w:val="nil"/>
              <w:left w:val="nil"/>
              <w:bottom w:val="single" w:sz="8" w:space="0" w:color="auto"/>
              <w:right w:val="single" w:sz="8" w:space="0" w:color="auto"/>
            </w:tcBorders>
            <w:vAlign w:val="bottom"/>
          </w:tcPr>
          <w:p w:rsidR="004154F4" w:rsidRPr="00017EA1" w:rsidRDefault="000439F1" w:rsidP="000439F1">
            <w:pPr>
              <w:jc w:val="center"/>
              <w:rPr>
                <w:sz w:val="22"/>
                <w:szCs w:val="22"/>
              </w:rPr>
            </w:pPr>
            <w:r w:rsidRPr="00017EA1">
              <w:rPr>
                <w:sz w:val="22"/>
                <w:szCs w:val="22"/>
              </w:rPr>
              <w:t>7</w:t>
            </w:r>
            <w:r w:rsidR="004154F4" w:rsidRPr="00017EA1">
              <w:rPr>
                <w:sz w:val="22"/>
                <w:szCs w:val="22"/>
              </w:rPr>
              <w:t>04</w:t>
            </w:r>
          </w:p>
        </w:tc>
      </w:tr>
      <w:tr w:rsidR="00017EA1" w:rsidRPr="00ED6C0A" w:rsidTr="00017EA1">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7EA1" w:rsidRPr="004D2A94" w:rsidRDefault="00017EA1" w:rsidP="00017EA1">
            <w:pPr>
              <w:jc w:val="both"/>
              <w:rPr>
                <w:sz w:val="22"/>
                <w:szCs w:val="22"/>
              </w:rPr>
            </w:pPr>
            <w:r w:rsidRPr="004D2A94">
              <w:rPr>
                <w:sz w:val="22"/>
                <w:szCs w:val="22"/>
              </w:rPr>
              <w:t>2019-20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017EA1" w:rsidRPr="004D2A94" w:rsidRDefault="00A42A81" w:rsidP="00A42A81">
            <w:pPr>
              <w:jc w:val="center"/>
              <w:rPr>
                <w:sz w:val="22"/>
                <w:szCs w:val="22"/>
              </w:rPr>
            </w:pPr>
            <w:r w:rsidRPr="004D2A94">
              <w:rPr>
                <w:sz w:val="22"/>
                <w:szCs w:val="22"/>
              </w:rPr>
              <w:t>444</w:t>
            </w:r>
            <w:r w:rsidRPr="004D2A94">
              <w:rPr>
                <w:sz w:val="22"/>
                <w:szCs w:val="22"/>
                <w:vertAlign w:val="superscript"/>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tcPr>
          <w:p w:rsidR="00017EA1" w:rsidRPr="004D2A94" w:rsidRDefault="00F365BD" w:rsidP="00A42A81">
            <w:pPr>
              <w:jc w:val="center"/>
              <w:rPr>
                <w:sz w:val="22"/>
                <w:szCs w:val="22"/>
              </w:rPr>
            </w:pPr>
            <w:r w:rsidRPr="004D2A94">
              <w:rPr>
                <w:sz w:val="22"/>
                <w:szCs w:val="22"/>
              </w:rPr>
              <w:t>205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017EA1" w:rsidRPr="004D2A94" w:rsidRDefault="00F365BD" w:rsidP="000865F1">
            <w:pPr>
              <w:jc w:val="center"/>
              <w:rPr>
                <w:sz w:val="22"/>
                <w:szCs w:val="22"/>
              </w:rPr>
            </w:pPr>
            <w:r w:rsidRPr="004D2A94">
              <w:rPr>
                <w:sz w:val="22"/>
                <w:szCs w:val="22"/>
              </w:rPr>
              <w:t>152</w:t>
            </w:r>
          </w:p>
        </w:tc>
        <w:tc>
          <w:tcPr>
            <w:tcW w:w="1134" w:type="dxa"/>
            <w:tcBorders>
              <w:top w:val="nil"/>
              <w:left w:val="nil"/>
              <w:bottom w:val="single" w:sz="8" w:space="0" w:color="auto"/>
              <w:right w:val="single" w:sz="8" w:space="0" w:color="auto"/>
            </w:tcBorders>
            <w:vAlign w:val="bottom"/>
          </w:tcPr>
          <w:p w:rsidR="00017EA1" w:rsidRPr="004D2A94" w:rsidRDefault="00017EA1" w:rsidP="000865F1">
            <w:pPr>
              <w:jc w:val="center"/>
              <w:rPr>
                <w:sz w:val="22"/>
                <w:szCs w:val="22"/>
              </w:rPr>
            </w:pPr>
            <w:r w:rsidRPr="004D2A94">
              <w:rPr>
                <w:sz w:val="22"/>
                <w:szCs w:val="22"/>
              </w:rPr>
              <w:t>13</w:t>
            </w:r>
          </w:p>
        </w:tc>
        <w:tc>
          <w:tcPr>
            <w:tcW w:w="1134" w:type="dxa"/>
            <w:tcBorders>
              <w:top w:val="nil"/>
              <w:left w:val="nil"/>
              <w:bottom w:val="single" w:sz="8" w:space="0" w:color="auto"/>
              <w:right w:val="single" w:sz="8" w:space="0" w:color="auto"/>
            </w:tcBorders>
            <w:vAlign w:val="bottom"/>
          </w:tcPr>
          <w:p w:rsidR="00017EA1" w:rsidRPr="004D2A94" w:rsidRDefault="00A42A81" w:rsidP="000865F1">
            <w:pPr>
              <w:jc w:val="center"/>
              <w:rPr>
                <w:sz w:val="22"/>
                <w:szCs w:val="22"/>
              </w:rPr>
            </w:pPr>
            <w:r w:rsidRPr="004D2A94">
              <w:rPr>
                <w:sz w:val="22"/>
                <w:szCs w:val="22"/>
              </w:rPr>
              <w:t>814</w:t>
            </w:r>
          </w:p>
        </w:tc>
      </w:tr>
      <w:tr w:rsidR="00017EA1" w:rsidRPr="00017EA1" w:rsidTr="00017EA1">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7EA1" w:rsidRPr="004D2A94" w:rsidRDefault="00017EA1" w:rsidP="000865F1">
            <w:pPr>
              <w:jc w:val="both"/>
              <w:rPr>
                <w:sz w:val="22"/>
                <w:szCs w:val="22"/>
              </w:rPr>
            </w:pPr>
            <w:r w:rsidRPr="004D2A94">
              <w:rPr>
                <w:sz w:val="22"/>
                <w:szCs w:val="22"/>
              </w:rPr>
              <w:t>2020-21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017EA1" w:rsidRPr="004D2A94" w:rsidRDefault="00F365BD" w:rsidP="00A42A81">
            <w:pPr>
              <w:jc w:val="center"/>
              <w:rPr>
                <w:sz w:val="22"/>
                <w:szCs w:val="22"/>
              </w:rPr>
            </w:pPr>
            <w:r w:rsidRPr="004D2A94">
              <w:rPr>
                <w:sz w:val="22"/>
                <w:szCs w:val="22"/>
              </w:rPr>
              <w:t>82</w:t>
            </w:r>
            <w:r w:rsidR="00A42A81" w:rsidRPr="004D2A94">
              <w:rPr>
                <w:sz w:val="22"/>
                <w:szCs w:val="22"/>
                <w:vertAlign w:val="superscript"/>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tcPr>
          <w:p w:rsidR="00017EA1" w:rsidRPr="004D2A94" w:rsidRDefault="00A42A81" w:rsidP="00A42A81">
            <w:pPr>
              <w:jc w:val="center"/>
              <w:rPr>
                <w:sz w:val="22"/>
                <w:szCs w:val="22"/>
              </w:rPr>
            </w:pPr>
            <w:r w:rsidRPr="004D2A94">
              <w:rPr>
                <w:sz w:val="22"/>
                <w:szCs w:val="22"/>
              </w:rPr>
              <w:t>250</w:t>
            </w:r>
            <w:r w:rsidRPr="004D2A94">
              <w:rPr>
                <w:sz w:val="22"/>
                <w:szCs w:val="22"/>
                <w:vertAlign w:val="superscript"/>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017EA1" w:rsidRPr="004D2A94" w:rsidRDefault="00A42A81" w:rsidP="000865F1">
            <w:pPr>
              <w:jc w:val="center"/>
              <w:rPr>
                <w:sz w:val="22"/>
                <w:szCs w:val="22"/>
              </w:rPr>
            </w:pPr>
            <w:r w:rsidRPr="004D2A94">
              <w:rPr>
                <w:sz w:val="22"/>
                <w:szCs w:val="22"/>
              </w:rPr>
              <w:t>135</w:t>
            </w:r>
          </w:p>
        </w:tc>
        <w:tc>
          <w:tcPr>
            <w:tcW w:w="1134" w:type="dxa"/>
            <w:tcBorders>
              <w:top w:val="nil"/>
              <w:left w:val="nil"/>
              <w:bottom w:val="single" w:sz="8" w:space="0" w:color="auto"/>
              <w:right w:val="single" w:sz="8" w:space="0" w:color="auto"/>
            </w:tcBorders>
            <w:vAlign w:val="bottom"/>
          </w:tcPr>
          <w:p w:rsidR="00017EA1" w:rsidRPr="004D2A94" w:rsidRDefault="00017EA1" w:rsidP="000865F1">
            <w:pPr>
              <w:jc w:val="center"/>
              <w:rPr>
                <w:sz w:val="22"/>
                <w:szCs w:val="22"/>
              </w:rPr>
            </w:pPr>
            <w:r w:rsidRPr="004D2A94">
              <w:rPr>
                <w:sz w:val="22"/>
                <w:szCs w:val="22"/>
              </w:rPr>
              <w:t>13</w:t>
            </w:r>
          </w:p>
        </w:tc>
        <w:tc>
          <w:tcPr>
            <w:tcW w:w="1134" w:type="dxa"/>
            <w:tcBorders>
              <w:top w:val="nil"/>
              <w:left w:val="nil"/>
              <w:bottom w:val="single" w:sz="8" w:space="0" w:color="auto"/>
              <w:right w:val="single" w:sz="8" w:space="0" w:color="auto"/>
            </w:tcBorders>
            <w:vAlign w:val="bottom"/>
          </w:tcPr>
          <w:p w:rsidR="00017EA1" w:rsidRPr="004D2A94" w:rsidRDefault="00A42A81" w:rsidP="000865F1">
            <w:pPr>
              <w:jc w:val="center"/>
              <w:rPr>
                <w:sz w:val="22"/>
                <w:szCs w:val="22"/>
              </w:rPr>
            </w:pPr>
            <w:r w:rsidRPr="004D2A94">
              <w:rPr>
                <w:sz w:val="22"/>
                <w:szCs w:val="22"/>
              </w:rPr>
              <w:t>480</w:t>
            </w:r>
          </w:p>
        </w:tc>
      </w:tr>
    </w:tbl>
    <w:p w:rsidR="004154F4" w:rsidRPr="00ED6C0A" w:rsidRDefault="004154F4" w:rsidP="004154F4">
      <w:pPr>
        <w:jc w:val="both"/>
        <w:rPr>
          <w:sz w:val="12"/>
          <w:szCs w:val="22"/>
        </w:rPr>
      </w:pPr>
    </w:p>
    <w:p w:rsidR="00F365BD" w:rsidRDefault="00A42A81" w:rsidP="004154F4">
      <w:pPr>
        <w:jc w:val="both"/>
        <w:rPr>
          <w:sz w:val="22"/>
          <w:szCs w:val="22"/>
        </w:rPr>
      </w:pPr>
      <w:r>
        <w:rPr>
          <w:sz w:val="22"/>
          <w:szCs w:val="22"/>
          <w:vertAlign w:val="superscript"/>
        </w:rPr>
        <w:t>1</w:t>
      </w:r>
      <w:r w:rsidR="004154F4" w:rsidRPr="00BD393F">
        <w:rPr>
          <w:sz w:val="22"/>
          <w:szCs w:val="22"/>
        </w:rPr>
        <w:t xml:space="preserve">This includes </w:t>
      </w:r>
      <w:r w:rsidR="004154F4">
        <w:rPr>
          <w:sz w:val="22"/>
          <w:szCs w:val="22"/>
        </w:rPr>
        <w:t>a one off increase split over two years for the</w:t>
      </w:r>
      <w:r w:rsidR="004154F4" w:rsidRPr="00BD393F">
        <w:rPr>
          <w:sz w:val="22"/>
          <w:szCs w:val="22"/>
        </w:rPr>
        <w:t xml:space="preserve"> toilet &amp; staircase refurbishment costs</w:t>
      </w:r>
      <w:r w:rsidR="004154F4">
        <w:rPr>
          <w:sz w:val="22"/>
          <w:szCs w:val="22"/>
        </w:rPr>
        <w:t>.</w:t>
      </w:r>
    </w:p>
    <w:p w:rsidR="004154F4" w:rsidRDefault="00A42A81" w:rsidP="004154F4">
      <w:pPr>
        <w:jc w:val="both"/>
        <w:rPr>
          <w:sz w:val="22"/>
          <w:szCs w:val="22"/>
        </w:rPr>
      </w:pPr>
      <w:r>
        <w:rPr>
          <w:sz w:val="22"/>
          <w:szCs w:val="22"/>
          <w:vertAlign w:val="superscript"/>
        </w:rPr>
        <w:t>2</w:t>
      </w:r>
      <w:r>
        <w:rPr>
          <w:sz w:val="22"/>
          <w:szCs w:val="22"/>
        </w:rPr>
        <w:t>2019-20 includes</w:t>
      </w:r>
      <w:r w:rsidR="00F365BD">
        <w:rPr>
          <w:sz w:val="22"/>
          <w:szCs w:val="22"/>
        </w:rPr>
        <w:t xml:space="preserve"> costs for lift refurbishment.</w:t>
      </w:r>
      <w:r w:rsidR="004154F4">
        <w:rPr>
          <w:sz w:val="22"/>
          <w:szCs w:val="22"/>
        </w:rPr>
        <w:t xml:space="preserve"> </w:t>
      </w:r>
    </w:p>
    <w:p w:rsidR="00F365BD" w:rsidRDefault="00A42A81" w:rsidP="004154F4">
      <w:pPr>
        <w:jc w:val="both"/>
        <w:rPr>
          <w:sz w:val="22"/>
          <w:szCs w:val="22"/>
        </w:rPr>
      </w:pPr>
      <w:r>
        <w:rPr>
          <w:sz w:val="22"/>
          <w:szCs w:val="22"/>
          <w:vertAlign w:val="superscript"/>
        </w:rPr>
        <w:t>3</w:t>
      </w:r>
      <w:r>
        <w:rPr>
          <w:sz w:val="22"/>
          <w:szCs w:val="22"/>
        </w:rPr>
        <w:t>2020-21 has</w:t>
      </w:r>
      <w:r w:rsidR="00F365BD">
        <w:rPr>
          <w:sz w:val="22"/>
          <w:szCs w:val="22"/>
        </w:rPr>
        <w:t xml:space="preserve"> significantly reduced spend due to </w:t>
      </w:r>
      <w:proofErr w:type="spellStart"/>
      <w:r w:rsidR="00F365BD">
        <w:rPr>
          <w:sz w:val="22"/>
          <w:szCs w:val="22"/>
        </w:rPr>
        <w:t>covid</w:t>
      </w:r>
      <w:proofErr w:type="spellEnd"/>
      <w:r w:rsidR="00F365BD">
        <w:rPr>
          <w:sz w:val="22"/>
          <w:szCs w:val="22"/>
        </w:rPr>
        <w:t xml:space="preserve"> lockdowns and staff working from home.</w:t>
      </w:r>
    </w:p>
    <w:p w:rsidR="00A42A81" w:rsidRPr="00A42A81" w:rsidRDefault="00A42A81" w:rsidP="004154F4">
      <w:pPr>
        <w:jc w:val="both"/>
        <w:rPr>
          <w:sz w:val="22"/>
          <w:szCs w:val="22"/>
        </w:rPr>
      </w:pPr>
      <w:r>
        <w:rPr>
          <w:sz w:val="22"/>
          <w:szCs w:val="22"/>
          <w:vertAlign w:val="superscript"/>
        </w:rPr>
        <w:t>4</w:t>
      </w:r>
      <w:r>
        <w:rPr>
          <w:sz w:val="22"/>
          <w:szCs w:val="22"/>
        </w:rPr>
        <w:t>PDSO costs are increased due to relocation costs for Edinburgh and Inverness.</w:t>
      </w:r>
    </w:p>
    <w:p w:rsidR="004154F4" w:rsidRDefault="004154F4" w:rsidP="004154F4">
      <w:pPr>
        <w:jc w:val="both"/>
        <w:rPr>
          <w:sz w:val="22"/>
          <w:szCs w:val="22"/>
        </w:rPr>
      </w:pPr>
    </w:p>
    <w:p w:rsidR="004154F4" w:rsidRPr="00BD393F" w:rsidRDefault="004154F4" w:rsidP="004154F4">
      <w:pPr>
        <w:jc w:val="both"/>
        <w:rPr>
          <w:sz w:val="22"/>
          <w:szCs w:val="22"/>
        </w:rPr>
      </w:pPr>
      <w:r>
        <w:rPr>
          <w:sz w:val="22"/>
          <w:szCs w:val="22"/>
        </w:rPr>
        <w:t>The following table shows the income derived from Thistle House which is netted off in terms of the total costs reflected in the table above. The significant increase in 201</w:t>
      </w:r>
      <w:r w:rsidR="000439F1">
        <w:rPr>
          <w:sz w:val="22"/>
          <w:szCs w:val="22"/>
        </w:rPr>
        <w:t>6</w:t>
      </w:r>
      <w:r>
        <w:rPr>
          <w:sz w:val="22"/>
          <w:szCs w:val="22"/>
        </w:rPr>
        <w:t>-1</w:t>
      </w:r>
      <w:r w:rsidR="000439F1">
        <w:rPr>
          <w:sz w:val="22"/>
          <w:szCs w:val="22"/>
        </w:rPr>
        <w:t>7</w:t>
      </w:r>
      <w:r>
        <w:rPr>
          <w:sz w:val="22"/>
          <w:szCs w:val="22"/>
        </w:rPr>
        <w:t xml:space="preserve"> was a change to the capital charge, increasing following a revaluation of Thistle House.</w:t>
      </w:r>
    </w:p>
    <w:p w:rsidR="004154F4" w:rsidRPr="00BD393F" w:rsidRDefault="004154F4" w:rsidP="004154F4">
      <w:pPr>
        <w:jc w:val="both"/>
        <w:rPr>
          <w:sz w:val="22"/>
          <w:szCs w:val="22"/>
        </w:rPr>
      </w:pPr>
    </w:p>
    <w:tbl>
      <w:tblPr>
        <w:tblW w:w="4786" w:type="dxa"/>
        <w:tblInd w:w="2119" w:type="dxa"/>
        <w:tblCellMar>
          <w:left w:w="0" w:type="dxa"/>
          <w:right w:w="0" w:type="dxa"/>
        </w:tblCellMar>
        <w:tblLook w:val="04A0" w:firstRow="1" w:lastRow="0" w:firstColumn="1" w:lastColumn="0" w:noHBand="0" w:noVBand="1"/>
      </w:tblPr>
      <w:tblGrid>
        <w:gridCol w:w="2100"/>
        <w:gridCol w:w="2686"/>
      </w:tblGrid>
      <w:tr w:rsidR="004154F4" w:rsidRPr="00ED6C0A" w:rsidTr="000E29E0">
        <w:trPr>
          <w:trHeight w:val="677"/>
        </w:trPr>
        <w:tc>
          <w:tcPr>
            <w:tcW w:w="2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54F4" w:rsidRPr="000B3123" w:rsidRDefault="004154F4" w:rsidP="000E29E0">
            <w:pPr>
              <w:spacing w:after="120"/>
              <w:jc w:val="center"/>
              <w:rPr>
                <w:b/>
                <w:sz w:val="22"/>
                <w:szCs w:val="22"/>
              </w:rPr>
            </w:pPr>
            <w:r w:rsidRPr="000B3123">
              <w:rPr>
                <w:b/>
                <w:sz w:val="22"/>
                <w:szCs w:val="22"/>
              </w:rPr>
              <w:t>Years</w:t>
            </w:r>
          </w:p>
        </w:tc>
        <w:tc>
          <w:tcPr>
            <w:tcW w:w="2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spacing w:after="120"/>
              <w:jc w:val="center"/>
              <w:rPr>
                <w:b/>
                <w:bCs/>
                <w:sz w:val="22"/>
                <w:szCs w:val="22"/>
              </w:rPr>
            </w:pPr>
            <w:r w:rsidRPr="00ED6C0A">
              <w:rPr>
                <w:b/>
                <w:bCs/>
                <w:sz w:val="22"/>
                <w:szCs w:val="22"/>
              </w:rPr>
              <w:t>SLAB</w:t>
            </w:r>
          </w:p>
          <w:p w:rsidR="004154F4" w:rsidRPr="00ED6C0A" w:rsidRDefault="004154F4" w:rsidP="000E29E0">
            <w:pPr>
              <w:spacing w:after="120"/>
              <w:jc w:val="center"/>
              <w:rPr>
                <w:b/>
                <w:bCs/>
                <w:sz w:val="22"/>
                <w:szCs w:val="22"/>
              </w:rPr>
            </w:pPr>
            <w:r w:rsidRPr="00ED6C0A">
              <w:rPr>
                <w:b/>
                <w:bCs/>
                <w:sz w:val="22"/>
                <w:szCs w:val="22"/>
              </w:rPr>
              <w:t>£000</w:t>
            </w:r>
          </w:p>
        </w:tc>
      </w:tr>
      <w:tr w:rsidR="004154F4" w:rsidRPr="00ED6C0A" w:rsidTr="000E29E0">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Pr>
                <w:sz w:val="22"/>
                <w:szCs w:val="22"/>
              </w:rPr>
              <w:t>2014-15</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Pr>
                <w:sz w:val="22"/>
                <w:szCs w:val="22"/>
              </w:rPr>
              <w:t>367</w:t>
            </w:r>
          </w:p>
        </w:tc>
      </w:tr>
      <w:tr w:rsidR="004154F4" w:rsidRPr="00ED6C0A" w:rsidTr="000E29E0">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154F4" w:rsidRPr="00ED6C0A" w:rsidRDefault="004154F4" w:rsidP="000E29E0">
            <w:pPr>
              <w:jc w:val="center"/>
              <w:rPr>
                <w:sz w:val="22"/>
                <w:szCs w:val="22"/>
              </w:rPr>
            </w:pPr>
            <w:r>
              <w:rPr>
                <w:sz w:val="22"/>
                <w:szCs w:val="22"/>
              </w:rPr>
              <w:t>2015-16</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bottom"/>
          </w:tcPr>
          <w:p w:rsidR="004154F4" w:rsidRPr="00ED6C0A" w:rsidRDefault="004154F4" w:rsidP="000E29E0">
            <w:pPr>
              <w:jc w:val="center"/>
              <w:rPr>
                <w:sz w:val="22"/>
                <w:szCs w:val="22"/>
              </w:rPr>
            </w:pPr>
            <w:r>
              <w:rPr>
                <w:sz w:val="22"/>
                <w:szCs w:val="22"/>
              </w:rPr>
              <w:t>360</w:t>
            </w:r>
          </w:p>
        </w:tc>
      </w:tr>
      <w:tr w:rsidR="004154F4" w:rsidRPr="00ED6C0A" w:rsidTr="000E29E0">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154F4" w:rsidRPr="00ED6C0A" w:rsidRDefault="004154F4" w:rsidP="000E29E0">
            <w:pPr>
              <w:jc w:val="center"/>
              <w:rPr>
                <w:sz w:val="22"/>
                <w:szCs w:val="22"/>
              </w:rPr>
            </w:pPr>
            <w:r>
              <w:rPr>
                <w:sz w:val="22"/>
                <w:szCs w:val="22"/>
              </w:rPr>
              <w:t>2016-17</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bottom"/>
          </w:tcPr>
          <w:p w:rsidR="004154F4" w:rsidRPr="00ED6C0A" w:rsidRDefault="004154F4" w:rsidP="000E29E0">
            <w:pPr>
              <w:jc w:val="center"/>
              <w:rPr>
                <w:sz w:val="22"/>
                <w:szCs w:val="22"/>
              </w:rPr>
            </w:pPr>
            <w:r>
              <w:rPr>
                <w:sz w:val="22"/>
                <w:szCs w:val="22"/>
              </w:rPr>
              <w:t>419</w:t>
            </w:r>
          </w:p>
        </w:tc>
      </w:tr>
      <w:tr w:rsidR="004154F4" w:rsidRPr="00ED6C0A" w:rsidTr="000E29E0">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154F4" w:rsidRPr="00ED6C0A" w:rsidRDefault="004154F4" w:rsidP="000E29E0">
            <w:pPr>
              <w:jc w:val="center"/>
              <w:rPr>
                <w:sz w:val="22"/>
                <w:szCs w:val="22"/>
              </w:rPr>
            </w:pPr>
            <w:r>
              <w:rPr>
                <w:sz w:val="22"/>
                <w:szCs w:val="22"/>
              </w:rPr>
              <w:t>2017-18</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bottom"/>
          </w:tcPr>
          <w:p w:rsidR="004154F4" w:rsidRPr="00ED6C0A" w:rsidRDefault="004154F4" w:rsidP="000E29E0">
            <w:pPr>
              <w:jc w:val="center"/>
              <w:rPr>
                <w:sz w:val="22"/>
                <w:szCs w:val="22"/>
              </w:rPr>
            </w:pPr>
            <w:r>
              <w:rPr>
                <w:sz w:val="22"/>
                <w:szCs w:val="22"/>
              </w:rPr>
              <w:t>425</w:t>
            </w:r>
          </w:p>
        </w:tc>
      </w:tr>
      <w:tr w:rsidR="004154F4" w:rsidRPr="00ED6C0A" w:rsidTr="000E29E0">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154F4" w:rsidRPr="00ED6C0A" w:rsidRDefault="004154F4" w:rsidP="000E29E0">
            <w:pPr>
              <w:jc w:val="center"/>
              <w:rPr>
                <w:sz w:val="22"/>
                <w:szCs w:val="22"/>
              </w:rPr>
            </w:pPr>
            <w:r>
              <w:rPr>
                <w:sz w:val="22"/>
                <w:szCs w:val="22"/>
              </w:rPr>
              <w:t>2018-19</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bottom"/>
          </w:tcPr>
          <w:p w:rsidR="004154F4" w:rsidRPr="00ED6C0A" w:rsidRDefault="004154F4" w:rsidP="000E29E0">
            <w:pPr>
              <w:jc w:val="center"/>
              <w:rPr>
                <w:sz w:val="22"/>
                <w:szCs w:val="22"/>
              </w:rPr>
            </w:pPr>
            <w:r>
              <w:rPr>
                <w:sz w:val="22"/>
                <w:szCs w:val="22"/>
              </w:rPr>
              <w:t>499</w:t>
            </w:r>
          </w:p>
        </w:tc>
      </w:tr>
      <w:tr w:rsidR="00672A76" w:rsidRPr="00ED6C0A" w:rsidTr="001C278B">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72A76" w:rsidRPr="00672A76" w:rsidRDefault="00672A76" w:rsidP="00672A76">
            <w:pPr>
              <w:jc w:val="center"/>
              <w:rPr>
                <w:sz w:val="22"/>
                <w:szCs w:val="22"/>
                <w:highlight w:val="yellow"/>
              </w:rPr>
            </w:pPr>
            <w:r w:rsidRPr="00672A76">
              <w:rPr>
                <w:sz w:val="22"/>
                <w:szCs w:val="22"/>
              </w:rPr>
              <w:t>2019-20</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bottom"/>
          </w:tcPr>
          <w:p w:rsidR="00672A76" w:rsidRPr="00672A76" w:rsidRDefault="00672A76" w:rsidP="00672A76">
            <w:pPr>
              <w:jc w:val="center"/>
              <w:rPr>
                <w:sz w:val="22"/>
                <w:szCs w:val="22"/>
                <w:highlight w:val="yellow"/>
              </w:rPr>
            </w:pPr>
            <w:r w:rsidRPr="00672A76">
              <w:rPr>
                <w:sz w:val="22"/>
                <w:szCs w:val="22"/>
              </w:rPr>
              <w:t>518</w:t>
            </w:r>
          </w:p>
        </w:tc>
      </w:tr>
      <w:tr w:rsidR="00672A76" w:rsidRPr="00ED6C0A" w:rsidTr="001C278B">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72A76" w:rsidRPr="00672A76" w:rsidRDefault="00672A76" w:rsidP="00672A76">
            <w:pPr>
              <w:jc w:val="center"/>
              <w:rPr>
                <w:sz w:val="22"/>
                <w:szCs w:val="22"/>
                <w:highlight w:val="yellow"/>
              </w:rPr>
            </w:pPr>
            <w:r w:rsidRPr="00672A76">
              <w:rPr>
                <w:sz w:val="22"/>
                <w:szCs w:val="22"/>
              </w:rPr>
              <w:t>2020-21</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bottom"/>
          </w:tcPr>
          <w:p w:rsidR="00672A76" w:rsidRPr="00672A76" w:rsidRDefault="00672A76" w:rsidP="00672A76">
            <w:pPr>
              <w:jc w:val="center"/>
              <w:rPr>
                <w:sz w:val="22"/>
                <w:szCs w:val="22"/>
                <w:highlight w:val="yellow"/>
              </w:rPr>
            </w:pPr>
            <w:r w:rsidRPr="00672A76">
              <w:rPr>
                <w:sz w:val="22"/>
                <w:szCs w:val="22"/>
              </w:rPr>
              <w:t>541</w:t>
            </w:r>
          </w:p>
        </w:tc>
      </w:tr>
      <w:tr w:rsidR="00672A76" w:rsidRPr="00ED6C0A" w:rsidTr="001C278B">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72A76" w:rsidRPr="00672A76" w:rsidRDefault="00672A76" w:rsidP="00672A76">
            <w:pPr>
              <w:jc w:val="center"/>
              <w:rPr>
                <w:sz w:val="22"/>
                <w:szCs w:val="22"/>
                <w:highlight w:val="yellow"/>
              </w:rPr>
            </w:pPr>
            <w:r w:rsidRPr="00672A76">
              <w:rPr>
                <w:sz w:val="22"/>
                <w:szCs w:val="22"/>
              </w:rPr>
              <w:t>2021-22</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bottom"/>
          </w:tcPr>
          <w:p w:rsidR="00672A76" w:rsidRPr="00672A76" w:rsidRDefault="00672A76" w:rsidP="00672A76">
            <w:pPr>
              <w:jc w:val="center"/>
              <w:rPr>
                <w:sz w:val="22"/>
                <w:szCs w:val="22"/>
                <w:highlight w:val="yellow"/>
              </w:rPr>
            </w:pPr>
            <w:r w:rsidRPr="00672A76">
              <w:rPr>
                <w:sz w:val="22"/>
                <w:szCs w:val="22"/>
              </w:rPr>
              <w:t>572 est.</w:t>
            </w:r>
          </w:p>
        </w:tc>
      </w:tr>
    </w:tbl>
    <w:p w:rsidR="004154F4" w:rsidRPr="00BD393F" w:rsidRDefault="004154F4" w:rsidP="004154F4">
      <w:pPr>
        <w:jc w:val="both"/>
        <w:rPr>
          <w:sz w:val="22"/>
          <w:szCs w:val="22"/>
        </w:rPr>
      </w:pPr>
    </w:p>
    <w:p w:rsidR="004154F4" w:rsidRPr="000439F1" w:rsidRDefault="004154F4" w:rsidP="004273FF">
      <w:pPr>
        <w:pStyle w:val="Heading3"/>
        <w:keepNext/>
        <w:numPr>
          <w:ilvl w:val="0"/>
          <w:numId w:val="9"/>
        </w:numPr>
        <w:tabs>
          <w:tab w:val="clear" w:pos="720"/>
          <w:tab w:val="num" w:pos="567"/>
        </w:tabs>
        <w:rPr>
          <w:b/>
          <w:i w:val="0"/>
          <w:sz w:val="22"/>
          <w:szCs w:val="22"/>
        </w:rPr>
      </w:pPr>
      <w:r w:rsidRPr="00BD393F">
        <w:rPr>
          <w:szCs w:val="22"/>
        </w:rPr>
        <w:br w:type="page"/>
      </w:r>
      <w:r w:rsidRPr="000439F1">
        <w:rPr>
          <w:b/>
          <w:i w:val="0"/>
          <w:sz w:val="22"/>
          <w:szCs w:val="22"/>
        </w:rPr>
        <w:lastRenderedPageBreak/>
        <w:t>Alignment of Business Aims with Property Asset Plans</w:t>
      </w:r>
    </w:p>
    <w:p w:rsidR="004154F4" w:rsidRPr="00BD393F" w:rsidRDefault="004154F4" w:rsidP="004154F4">
      <w:pPr>
        <w:rPr>
          <w:sz w:val="22"/>
          <w:szCs w:val="22"/>
        </w:rPr>
      </w:pPr>
    </w:p>
    <w:p w:rsidR="004154F4" w:rsidRPr="00BD393F" w:rsidRDefault="004154F4" w:rsidP="004154F4">
      <w:pPr>
        <w:spacing w:after="120"/>
        <w:jc w:val="both"/>
        <w:rPr>
          <w:sz w:val="22"/>
          <w:szCs w:val="22"/>
        </w:rPr>
      </w:pPr>
      <w:r w:rsidRPr="00BD393F">
        <w:rPr>
          <w:sz w:val="22"/>
          <w:szCs w:val="22"/>
        </w:rPr>
        <w:t>SLAB’s standard practice and decision-making on assets is based on Best Value, informed by best practice and using net present value in economic appraisal of investment business cases.  SLAB has developed a standardised approach to property procurement decisions (Appendix 1):</w:t>
      </w:r>
    </w:p>
    <w:p w:rsidR="004154F4" w:rsidRPr="00BD393F" w:rsidRDefault="004154F4" w:rsidP="004273FF">
      <w:pPr>
        <w:numPr>
          <w:ilvl w:val="0"/>
          <w:numId w:val="10"/>
        </w:numPr>
        <w:tabs>
          <w:tab w:val="clear" w:pos="720"/>
          <w:tab w:val="num" w:pos="360"/>
        </w:tabs>
        <w:ind w:left="357" w:hanging="357"/>
        <w:jc w:val="both"/>
        <w:rPr>
          <w:sz w:val="22"/>
          <w:szCs w:val="22"/>
        </w:rPr>
      </w:pPr>
      <w:r w:rsidRPr="00BD393F">
        <w:rPr>
          <w:sz w:val="22"/>
          <w:szCs w:val="22"/>
        </w:rPr>
        <w:t xml:space="preserve">to ensure consistency of approach and delivery in property investment; </w:t>
      </w:r>
    </w:p>
    <w:p w:rsidR="004154F4" w:rsidRPr="00BD393F" w:rsidRDefault="004154F4" w:rsidP="004273FF">
      <w:pPr>
        <w:numPr>
          <w:ilvl w:val="0"/>
          <w:numId w:val="10"/>
        </w:numPr>
        <w:tabs>
          <w:tab w:val="clear" w:pos="720"/>
          <w:tab w:val="num" w:pos="360"/>
        </w:tabs>
        <w:ind w:left="357" w:hanging="357"/>
        <w:jc w:val="both"/>
        <w:rPr>
          <w:sz w:val="22"/>
          <w:szCs w:val="22"/>
        </w:rPr>
      </w:pPr>
      <w:r w:rsidRPr="00BD393F">
        <w:rPr>
          <w:sz w:val="22"/>
          <w:szCs w:val="22"/>
        </w:rPr>
        <w:t>to ensure clear definition of responsibilities in the procurement process;</w:t>
      </w:r>
    </w:p>
    <w:p w:rsidR="004154F4" w:rsidRPr="00BD393F" w:rsidRDefault="004154F4" w:rsidP="004273FF">
      <w:pPr>
        <w:numPr>
          <w:ilvl w:val="0"/>
          <w:numId w:val="10"/>
        </w:numPr>
        <w:tabs>
          <w:tab w:val="clear" w:pos="720"/>
          <w:tab w:val="num" w:pos="360"/>
        </w:tabs>
        <w:ind w:left="357" w:hanging="357"/>
        <w:jc w:val="both"/>
        <w:rPr>
          <w:sz w:val="22"/>
          <w:szCs w:val="22"/>
        </w:rPr>
      </w:pPr>
      <w:r w:rsidRPr="00BD393F">
        <w:rPr>
          <w:sz w:val="22"/>
          <w:szCs w:val="22"/>
        </w:rPr>
        <w:t>to ensure needs are well aligned with property specification;</w:t>
      </w:r>
    </w:p>
    <w:p w:rsidR="004154F4" w:rsidRPr="00BD393F" w:rsidRDefault="004154F4" w:rsidP="004273FF">
      <w:pPr>
        <w:numPr>
          <w:ilvl w:val="0"/>
          <w:numId w:val="10"/>
        </w:numPr>
        <w:tabs>
          <w:tab w:val="clear" w:pos="720"/>
          <w:tab w:val="num" w:pos="360"/>
        </w:tabs>
        <w:ind w:left="357" w:hanging="357"/>
        <w:jc w:val="both"/>
        <w:rPr>
          <w:sz w:val="22"/>
          <w:szCs w:val="22"/>
        </w:rPr>
      </w:pPr>
      <w:r w:rsidRPr="00BD393F">
        <w:rPr>
          <w:sz w:val="22"/>
          <w:szCs w:val="22"/>
        </w:rPr>
        <w:t>to rationalise sourcing, including investigation of joint working opportunities;</w:t>
      </w:r>
    </w:p>
    <w:p w:rsidR="004154F4" w:rsidRPr="00BD393F" w:rsidRDefault="004154F4" w:rsidP="004273FF">
      <w:pPr>
        <w:numPr>
          <w:ilvl w:val="0"/>
          <w:numId w:val="10"/>
        </w:numPr>
        <w:tabs>
          <w:tab w:val="clear" w:pos="720"/>
          <w:tab w:val="num" w:pos="360"/>
        </w:tabs>
        <w:ind w:left="357" w:hanging="357"/>
        <w:jc w:val="both"/>
        <w:rPr>
          <w:sz w:val="22"/>
          <w:szCs w:val="22"/>
        </w:rPr>
      </w:pPr>
      <w:r w:rsidRPr="00BD393F">
        <w:rPr>
          <w:sz w:val="22"/>
          <w:szCs w:val="22"/>
        </w:rPr>
        <w:t xml:space="preserve">to support rigorous appraisal of investment decisions; </w:t>
      </w:r>
    </w:p>
    <w:p w:rsidR="004154F4" w:rsidRPr="00BD393F" w:rsidRDefault="004154F4" w:rsidP="004273FF">
      <w:pPr>
        <w:numPr>
          <w:ilvl w:val="0"/>
          <w:numId w:val="10"/>
        </w:numPr>
        <w:tabs>
          <w:tab w:val="clear" w:pos="720"/>
          <w:tab w:val="num" w:pos="360"/>
        </w:tabs>
        <w:ind w:left="357" w:hanging="357"/>
        <w:jc w:val="both"/>
        <w:rPr>
          <w:sz w:val="22"/>
          <w:szCs w:val="22"/>
        </w:rPr>
      </w:pPr>
      <w:r w:rsidRPr="00BD393F">
        <w:rPr>
          <w:sz w:val="22"/>
          <w:szCs w:val="22"/>
        </w:rPr>
        <w:t>to ensure consistency and rigour in the development of lease terms; and</w:t>
      </w:r>
    </w:p>
    <w:p w:rsidR="004154F4" w:rsidRPr="00B12D33" w:rsidRDefault="004154F4" w:rsidP="004273FF">
      <w:pPr>
        <w:numPr>
          <w:ilvl w:val="0"/>
          <w:numId w:val="10"/>
        </w:numPr>
        <w:tabs>
          <w:tab w:val="clear" w:pos="720"/>
          <w:tab w:val="num" w:pos="426"/>
        </w:tabs>
        <w:ind w:left="284" w:hanging="284"/>
        <w:jc w:val="both"/>
        <w:rPr>
          <w:sz w:val="22"/>
          <w:szCs w:val="22"/>
        </w:rPr>
      </w:pPr>
      <w:r w:rsidRPr="00BD393F">
        <w:rPr>
          <w:sz w:val="22"/>
          <w:szCs w:val="22"/>
        </w:rPr>
        <w:t xml:space="preserve">to integrate with the requirements of the </w:t>
      </w:r>
      <w:r w:rsidRPr="00B12D33">
        <w:rPr>
          <w:sz w:val="22"/>
          <w:szCs w:val="22"/>
        </w:rPr>
        <w:t xml:space="preserve">Scottish Government to obtain the approval of </w:t>
      </w:r>
      <w:r w:rsidR="00B12D33" w:rsidRPr="00B12D33">
        <w:rPr>
          <w:sz w:val="24"/>
          <w:szCs w:val="24"/>
        </w:rPr>
        <w:t>Minister for Public Finance, Planning and Community Wealth</w:t>
      </w:r>
      <w:r w:rsidR="00B12D33" w:rsidRPr="00B12D33">
        <w:rPr>
          <w:sz w:val="22"/>
          <w:szCs w:val="22"/>
        </w:rPr>
        <w:t xml:space="preserve"> </w:t>
      </w:r>
      <w:r w:rsidRPr="00B12D33">
        <w:rPr>
          <w:sz w:val="22"/>
          <w:szCs w:val="22"/>
        </w:rPr>
        <w:t>for new or renewed leases.</w:t>
      </w:r>
      <w:r w:rsidRPr="00B12D33">
        <w:t xml:space="preserve"> </w:t>
      </w:r>
    </w:p>
    <w:p w:rsidR="004154F4" w:rsidRPr="00ED6C0A" w:rsidRDefault="004154F4" w:rsidP="004154F4">
      <w:pPr>
        <w:jc w:val="both"/>
        <w:rPr>
          <w:sz w:val="22"/>
          <w:szCs w:val="22"/>
        </w:rPr>
      </w:pPr>
    </w:p>
    <w:p w:rsidR="004154F4" w:rsidRPr="000439F1" w:rsidRDefault="004154F4" w:rsidP="004273FF">
      <w:pPr>
        <w:pStyle w:val="Heading3"/>
        <w:keepNext/>
        <w:numPr>
          <w:ilvl w:val="1"/>
          <w:numId w:val="9"/>
        </w:numPr>
        <w:rPr>
          <w:b/>
          <w:i w:val="0"/>
          <w:sz w:val="22"/>
          <w:szCs w:val="22"/>
        </w:rPr>
      </w:pPr>
      <w:r w:rsidRPr="000439F1">
        <w:rPr>
          <w:b/>
          <w:i w:val="0"/>
          <w:sz w:val="22"/>
          <w:szCs w:val="22"/>
        </w:rPr>
        <w:t>Scottish Legal Aid Board Administrative Offices</w:t>
      </w:r>
    </w:p>
    <w:p w:rsidR="004154F4" w:rsidRPr="00ED6C0A" w:rsidRDefault="004154F4" w:rsidP="004154F4"/>
    <w:p w:rsidR="004154F4" w:rsidRPr="00ED6C0A" w:rsidRDefault="004154F4" w:rsidP="004154F4">
      <w:pPr>
        <w:jc w:val="both"/>
        <w:rPr>
          <w:sz w:val="22"/>
          <w:szCs w:val="22"/>
        </w:rPr>
      </w:pPr>
      <w:r w:rsidRPr="00ED6C0A">
        <w:rPr>
          <w:sz w:val="22"/>
          <w:szCs w:val="22"/>
        </w:rPr>
        <w:t xml:space="preserve">As stated in the previous Asset Plans there were no known plans regarding SLAB’s function, operation or location that suggested a major change to its likely property requirements; however, small reductions in WTE were expected. We were also aware that the Scottish Government could require SLAB to take on possible further duties or responsibilities.  SLAB sought to extract best value from its use of property by seeking to continue to minimise its space requirements. </w:t>
      </w:r>
    </w:p>
    <w:p w:rsidR="004154F4" w:rsidRPr="00ED6C0A" w:rsidRDefault="004154F4" w:rsidP="004154F4">
      <w:pPr>
        <w:tabs>
          <w:tab w:val="num" w:pos="360"/>
        </w:tabs>
        <w:jc w:val="both"/>
        <w:rPr>
          <w:sz w:val="22"/>
          <w:szCs w:val="22"/>
        </w:rPr>
      </w:pPr>
    </w:p>
    <w:p w:rsidR="004154F4" w:rsidRPr="00ED6C0A" w:rsidRDefault="004154F4" w:rsidP="004154F4">
      <w:pPr>
        <w:tabs>
          <w:tab w:val="num" w:pos="360"/>
        </w:tabs>
        <w:jc w:val="both"/>
        <w:rPr>
          <w:sz w:val="22"/>
          <w:szCs w:val="22"/>
        </w:rPr>
      </w:pPr>
      <w:r w:rsidRPr="00ED6C0A">
        <w:rPr>
          <w:sz w:val="22"/>
          <w:szCs w:val="22"/>
        </w:rPr>
        <w:t>The Scottish Government, in recognition of our track record of successfully hosting other organisations, transferred ownership of Thistle House to us in July 2014. We are now managing the whole building and our tenants are;</w:t>
      </w:r>
    </w:p>
    <w:p w:rsidR="004154F4" w:rsidRPr="00ED6C0A" w:rsidRDefault="004154F4" w:rsidP="004273FF">
      <w:pPr>
        <w:numPr>
          <w:ilvl w:val="0"/>
          <w:numId w:val="13"/>
        </w:numPr>
        <w:ind w:left="357" w:hanging="357"/>
        <w:jc w:val="both"/>
        <w:rPr>
          <w:sz w:val="22"/>
          <w:szCs w:val="22"/>
        </w:rPr>
      </w:pPr>
      <w:r w:rsidRPr="00ED6C0A">
        <w:rPr>
          <w:sz w:val="22"/>
          <w:szCs w:val="22"/>
        </w:rPr>
        <w:t>Mental Welfare Commission (MWC)</w:t>
      </w:r>
    </w:p>
    <w:p w:rsidR="004154F4" w:rsidRPr="00ED6C0A" w:rsidRDefault="004154F4" w:rsidP="004273FF">
      <w:pPr>
        <w:numPr>
          <w:ilvl w:val="0"/>
          <w:numId w:val="13"/>
        </w:numPr>
        <w:jc w:val="both"/>
        <w:rPr>
          <w:sz w:val="22"/>
          <w:szCs w:val="22"/>
        </w:rPr>
      </w:pPr>
      <w:r w:rsidRPr="00ED6C0A">
        <w:rPr>
          <w:sz w:val="22"/>
          <w:szCs w:val="22"/>
        </w:rPr>
        <w:t xml:space="preserve">Children's Hearings Scotland (CHS) </w:t>
      </w:r>
    </w:p>
    <w:p w:rsidR="004154F4" w:rsidRPr="00ED6C0A" w:rsidRDefault="004154F4" w:rsidP="004273FF">
      <w:pPr>
        <w:numPr>
          <w:ilvl w:val="0"/>
          <w:numId w:val="13"/>
        </w:numPr>
        <w:jc w:val="both"/>
        <w:rPr>
          <w:sz w:val="22"/>
          <w:szCs w:val="22"/>
        </w:rPr>
      </w:pPr>
      <w:r w:rsidRPr="00ED6C0A">
        <w:rPr>
          <w:sz w:val="22"/>
          <w:szCs w:val="22"/>
        </w:rPr>
        <w:t>Commissioner for Ethical Standards in Public Life in Scotland (CESPLS)</w:t>
      </w:r>
    </w:p>
    <w:p w:rsidR="004154F4" w:rsidRPr="00ED6C0A" w:rsidRDefault="004154F4" w:rsidP="004273FF">
      <w:pPr>
        <w:numPr>
          <w:ilvl w:val="0"/>
          <w:numId w:val="13"/>
        </w:numPr>
        <w:jc w:val="both"/>
        <w:rPr>
          <w:sz w:val="22"/>
          <w:szCs w:val="22"/>
        </w:rPr>
      </w:pPr>
      <w:r w:rsidRPr="00ED6C0A">
        <w:rPr>
          <w:sz w:val="22"/>
          <w:szCs w:val="22"/>
        </w:rPr>
        <w:t>Judicial Appointments Board for Scotland (JABS)</w:t>
      </w:r>
    </w:p>
    <w:p w:rsidR="004154F4" w:rsidRPr="00990FEA" w:rsidRDefault="004154F4" w:rsidP="004273FF">
      <w:pPr>
        <w:numPr>
          <w:ilvl w:val="0"/>
          <w:numId w:val="13"/>
        </w:numPr>
        <w:jc w:val="both"/>
        <w:rPr>
          <w:sz w:val="22"/>
          <w:szCs w:val="22"/>
        </w:rPr>
      </w:pPr>
      <w:r w:rsidRPr="00990FEA">
        <w:rPr>
          <w:sz w:val="22"/>
          <w:szCs w:val="22"/>
        </w:rPr>
        <w:t>Scottish Boundaries Commission (Boundaries)</w:t>
      </w:r>
    </w:p>
    <w:p w:rsidR="004154F4" w:rsidRPr="00990FEA" w:rsidRDefault="004154F4" w:rsidP="004273FF">
      <w:pPr>
        <w:numPr>
          <w:ilvl w:val="0"/>
          <w:numId w:val="13"/>
        </w:numPr>
        <w:jc w:val="both"/>
        <w:rPr>
          <w:sz w:val="22"/>
          <w:szCs w:val="22"/>
        </w:rPr>
      </w:pPr>
      <w:r w:rsidRPr="00990FEA">
        <w:rPr>
          <w:sz w:val="22"/>
          <w:szCs w:val="22"/>
        </w:rPr>
        <w:t>British-Irish Council (BIC)</w:t>
      </w:r>
    </w:p>
    <w:p w:rsidR="004154F4" w:rsidRPr="00990FEA" w:rsidRDefault="004154F4" w:rsidP="004273FF">
      <w:pPr>
        <w:numPr>
          <w:ilvl w:val="0"/>
          <w:numId w:val="13"/>
        </w:numPr>
        <w:jc w:val="both"/>
        <w:rPr>
          <w:sz w:val="22"/>
          <w:szCs w:val="22"/>
        </w:rPr>
      </w:pPr>
      <w:r w:rsidRPr="00990FEA">
        <w:rPr>
          <w:sz w:val="22"/>
          <w:szCs w:val="22"/>
        </w:rPr>
        <w:t xml:space="preserve">Scottish Government hot </w:t>
      </w:r>
      <w:proofErr w:type="spellStart"/>
      <w:r w:rsidRPr="00990FEA">
        <w:rPr>
          <w:sz w:val="22"/>
          <w:szCs w:val="22"/>
        </w:rPr>
        <w:t>desking</w:t>
      </w:r>
      <w:proofErr w:type="spellEnd"/>
      <w:r w:rsidRPr="00990FEA">
        <w:rPr>
          <w:sz w:val="22"/>
          <w:szCs w:val="22"/>
        </w:rPr>
        <w:t xml:space="preserve"> area (SG)</w:t>
      </w:r>
    </w:p>
    <w:p w:rsidR="003B17BD" w:rsidRPr="00990FEA" w:rsidRDefault="00990FEA" w:rsidP="004273FF">
      <w:pPr>
        <w:numPr>
          <w:ilvl w:val="0"/>
          <w:numId w:val="13"/>
        </w:numPr>
        <w:jc w:val="both"/>
        <w:rPr>
          <w:sz w:val="22"/>
          <w:szCs w:val="22"/>
        </w:rPr>
      </w:pPr>
      <w:r w:rsidRPr="00990FEA">
        <w:rPr>
          <w:sz w:val="22"/>
          <w:szCs w:val="22"/>
        </w:rPr>
        <w:t xml:space="preserve">Environmental Standards Scotland </w:t>
      </w:r>
      <w:r w:rsidR="00672A76" w:rsidRPr="00990FEA">
        <w:rPr>
          <w:sz w:val="22"/>
          <w:szCs w:val="22"/>
        </w:rPr>
        <w:t>(ESS)</w:t>
      </w:r>
    </w:p>
    <w:p w:rsidR="004154F4" w:rsidRPr="00990FEA" w:rsidRDefault="004154F4" w:rsidP="004154F4">
      <w:pPr>
        <w:jc w:val="both"/>
        <w:rPr>
          <w:sz w:val="22"/>
          <w:szCs w:val="22"/>
        </w:rPr>
      </w:pPr>
    </w:p>
    <w:p w:rsidR="004154F4" w:rsidRPr="00990FEA" w:rsidRDefault="004154F4" w:rsidP="004154F4">
      <w:pPr>
        <w:jc w:val="both"/>
        <w:rPr>
          <w:sz w:val="22"/>
          <w:szCs w:val="22"/>
        </w:rPr>
      </w:pPr>
      <w:r w:rsidRPr="00990FEA">
        <w:rPr>
          <w:sz w:val="22"/>
          <w:szCs w:val="22"/>
        </w:rPr>
        <w:t>The current breakdown of space within the building is detailed below.</w:t>
      </w:r>
    </w:p>
    <w:p w:rsidR="004154F4" w:rsidRPr="00990FEA" w:rsidRDefault="004154F4" w:rsidP="004154F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020"/>
        <w:gridCol w:w="2200"/>
      </w:tblGrid>
      <w:tr w:rsidR="00672A76" w:rsidRPr="00990FEA" w:rsidTr="000E29E0">
        <w:trPr>
          <w:trHeight w:val="255"/>
        </w:trPr>
        <w:tc>
          <w:tcPr>
            <w:tcW w:w="1720" w:type="dxa"/>
            <w:shd w:val="clear" w:color="auto" w:fill="auto"/>
            <w:noWrap/>
            <w:hideMark/>
          </w:tcPr>
          <w:p w:rsidR="00672A76" w:rsidRPr="00990FEA" w:rsidRDefault="00672A76" w:rsidP="00672A76">
            <w:pPr>
              <w:jc w:val="both"/>
              <w:rPr>
                <w:sz w:val="22"/>
                <w:szCs w:val="22"/>
              </w:rPr>
            </w:pPr>
            <w:r w:rsidRPr="00990FEA">
              <w:rPr>
                <w:sz w:val="22"/>
                <w:szCs w:val="22"/>
              </w:rPr>
              <w:t> </w:t>
            </w:r>
          </w:p>
        </w:tc>
        <w:tc>
          <w:tcPr>
            <w:tcW w:w="2020" w:type="dxa"/>
            <w:shd w:val="clear" w:color="auto" w:fill="auto"/>
            <w:noWrap/>
            <w:hideMark/>
          </w:tcPr>
          <w:p w:rsidR="00672A76" w:rsidRPr="00990FEA" w:rsidRDefault="00672A76" w:rsidP="00672A76">
            <w:pPr>
              <w:jc w:val="right"/>
              <w:rPr>
                <w:sz w:val="22"/>
                <w:szCs w:val="22"/>
              </w:rPr>
            </w:pPr>
            <w:r w:rsidRPr="00990FEA">
              <w:rPr>
                <w:sz w:val="22"/>
                <w:szCs w:val="22"/>
              </w:rPr>
              <w:t>m2</w:t>
            </w:r>
          </w:p>
        </w:tc>
        <w:tc>
          <w:tcPr>
            <w:tcW w:w="2200" w:type="dxa"/>
            <w:shd w:val="clear" w:color="auto" w:fill="auto"/>
            <w:noWrap/>
            <w:hideMark/>
          </w:tcPr>
          <w:p w:rsidR="00672A76" w:rsidRPr="00990FEA" w:rsidRDefault="00672A76" w:rsidP="00672A76">
            <w:pPr>
              <w:jc w:val="right"/>
              <w:rPr>
                <w:sz w:val="22"/>
                <w:szCs w:val="22"/>
              </w:rPr>
            </w:pPr>
            <w:r w:rsidRPr="00990FEA">
              <w:rPr>
                <w:sz w:val="22"/>
                <w:szCs w:val="22"/>
              </w:rPr>
              <w:t>%</w:t>
            </w:r>
          </w:p>
        </w:tc>
      </w:tr>
      <w:tr w:rsidR="00672A76" w:rsidRPr="00990FEA" w:rsidTr="000E29E0">
        <w:trPr>
          <w:trHeight w:val="255"/>
        </w:trPr>
        <w:tc>
          <w:tcPr>
            <w:tcW w:w="1720" w:type="dxa"/>
            <w:shd w:val="clear" w:color="auto" w:fill="auto"/>
            <w:noWrap/>
            <w:hideMark/>
          </w:tcPr>
          <w:p w:rsidR="00672A76" w:rsidRPr="00990FEA" w:rsidRDefault="00672A76" w:rsidP="00672A76">
            <w:pPr>
              <w:jc w:val="both"/>
              <w:rPr>
                <w:sz w:val="22"/>
                <w:szCs w:val="22"/>
              </w:rPr>
            </w:pPr>
            <w:r w:rsidRPr="00990FEA">
              <w:rPr>
                <w:sz w:val="22"/>
                <w:szCs w:val="22"/>
              </w:rPr>
              <w:t xml:space="preserve">SLAB </w:t>
            </w:r>
          </w:p>
        </w:tc>
        <w:tc>
          <w:tcPr>
            <w:tcW w:w="2020" w:type="dxa"/>
            <w:shd w:val="clear" w:color="auto" w:fill="auto"/>
            <w:noWrap/>
            <w:hideMark/>
          </w:tcPr>
          <w:p w:rsidR="00672A76" w:rsidRPr="00990FEA" w:rsidRDefault="00672A76" w:rsidP="00672A76">
            <w:pPr>
              <w:jc w:val="right"/>
              <w:rPr>
                <w:sz w:val="22"/>
                <w:szCs w:val="22"/>
              </w:rPr>
            </w:pPr>
            <w:r w:rsidRPr="00990FEA">
              <w:rPr>
                <w:sz w:val="22"/>
                <w:szCs w:val="22"/>
              </w:rPr>
              <w:t>1740.1</w:t>
            </w:r>
          </w:p>
        </w:tc>
        <w:tc>
          <w:tcPr>
            <w:tcW w:w="2200" w:type="dxa"/>
            <w:shd w:val="clear" w:color="auto" w:fill="auto"/>
            <w:noWrap/>
            <w:hideMark/>
          </w:tcPr>
          <w:p w:rsidR="00672A76" w:rsidRPr="00990FEA" w:rsidRDefault="00672A76" w:rsidP="00672A76">
            <w:pPr>
              <w:jc w:val="right"/>
              <w:rPr>
                <w:sz w:val="22"/>
                <w:szCs w:val="22"/>
              </w:rPr>
            </w:pPr>
            <w:r w:rsidRPr="00990FEA">
              <w:rPr>
                <w:sz w:val="22"/>
                <w:szCs w:val="22"/>
              </w:rPr>
              <w:t>48.68%</w:t>
            </w:r>
          </w:p>
        </w:tc>
      </w:tr>
      <w:tr w:rsidR="00672A76" w:rsidRPr="00990FEA" w:rsidTr="000E29E0">
        <w:trPr>
          <w:trHeight w:val="255"/>
        </w:trPr>
        <w:tc>
          <w:tcPr>
            <w:tcW w:w="1720" w:type="dxa"/>
            <w:shd w:val="clear" w:color="auto" w:fill="auto"/>
            <w:noWrap/>
            <w:hideMark/>
          </w:tcPr>
          <w:p w:rsidR="00672A76" w:rsidRPr="00990FEA" w:rsidRDefault="00672A76" w:rsidP="00672A76">
            <w:pPr>
              <w:jc w:val="both"/>
              <w:rPr>
                <w:sz w:val="22"/>
                <w:szCs w:val="22"/>
              </w:rPr>
            </w:pPr>
            <w:r w:rsidRPr="00990FEA">
              <w:rPr>
                <w:sz w:val="22"/>
                <w:szCs w:val="22"/>
              </w:rPr>
              <w:t>Shared space</w:t>
            </w:r>
          </w:p>
        </w:tc>
        <w:tc>
          <w:tcPr>
            <w:tcW w:w="2020" w:type="dxa"/>
            <w:shd w:val="clear" w:color="auto" w:fill="auto"/>
            <w:noWrap/>
            <w:hideMark/>
          </w:tcPr>
          <w:p w:rsidR="00672A76" w:rsidRPr="00990FEA" w:rsidRDefault="00672A76" w:rsidP="00672A76">
            <w:pPr>
              <w:jc w:val="right"/>
              <w:rPr>
                <w:sz w:val="22"/>
                <w:szCs w:val="22"/>
              </w:rPr>
            </w:pPr>
            <w:r w:rsidRPr="00990FEA">
              <w:rPr>
                <w:sz w:val="22"/>
                <w:szCs w:val="22"/>
              </w:rPr>
              <w:t>  322.1</w:t>
            </w:r>
          </w:p>
        </w:tc>
        <w:tc>
          <w:tcPr>
            <w:tcW w:w="2200" w:type="dxa"/>
            <w:shd w:val="clear" w:color="auto" w:fill="auto"/>
            <w:noWrap/>
            <w:hideMark/>
          </w:tcPr>
          <w:p w:rsidR="00672A76" w:rsidRPr="00990FEA" w:rsidRDefault="00672A76" w:rsidP="00672A76">
            <w:pPr>
              <w:jc w:val="right"/>
              <w:rPr>
                <w:sz w:val="22"/>
                <w:szCs w:val="22"/>
              </w:rPr>
            </w:pPr>
            <w:r w:rsidRPr="00990FEA">
              <w:rPr>
                <w:sz w:val="22"/>
                <w:szCs w:val="22"/>
              </w:rPr>
              <w:t>9.01%</w:t>
            </w:r>
          </w:p>
        </w:tc>
      </w:tr>
      <w:tr w:rsidR="00672A76" w:rsidRPr="00990FEA" w:rsidTr="000E29E0">
        <w:trPr>
          <w:trHeight w:val="255"/>
        </w:trPr>
        <w:tc>
          <w:tcPr>
            <w:tcW w:w="1720" w:type="dxa"/>
            <w:shd w:val="clear" w:color="auto" w:fill="auto"/>
            <w:noWrap/>
            <w:hideMark/>
          </w:tcPr>
          <w:p w:rsidR="00672A76" w:rsidRPr="00990FEA" w:rsidRDefault="00672A76" w:rsidP="00672A76">
            <w:pPr>
              <w:jc w:val="both"/>
              <w:rPr>
                <w:sz w:val="22"/>
                <w:szCs w:val="22"/>
              </w:rPr>
            </w:pPr>
            <w:r w:rsidRPr="00990FEA">
              <w:rPr>
                <w:sz w:val="22"/>
                <w:szCs w:val="22"/>
              </w:rPr>
              <w:t>MWC</w:t>
            </w:r>
          </w:p>
        </w:tc>
        <w:tc>
          <w:tcPr>
            <w:tcW w:w="2020" w:type="dxa"/>
            <w:shd w:val="clear" w:color="auto" w:fill="auto"/>
            <w:noWrap/>
            <w:hideMark/>
          </w:tcPr>
          <w:p w:rsidR="00672A76" w:rsidRPr="00990FEA" w:rsidRDefault="00672A76" w:rsidP="00672A76">
            <w:pPr>
              <w:jc w:val="right"/>
              <w:rPr>
                <w:sz w:val="22"/>
                <w:szCs w:val="22"/>
              </w:rPr>
            </w:pPr>
            <w:r w:rsidRPr="00990FEA">
              <w:rPr>
                <w:sz w:val="22"/>
                <w:szCs w:val="22"/>
              </w:rPr>
              <w:t>  371.7</w:t>
            </w:r>
          </w:p>
        </w:tc>
        <w:tc>
          <w:tcPr>
            <w:tcW w:w="2200" w:type="dxa"/>
            <w:shd w:val="clear" w:color="auto" w:fill="auto"/>
            <w:noWrap/>
            <w:hideMark/>
          </w:tcPr>
          <w:p w:rsidR="00672A76" w:rsidRPr="00990FEA" w:rsidRDefault="00672A76" w:rsidP="00672A76">
            <w:pPr>
              <w:jc w:val="right"/>
              <w:rPr>
                <w:sz w:val="22"/>
                <w:szCs w:val="22"/>
              </w:rPr>
            </w:pPr>
            <w:r w:rsidRPr="00990FEA">
              <w:rPr>
                <w:sz w:val="22"/>
                <w:szCs w:val="22"/>
              </w:rPr>
              <w:t>10.40%</w:t>
            </w:r>
          </w:p>
        </w:tc>
      </w:tr>
      <w:tr w:rsidR="00672A76" w:rsidRPr="00990FEA" w:rsidTr="000E29E0">
        <w:trPr>
          <w:trHeight w:val="255"/>
        </w:trPr>
        <w:tc>
          <w:tcPr>
            <w:tcW w:w="1720" w:type="dxa"/>
            <w:shd w:val="clear" w:color="auto" w:fill="auto"/>
            <w:noWrap/>
          </w:tcPr>
          <w:p w:rsidR="00672A76" w:rsidRPr="00990FEA" w:rsidRDefault="00672A76" w:rsidP="00672A76">
            <w:pPr>
              <w:jc w:val="both"/>
              <w:rPr>
                <w:sz w:val="22"/>
                <w:szCs w:val="22"/>
              </w:rPr>
            </w:pPr>
            <w:r w:rsidRPr="00990FEA">
              <w:rPr>
                <w:sz w:val="22"/>
                <w:szCs w:val="22"/>
              </w:rPr>
              <w:t>CHS</w:t>
            </w:r>
          </w:p>
        </w:tc>
        <w:tc>
          <w:tcPr>
            <w:tcW w:w="2020" w:type="dxa"/>
            <w:shd w:val="clear" w:color="auto" w:fill="auto"/>
            <w:noWrap/>
          </w:tcPr>
          <w:p w:rsidR="00672A76" w:rsidRPr="00990FEA" w:rsidRDefault="00672A76" w:rsidP="00672A76">
            <w:pPr>
              <w:jc w:val="right"/>
              <w:rPr>
                <w:sz w:val="22"/>
                <w:szCs w:val="22"/>
              </w:rPr>
            </w:pPr>
            <w:r w:rsidRPr="00990FEA">
              <w:rPr>
                <w:sz w:val="22"/>
                <w:szCs w:val="22"/>
              </w:rPr>
              <w:t>304.3</w:t>
            </w:r>
          </w:p>
        </w:tc>
        <w:tc>
          <w:tcPr>
            <w:tcW w:w="2200" w:type="dxa"/>
            <w:shd w:val="clear" w:color="auto" w:fill="auto"/>
            <w:noWrap/>
          </w:tcPr>
          <w:p w:rsidR="00672A76" w:rsidRPr="00990FEA" w:rsidRDefault="00672A76" w:rsidP="00672A76">
            <w:pPr>
              <w:jc w:val="right"/>
              <w:rPr>
                <w:sz w:val="22"/>
                <w:szCs w:val="22"/>
              </w:rPr>
            </w:pPr>
            <w:r w:rsidRPr="00990FEA">
              <w:rPr>
                <w:sz w:val="22"/>
                <w:szCs w:val="22"/>
              </w:rPr>
              <w:t>8.51%</w:t>
            </w:r>
          </w:p>
        </w:tc>
      </w:tr>
      <w:tr w:rsidR="00672A76" w:rsidRPr="00990FEA" w:rsidTr="000E29E0">
        <w:trPr>
          <w:trHeight w:val="255"/>
        </w:trPr>
        <w:tc>
          <w:tcPr>
            <w:tcW w:w="1720" w:type="dxa"/>
            <w:shd w:val="clear" w:color="auto" w:fill="auto"/>
            <w:noWrap/>
            <w:hideMark/>
          </w:tcPr>
          <w:p w:rsidR="00672A76" w:rsidRPr="00990FEA" w:rsidRDefault="00672A76" w:rsidP="00672A76">
            <w:pPr>
              <w:jc w:val="both"/>
              <w:rPr>
                <w:sz w:val="22"/>
                <w:szCs w:val="22"/>
              </w:rPr>
            </w:pPr>
            <w:r w:rsidRPr="00990FEA">
              <w:rPr>
                <w:sz w:val="22"/>
                <w:szCs w:val="22"/>
              </w:rPr>
              <w:t>CESPLS</w:t>
            </w:r>
          </w:p>
        </w:tc>
        <w:tc>
          <w:tcPr>
            <w:tcW w:w="2020" w:type="dxa"/>
            <w:shd w:val="clear" w:color="auto" w:fill="auto"/>
            <w:noWrap/>
            <w:hideMark/>
          </w:tcPr>
          <w:p w:rsidR="00672A76" w:rsidRPr="00990FEA" w:rsidRDefault="00672A76" w:rsidP="00672A76">
            <w:pPr>
              <w:jc w:val="right"/>
              <w:rPr>
                <w:sz w:val="22"/>
                <w:szCs w:val="22"/>
              </w:rPr>
            </w:pPr>
            <w:r w:rsidRPr="00990FEA">
              <w:rPr>
                <w:sz w:val="22"/>
                <w:szCs w:val="22"/>
              </w:rPr>
              <w:t>  231.5</w:t>
            </w:r>
          </w:p>
        </w:tc>
        <w:tc>
          <w:tcPr>
            <w:tcW w:w="2200" w:type="dxa"/>
            <w:shd w:val="clear" w:color="auto" w:fill="auto"/>
            <w:noWrap/>
            <w:hideMark/>
          </w:tcPr>
          <w:p w:rsidR="00672A76" w:rsidRPr="00990FEA" w:rsidRDefault="00672A76" w:rsidP="00672A76">
            <w:pPr>
              <w:jc w:val="right"/>
              <w:rPr>
                <w:sz w:val="22"/>
                <w:szCs w:val="22"/>
              </w:rPr>
            </w:pPr>
            <w:r w:rsidRPr="00990FEA">
              <w:rPr>
                <w:sz w:val="22"/>
                <w:szCs w:val="22"/>
              </w:rPr>
              <w:t>6.48%</w:t>
            </w:r>
          </w:p>
        </w:tc>
      </w:tr>
      <w:tr w:rsidR="00672A76" w:rsidRPr="003D4399" w:rsidTr="000E29E0">
        <w:trPr>
          <w:trHeight w:val="255"/>
        </w:trPr>
        <w:tc>
          <w:tcPr>
            <w:tcW w:w="1720" w:type="dxa"/>
            <w:shd w:val="clear" w:color="auto" w:fill="auto"/>
            <w:noWrap/>
            <w:hideMark/>
          </w:tcPr>
          <w:p w:rsidR="00672A76" w:rsidRPr="00990FEA" w:rsidRDefault="00672A76" w:rsidP="00672A76">
            <w:pPr>
              <w:jc w:val="both"/>
              <w:rPr>
                <w:sz w:val="22"/>
                <w:szCs w:val="22"/>
              </w:rPr>
            </w:pPr>
            <w:r w:rsidRPr="00990FEA">
              <w:rPr>
                <w:sz w:val="22"/>
                <w:szCs w:val="22"/>
              </w:rPr>
              <w:t>JABS</w:t>
            </w:r>
          </w:p>
        </w:tc>
        <w:tc>
          <w:tcPr>
            <w:tcW w:w="2020" w:type="dxa"/>
            <w:shd w:val="clear" w:color="auto" w:fill="auto"/>
            <w:noWrap/>
            <w:hideMark/>
          </w:tcPr>
          <w:p w:rsidR="00672A76" w:rsidRPr="00990FEA" w:rsidRDefault="00672A76" w:rsidP="00672A76">
            <w:pPr>
              <w:jc w:val="right"/>
              <w:rPr>
                <w:sz w:val="22"/>
                <w:szCs w:val="22"/>
              </w:rPr>
            </w:pPr>
            <w:r w:rsidRPr="00990FEA">
              <w:rPr>
                <w:sz w:val="22"/>
                <w:szCs w:val="22"/>
              </w:rPr>
              <w:t>  187.4</w:t>
            </w:r>
          </w:p>
        </w:tc>
        <w:tc>
          <w:tcPr>
            <w:tcW w:w="2200" w:type="dxa"/>
            <w:shd w:val="clear" w:color="auto" w:fill="auto"/>
            <w:noWrap/>
            <w:hideMark/>
          </w:tcPr>
          <w:p w:rsidR="00672A76" w:rsidRPr="00990FEA" w:rsidRDefault="00672A76" w:rsidP="00672A76">
            <w:pPr>
              <w:jc w:val="right"/>
              <w:rPr>
                <w:sz w:val="22"/>
                <w:szCs w:val="22"/>
              </w:rPr>
            </w:pPr>
            <w:r w:rsidRPr="00990FEA">
              <w:rPr>
                <w:sz w:val="22"/>
                <w:szCs w:val="22"/>
              </w:rPr>
              <w:t>5.24%</w:t>
            </w:r>
          </w:p>
        </w:tc>
      </w:tr>
      <w:tr w:rsidR="00672A76" w:rsidRPr="003D4399" w:rsidTr="000E29E0">
        <w:trPr>
          <w:trHeight w:val="255"/>
        </w:trPr>
        <w:tc>
          <w:tcPr>
            <w:tcW w:w="1720" w:type="dxa"/>
            <w:shd w:val="clear" w:color="auto" w:fill="auto"/>
            <w:noWrap/>
            <w:hideMark/>
          </w:tcPr>
          <w:p w:rsidR="00672A76" w:rsidRPr="00672A76" w:rsidRDefault="00672A76" w:rsidP="00672A76">
            <w:pPr>
              <w:jc w:val="both"/>
              <w:rPr>
                <w:sz w:val="22"/>
                <w:szCs w:val="22"/>
                <w:highlight w:val="yellow"/>
              </w:rPr>
            </w:pPr>
            <w:r w:rsidRPr="00672A76">
              <w:rPr>
                <w:sz w:val="22"/>
                <w:szCs w:val="22"/>
              </w:rPr>
              <w:t>Boundaries</w:t>
            </w:r>
          </w:p>
        </w:tc>
        <w:tc>
          <w:tcPr>
            <w:tcW w:w="2020" w:type="dxa"/>
            <w:shd w:val="clear" w:color="auto" w:fill="auto"/>
            <w:noWrap/>
            <w:hideMark/>
          </w:tcPr>
          <w:p w:rsidR="00672A76" w:rsidRPr="00672A76" w:rsidRDefault="00672A76" w:rsidP="00672A76">
            <w:pPr>
              <w:jc w:val="right"/>
              <w:rPr>
                <w:sz w:val="22"/>
                <w:szCs w:val="22"/>
                <w:highlight w:val="yellow"/>
              </w:rPr>
            </w:pPr>
            <w:r w:rsidRPr="00672A76">
              <w:rPr>
                <w:sz w:val="22"/>
                <w:szCs w:val="22"/>
              </w:rPr>
              <w:t>  116.6</w:t>
            </w:r>
          </w:p>
        </w:tc>
        <w:tc>
          <w:tcPr>
            <w:tcW w:w="2200" w:type="dxa"/>
            <w:shd w:val="clear" w:color="auto" w:fill="auto"/>
            <w:noWrap/>
            <w:hideMark/>
          </w:tcPr>
          <w:p w:rsidR="00672A76" w:rsidRPr="00672A76" w:rsidRDefault="00672A76" w:rsidP="00672A76">
            <w:pPr>
              <w:jc w:val="right"/>
              <w:rPr>
                <w:sz w:val="22"/>
                <w:szCs w:val="22"/>
                <w:highlight w:val="yellow"/>
              </w:rPr>
            </w:pPr>
            <w:r w:rsidRPr="00672A76">
              <w:rPr>
                <w:sz w:val="22"/>
                <w:szCs w:val="22"/>
              </w:rPr>
              <w:t>3.26%</w:t>
            </w:r>
          </w:p>
        </w:tc>
      </w:tr>
      <w:tr w:rsidR="00672A76" w:rsidRPr="003D4399" w:rsidTr="000E29E0">
        <w:trPr>
          <w:trHeight w:val="255"/>
        </w:trPr>
        <w:tc>
          <w:tcPr>
            <w:tcW w:w="1720" w:type="dxa"/>
            <w:shd w:val="clear" w:color="auto" w:fill="auto"/>
            <w:noWrap/>
          </w:tcPr>
          <w:p w:rsidR="00672A76" w:rsidRPr="00672A76" w:rsidRDefault="00672A76" w:rsidP="00672A76">
            <w:pPr>
              <w:jc w:val="both"/>
              <w:rPr>
                <w:sz w:val="22"/>
                <w:szCs w:val="22"/>
                <w:highlight w:val="yellow"/>
              </w:rPr>
            </w:pPr>
            <w:r w:rsidRPr="00672A76">
              <w:rPr>
                <w:sz w:val="22"/>
                <w:szCs w:val="22"/>
              </w:rPr>
              <w:t>CLAO</w:t>
            </w:r>
          </w:p>
        </w:tc>
        <w:tc>
          <w:tcPr>
            <w:tcW w:w="2020" w:type="dxa"/>
            <w:shd w:val="clear" w:color="auto" w:fill="auto"/>
            <w:noWrap/>
          </w:tcPr>
          <w:p w:rsidR="00672A76" w:rsidRPr="00672A76" w:rsidRDefault="00672A76" w:rsidP="00672A76">
            <w:pPr>
              <w:jc w:val="right"/>
              <w:rPr>
                <w:sz w:val="22"/>
                <w:szCs w:val="22"/>
                <w:highlight w:val="yellow"/>
              </w:rPr>
            </w:pPr>
            <w:r w:rsidRPr="00672A76">
              <w:rPr>
                <w:sz w:val="22"/>
                <w:szCs w:val="22"/>
              </w:rPr>
              <w:t>100.0</w:t>
            </w:r>
          </w:p>
        </w:tc>
        <w:tc>
          <w:tcPr>
            <w:tcW w:w="2200" w:type="dxa"/>
            <w:shd w:val="clear" w:color="auto" w:fill="auto"/>
            <w:noWrap/>
          </w:tcPr>
          <w:p w:rsidR="00672A76" w:rsidRPr="00672A76" w:rsidRDefault="00672A76" w:rsidP="00672A76">
            <w:pPr>
              <w:jc w:val="right"/>
              <w:rPr>
                <w:sz w:val="22"/>
                <w:szCs w:val="22"/>
                <w:highlight w:val="yellow"/>
              </w:rPr>
            </w:pPr>
            <w:r w:rsidRPr="00672A76">
              <w:rPr>
                <w:sz w:val="22"/>
                <w:szCs w:val="22"/>
              </w:rPr>
              <w:t>2.80%</w:t>
            </w:r>
          </w:p>
        </w:tc>
      </w:tr>
      <w:tr w:rsidR="00672A76" w:rsidRPr="003D4399" w:rsidTr="000E29E0">
        <w:trPr>
          <w:trHeight w:val="255"/>
        </w:trPr>
        <w:tc>
          <w:tcPr>
            <w:tcW w:w="1720" w:type="dxa"/>
            <w:shd w:val="clear" w:color="auto" w:fill="auto"/>
            <w:noWrap/>
            <w:hideMark/>
          </w:tcPr>
          <w:p w:rsidR="00672A76" w:rsidRPr="00672A76" w:rsidRDefault="00672A76" w:rsidP="00672A76">
            <w:pPr>
              <w:jc w:val="both"/>
              <w:rPr>
                <w:sz w:val="22"/>
                <w:szCs w:val="22"/>
                <w:highlight w:val="yellow"/>
              </w:rPr>
            </w:pPr>
            <w:r w:rsidRPr="00672A76">
              <w:rPr>
                <w:sz w:val="22"/>
                <w:szCs w:val="22"/>
              </w:rPr>
              <w:t>BIC</w:t>
            </w:r>
          </w:p>
        </w:tc>
        <w:tc>
          <w:tcPr>
            <w:tcW w:w="2020" w:type="dxa"/>
            <w:shd w:val="clear" w:color="auto" w:fill="auto"/>
            <w:noWrap/>
            <w:hideMark/>
          </w:tcPr>
          <w:p w:rsidR="00672A76" w:rsidRPr="00672A76" w:rsidRDefault="00672A76" w:rsidP="00672A76">
            <w:pPr>
              <w:jc w:val="right"/>
              <w:rPr>
                <w:sz w:val="22"/>
                <w:szCs w:val="22"/>
                <w:highlight w:val="yellow"/>
              </w:rPr>
            </w:pPr>
            <w:r w:rsidRPr="00672A76">
              <w:rPr>
                <w:sz w:val="22"/>
                <w:szCs w:val="22"/>
              </w:rPr>
              <w:t>    93.0</w:t>
            </w:r>
          </w:p>
        </w:tc>
        <w:tc>
          <w:tcPr>
            <w:tcW w:w="2200" w:type="dxa"/>
            <w:shd w:val="clear" w:color="auto" w:fill="auto"/>
            <w:noWrap/>
            <w:hideMark/>
          </w:tcPr>
          <w:p w:rsidR="00672A76" w:rsidRPr="00672A76" w:rsidRDefault="00672A76" w:rsidP="00672A76">
            <w:pPr>
              <w:jc w:val="right"/>
              <w:rPr>
                <w:sz w:val="22"/>
                <w:szCs w:val="22"/>
                <w:highlight w:val="yellow"/>
              </w:rPr>
            </w:pPr>
            <w:r w:rsidRPr="00672A76">
              <w:rPr>
                <w:sz w:val="22"/>
                <w:szCs w:val="22"/>
              </w:rPr>
              <w:t>2.60%</w:t>
            </w:r>
          </w:p>
        </w:tc>
      </w:tr>
      <w:tr w:rsidR="00672A76" w:rsidRPr="003D4399" w:rsidTr="000E29E0">
        <w:trPr>
          <w:trHeight w:val="255"/>
        </w:trPr>
        <w:tc>
          <w:tcPr>
            <w:tcW w:w="1720" w:type="dxa"/>
            <w:shd w:val="clear" w:color="auto" w:fill="auto"/>
            <w:noWrap/>
            <w:hideMark/>
          </w:tcPr>
          <w:p w:rsidR="00672A76" w:rsidRPr="00672A76" w:rsidRDefault="00672A76" w:rsidP="00672A76">
            <w:pPr>
              <w:jc w:val="both"/>
              <w:rPr>
                <w:sz w:val="22"/>
                <w:szCs w:val="22"/>
                <w:highlight w:val="yellow"/>
              </w:rPr>
            </w:pPr>
            <w:r w:rsidRPr="00672A76">
              <w:rPr>
                <w:sz w:val="22"/>
                <w:szCs w:val="22"/>
              </w:rPr>
              <w:t>ESS</w:t>
            </w:r>
          </w:p>
        </w:tc>
        <w:tc>
          <w:tcPr>
            <w:tcW w:w="2020" w:type="dxa"/>
            <w:shd w:val="clear" w:color="auto" w:fill="auto"/>
            <w:noWrap/>
            <w:hideMark/>
          </w:tcPr>
          <w:p w:rsidR="00672A76" w:rsidRPr="00672A76" w:rsidRDefault="00672A76" w:rsidP="00672A76">
            <w:pPr>
              <w:jc w:val="right"/>
              <w:rPr>
                <w:sz w:val="22"/>
                <w:szCs w:val="22"/>
                <w:highlight w:val="yellow"/>
              </w:rPr>
            </w:pPr>
            <w:r w:rsidRPr="00672A76">
              <w:rPr>
                <w:sz w:val="22"/>
                <w:szCs w:val="22"/>
              </w:rPr>
              <w:t>90.1</w:t>
            </w:r>
          </w:p>
        </w:tc>
        <w:tc>
          <w:tcPr>
            <w:tcW w:w="2200" w:type="dxa"/>
            <w:shd w:val="clear" w:color="auto" w:fill="auto"/>
            <w:noWrap/>
            <w:hideMark/>
          </w:tcPr>
          <w:p w:rsidR="00672A76" w:rsidRPr="00672A76" w:rsidRDefault="00672A76" w:rsidP="00672A76">
            <w:pPr>
              <w:jc w:val="right"/>
              <w:rPr>
                <w:sz w:val="22"/>
                <w:szCs w:val="22"/>
                <w:highlight w:val="yellow"/>
              </w:rPr>
            </w:pPr>
            <w:r w:rsidRPr="00672A76">
              <w:rPr>
                <w:sz w:val="22"/>
                <w:szCs w:val="22"/>
              </w:rPr>
              <w:t>2.52%</w:t>
            </w:r>
          </w:p>
        </w:tc>
      </w:tr>
      <w:tr w:rsidR="00672A76" w:rsidRPr="003D4399" w:rsidTr="000E29E0">
        <w:trPr>
          <w:trHeight w:val="255"/>
        </w:trPr>
        <w:tc>
          <w:tcPr>
            <w:tcW w:w="1720" w:type="dxa"/>
            <w:shd w:val="clear" w:color="auto" w:fill="auto"/>
            <w:noWrap/>
            <w:hideMark/>
          </w:tcPr>
          <w:p w:rsidR="00672A76" w:rsidRPr="00672A76" w:rsidRDefault="00672A76" w:rsidP="00672A76">
            <w:pPr>
              <w:jc w:val="both"/>
              <w:rPr>
                <w:sz w:val="22"/>
                <w:szCs w:val="22"/>
                <w:highlight w:val="yellow"/>
              </w:rPr>
            </w:pPr>
            <w:r w:rsidRPr="00672A76">
              <w:rPr>
                <w:sz w:val="22"/>
                <w:szCs w:val="22"/>
              </w:rPr>
              <w:t>SG</w:t>
            </w:r>
          </w:p>
        </w:tc>
        <w:tc>
          <w:tcPr>
            <w:tcW w:w="2020" w:type="dxa"/>
            <w:shd w:val="clear" w:color="auto" w:fill="auto"/>
            <w:noWrap/>
            <w:hideMark/>
          </w:tcPr>
          <w:p w:rsidR="00672A76" w:rsidRPr="00672A76" w:rsidRDefault="00672A76" w:rsidP="00672A76">
            <w:pPr>
              <w:jc w:val="right"/>
              <w:rPr>
                <w:sz w:val="22"/>
                <w:szCs w:val="22"/>
                <w:highlight w:val="yellow"/>
              </w:rPr>
            </w:pPr>
            <w:r w:rsidRPr="00672A76">
              <w:rPr>
                <w:sz w:val="22"/>
                <w:szCs w:val="22"/>
              </w:rPr>
              <w:t>    18.0</w:t>
            </w:r>
          </w:p>
        </w:tc>
        <w:tc>
          <w:tcPr>
            <w:tcW w:w="2200" w:type="dxa"/>
            <w:shd w:val="clear" w:color="auto" w:fill="auto"/>
            <w:noWrap/>
            <w:hideMark/>
          </w:tcPr>
          <w:p w:rsidR="00672A76" w:rsidRPr="00672A76" w:rsidRDefault="00672A76" w:rsidP="00672A76">
            <w:pPr>
              <w:jc w:val="right"/>
              <w:rPr>
                <w:sz w:val="22"/>
                <w:szCs w:val="22"/>
                <w:highlight w:val="yellow"/>
              </w:rPr>
            </w:pPr>
            <w:r w:rsidRPr="00672A76">
              <w:rPr>
                <w:sz w:val="22"/>
                <w:szCs w:val="22"/>
              </w:rPr>
              <w:t>0.50%</w:t>
            </w:r>
          </w:p>
        </w:tc>
      </w:tr>
      <w:tr w:rsidR="00672A76" w:rsidRPr="00ED6C0A" w:rsidTr="000E29E0">
        <w:trPr>
          <w:trHeight w:val="255"/>
        </w:trPr>
        <w:tc>
          <w:tcPr>
            <w:tcW w:w="1720" w:type="dxa"/>
            <w:shd w:val="clear" w:color="auto" w:fill="auto"/>
            <w:noWrap/>
            <w:hideMark/>
          </w:tcPr>
          <w:p w:rsidR="00672A76" w:rsidRPr="00672A76" w:rsidRDefault="00672A76" w:rsidP="00672A76">
            <w:pPr>
              <w:jc w:val="both"/>
              <w:rPr>
                <w:b/>
                <w:sz w:val="22"/>
                <w:szCs w:val="22"/>
                <w:highlight w:val="yellow"/>
              </w:rPr>
            </w:pPr>
            <w:r w:rsidRPr="00672A76">
              <w:rPr>
                <w:sz w:val="22"/>
                <w:szCs w:val="22"/>
              </w:rPr>
              <w:t>Vacant</w:t>
            </w:r>
          </w:p>
        </w:tc>
        <w:tc>
          <w:tcPr>
            <w:tcW w:w="2020" w:type="dxa"/>
            <w:shd w:val="clear" w:color="auto" w:fill="auto"/>
            <w:noWrap/>
            <w:hideMark/>
          </w:tcPr>
          <w:p w:rsidR="00672A76" w:rsidRPr="00672A76" w:rsidRDefault="00672A76" w:rsidP="00672A76">
            <w:pPr>
              <w:jc w:val="right"/>
              <w:rPr>
                <w:b/>
                <w:bCs/>
                <w:sz w:val="22"/>
                <w:szCs w:val="22"/>
                <w:highlight w:val="yellow"/>
              </w:rPr>
            </w:pPr>
            <w:r w:rsidRPr="00672A76">
              <w:rPr>
                <w:sz w:val="22"/>
                <w:szCs w:val="22"/>
              </w:rPr>
              <w:t>      0.0</w:t>
            </w:r>
          </w:p>
        </w:tc>
        <w:tc>
          <w:tcPr>
            <w:tcW w:w="2200" w:type="dxa"/>
            <w:shd w:val="clear" w:color="auto" w:fill="auto"/>
            <w:noWrap/>
            <w:hideMark/>
          </w:tcPr>
          <w:p w:rsidR="00672A76" w:rsidRPr="00672A76" w:rsidRDefault="00672A76" w:rsidP="00672A76">
            <w:pPr>
              <w:jc w:val="right"/>
              <w:rPr>
                <w:b/>
                <w:sz w:val="22"/>
                <w:szCs w:val="22"/>
              </w:rPr>
            </w:pPr>
            <w:r w:rsidRPr="00672A76">
              <w:rPr>
                <w:sz w:val="22"/>
                <w:szCs w:val="22"/>
              </w:rPr>
              <w:t>0.00%</w:t>
            </w:r>
          </w:p>
        </w:tc>
      </w:tr>
    </w:tbl>
    <w:p w:rsidR="004154F4" w:rsidRPr="00ED6C0A" w:rsidRDefault="004154F4" w:rsidP="004154F4">
      <w:pPr>
        <w:jc w:val="both"/>
        <w:rPr>
          <w:sz w:val="22"/>
          <w:szCs w:val="22"/>
        </w:rPr>
      </w:pPr>
    </w:p>
    <w:p w:rsidR="004154F4" w:rsidRPr="00ED6C0A" w:rsidRDefault="004154F4" w:rsidP="004154F4">
      <w:pPr>
        <w:rPr>
          <w:sz w:val="22"/>
          <w:szCs w:val="22"/>
        </w:rPr>
      </w:pPr>
      <w:r w:rsidRPr="00ED6C0A">
        <w:rPr>
          <w:sz w:val="22"/>
          <w:szCs w:val="22"/>
        </w:rPr>
        <w:t xml:space="preserve">The major refurbishments </w:t>
      </w:r>
      <w:r w:rsidR="003D4399">
        <w:rPr>
          <w:sz w:val="22"/>
          <w:szCs w:val="22"/>
        </w:rPr>
        <w:t xml:space="preserve">on our third floor, paid by the tenants, </w:t>
      </w:r>
      <w:r w:rsidRPr="00ED6C0A">
        <w:rPr>
          <w:sz w:val="22"/>
          <w:szCs w:val="22"/>
        </w:rPr>
        <w:t>have provided a modern, flexible working environment for both occupants and includes features such as</w:t>
      </w:r>
    </w:p>
    <w:p w:rsidR="004154F4" w:rsidRPr="00ED6C0A" w:rsidRDefault="004154F4" w:rsidP="004273FF">
      <w:pPr>
        <w:numPr>
          <w:ilvl w:val="0"/>
          <w:numId w:val="15"/>
        </w:numPr>
        <w:rPr>
          <w:sz w:val="22"/>
          <w:szCs w:val="22"/>
        </w:rPr>
      </w:pPr>
      <w:r w:rsidRPr="00ED6C0A">
        <w:rPr>
          <w:sz w:val="22"/>
          <w:szCs w:val="22"/>
        </w:rPr>
        <w:t>Staff using laptops and docking stations with no owned desks</w:t>
      </w:r>
    </w:p>
    <w:p w:rsidR="004154F4" w:rsidRPr="00ED6C0A" w:rsidRDefault="004154F4" w:rsidP="004273FF">
      <w:pPr>
        <w:numPr>
          <w:ilvl w:val="0"/>
          <w:numId w:val="15"/>
        </w:numPr>
        <w:rPr>
          <w:sz w:val="22"/>
          <w:szCs w:val="22"/>
        </w:rPr>
      </w:pPr>
      <w:r w:rsidRPr="00ED6C0A">
        <w:rPr>
          <w:sz w:val="22"/>
          <w:szCs w:val="22"/>
        </w:rPr>
        <w:t>Phone software removing the need for desk phones</w:t>
      </w:r>
    </w:p>
    <w:p w:rsidR="004154F4" w:rsidRPr="00ED6C0A" w:rsidRDefault="004154F4" w:rsidP="004273FF">
      <w:pPr>
        <w:numPr>
          <w:ilvl w:val="0"/>
          <w:numId w:val="15"/>
        </w:numPr>
        <w:rPr>
          <w:sz w:val="22"/>
          <w:szCs w:val="22"/>
        </w:rPr>
      </w:pPr>
      <w:r w:rsidRPr="00ED6C0A">
        <w:rPr>
          <w:sz w:val="22"/>
          <w:szCs w:val="22"/>
        </w:rPr>
        <w:lastRenderedPageBreak/>
        <w:t xml:space="preserve">Sit / stand desks, </w:t>
      </w:r>
    </w:p>
    <w:p w:rsidR="004154F4" w:rsidRPr="00ED6C0A" w:rsidRDefault="004154F4" w:rsidP="004273FF">
      <w:pPr>
        <w:numPr>
          <w:ilvl w:val="0"/>
          <w:numId w:val="15"/>
        </w:numPr>
        <w:rPr>
          <w:sz w:val="22"/>
          <w:szCs w:val="22"/>
        </w:rPr>
      </w:pPr>
      <w:r w:rsidRPr="00ED6C0A">
        <w:rPr>
          <w:sz w:val="22"/>
          <w:szCs w:val="22"/>
        </w:rPr>
        <w:t>Flexible conference room facilities</w:t>
      </w:r>
    </w:p>
    <w:p w:rsidR="004154F4" w:rsidRPr="00ED6C0A" w:rsidRDefault="004154F4" w:rsidP="004273FF">
      <w:pPr>
        <w:numPr>
          <w:ilvl w:val="0"/>
          <w:numId w:val="15"/>
        </w:numPr>
        <w:rPr>
          <w:sz w:val="22"/>
          <w:szCs w:val="22"/>
        </w:rPr>
      </w:pPr>
      <w:r w:rsidRPr="00ED6C0A">
        <w:rPr>
          <w:sz w:val="22"/>
          <w:szCs w:val="22"/>
        </w:rPr>
        <w:t>Shared meeting space</w:t>
      </w:r>
    </w:p>
    <w:p w:rsidR="004154F4" w:rsidRPr="00ED6C0A" w:rsidRDefault="004154F4" w:rsidP="004273FF">
      <w:pPr>
        <w:numPr>
          <w:ilvl w:val="0"/>
          <w:numId w:val="15"/>
        </w:numPr>
        <w:rPr>
          <w:sz w:val="22"/>
          <w:szCs w:val="22"/>
        </w:rPr>
      </w:pPr>
      <w:r w:rsidRPr="00ED6C0A">
        <w:rPr>
          <w:sz w:val="22"/>
          <w:szCs w:val="22"/>
        </w:rPr>
        <w:t>Break out areas, study booths, acoustic meeting pods and breakfast bar workspaces</w:t>
      </w:r>
    </w:p>
    <w:p w:rsidR="004154F4" w:rsidRPr="00ED6C0A" w:rsidRDefault="004154F4" w:rsidP="004273FF">
      <w:pPr>
        <w:numPr>
          <w:ilvl w:val="0"/>
          <w:numId w:val="15"/>
        </w:numPr>
        <w:rPr>
          <w:sz w:val="22"/>
          <w:szCs w:val="22"/>
        </w:rPr>
      </w:pPr>
      <w:r w:rsidRPr="00ED6C0A">
        <w:rPr>
          <w:sz w:val="22"/>
          <w:szCs w:val="22"/>
        </w:rPr>
        <w:t>Less desks, paper and storage</w:t>
      </w:r>
    </w:p>
    <w:p w:rsidR="004154F4" w:rsidRDefault="004154F4" w:rsidP="004273FF">
      <w:pPr>
        <w:numPr>
          <w:ilvl w:val="0"/>
          <w:numId w:val="15"/>
        </w:numPr>
        <w:rPr>
          <w:sz w:val="22"/>
          <w:szCs w:val="22"/>
        </w:rPr>
      </w:pPr>
      <w:r w:rsidRPr="00ED6C0A">
        <w:rPr>
          <w:sz w:val="22"/>
          <w:szCs w:val="22"/>
        </w:rPr>
        <w:t>And a telephone box for private / personal calls</w:t>
      </w:r>
    </w:p>
    <w:p w:rsidR="003D4399" w:rsidRDefault="003D4399" w:rsidP="003D4399">
      <w:pPr>
        <w:rPr>
          <w:sz w:val="22"/>
          <w:szCs w:val="22"/>
        </w:rPr>
      </w:pPr>
    </w:p>
    <w:p w:rsidR="003D4399" w:rsidRPr="00ED6C0A" w:rsidRDefault="003D4399" w:rsidP="003D4399">
      <w:pPr>
        <w:rPr>
          <w:sz w:val="22"/>
          <w:szCs w:val="22"/>
        </w:rPr>
      </w:pPr>
      <w:r>
        <w:rPr>
          <w:sz w:val="22"/>
          <w:szCs w:val="22"/>
        </w:rPr>
        <w:t xml:space="preserve">This modern facility is one that </w:t>
      </w:r>
      <w:r w:rsidR="0053512C">
        <w:rPr>
          <w:sz w:val="22"/>
          <w:szCs w:val="22"/>
        </w:rPr>
        <w:t xml:space="preserve">we </w:t>
      </w:r>
      <w:r>
        <w:rPr>
          <w:sz w:val="22"/>
          <w:szCs w:val="22"/>
        </w:rPr>
        <w:t xml:space="preserve">can look to emulate at least in part for our SLAB floors as an aspect of our DANWE project and developing policy. </w:t>
      </w:r>
    </w:p>
    <w:p w:rsidR="004154F4" w:rsidRPr="00ED6C0A" w:rsidRDefault="004154F4" w:rsidP="004154F4">
      <w:pPr>
        <w:jc w:val="both"/>
        <w:rPr>
          <w:sz w:val="22"/>
          <w:szCs w:val="22"/>
        </w:rPr>
      </w:pPr>
    </w:p>
    <w:p w:rsidR="004154F4" w:rsidRPr="00BC2181" w:rsidRDefault="004154F4" w:rsidP="004273FF">
      <w:pPr>
        <w:pStyle w:val="Heading3"/>
        <w:keepNext/>
        <w:numPr>
          <w:ilvl w:val="1"/>
          <w:numId w:val="9"/>
        </w:numPr>
        <w:rPr>
          <w:b/>
          <w:i w:val="0"/>
          <w:sz w:val="22"/>
          <w:szCs w:val="22"/>
        </w:rPr>
      </w:pPr>
      <w:r w:rsidRPr="00BC2181">
        <w:rPr>
          <w:b/>
          <w:i w:val="0"/>
          <w:sz w:val="22"/>
          <w:szCs w:val="22"/>
        </w:rPr>
        <w:t>PDSO Network</w:t>
      </w:r>
    </w:p>
    <w:p w:rsidR="004154F4" w:rsidRPr="00ED6C0A" w:rsidRDefault="004154F4" w:rsidP="004154F4"/>
    <w:p w:rsidR="004154F4" w:rsidRPr="00ED6C0A" w:rsidRDefault="004154F4" w:rsidP="004154F4">
      <w:pPr>
        <w:spacing w:after="120"/>
        <w:jc w:val="both"/>
        <w:rPr>
          <w:sz w:val="22"/>
          <w:szCs w:val="22"/>
        </w:rPr>
      </w:pPr>
      <w:r w:rsidRPr="00ED6C0A">
        <w:rPr>
          <w:sz w:val="22"/>
          <w:szCs w:val="22"/>
        </w:rPr>
        <w:t>The general approach to the provision of property for PDSO has been to lease office accommodation of a standard similar to that utilised by a typical private practice solicitor firm; however following the recent change in Facilities Management responsibilities the existing and any new accommodation should be of a minimum Corporate standard which should be similar in a number of aspects to our main administration office</w:t>
      </w:r>
      <w:r w:rsidR="002608FE">
        <w:rPr>
          <w:sz w:val="22"/>
          <w:szCs w:val="22"/>
        </w:rPr>
        <w:t xml:space="preserve"> at Thistle House</w:t>
      </w:r>
      <w:r w:rsidRPr="00ED6C0A">
        <w:rPr>
          <w:sz w:val="22"/>
          <w:szCs w:val="22"/>
        </w:rPr>
        <w:t xml:space="preserve">. Facilities management introduced a programme of work to bring the offices up to that standard.   </w:t>
      </w:r>
    </w:p>
    <w:p w:rsidR="004154F4" w:rsidRPr="00ED6C0A" w:rsidRDefault="004154F4" w:rsidP="004154F4">
      <w:pPr>
        <w:spacing w:after="120"/>
        <w:jc w:val="both"/>
        <w:rPr>
          <w:sz w:val="22"/>
          <w:szCs w:val="22"/>
        </w:rPr>
      </w:pPr>
      <w:r w:rsidRPr="00ED6C0A">
        <w:rPr>
          <w:sz w:val="22"/>
          <w:szCs w:val="22"/>
        </w:rPr>
        <w:t xml:space="preserve">In identifying new locations and properties when required, we seek to minimise the need to bear costs of refurbishment or reconfiguration; and have generally sought out property with good proximity to the local court.  Our search criteria have generally been driven by the need for cellular accommodation in which to meet clients.  To maintain a degree of flexibility in our operational requirements, </w:t>
      </w:r>
      <w:r w:rsidR="003B17BD">
        <w:rPr>
          <w:sz w:val="22"/>
          <w:szCs w:val="22"/>
        </w:rPr>
        <w:t xml:space="preserve">and meet Scottish Government expectations as set by their Property Team </w:t>
      </w:r>
      <w:r w:rsidRPr="00ED6C0A">
        <w:rPr>
          <w:sz w:val="22"/>
          <w:szCs w:val="22"/>
        </w:rPr>
        <w:t xml:space="preserve">we have generally sought to negotiate leases of </w:t>
      </w:r>
      <w:r w:rsidR="003B17BD">
        <w:rPr>
          <w:sz w:val="22"/>
          <w:szCs w:val="22"/>
        </w:rPr>
        <w:t>ten</w:t>
      </w:r>
      <w:r w:rsidRPr="00ED6C0A">
        <w:rPr>
          <w:sz w:val="22"/>
          <w:szCs w:val="22"/>
        </w:rPr>
        <w:t xml:space="preserve"> years, with a break point at year </w:t>
      </w:r>
      <w:r w:rsidR="003B17BD">
        <w:rPr>
          <w:sz w:val="22"/>
          <w:szCs w:val="22"/>
        </w:rPr>
        <w:t>five</w:t>
      </w:r>
      <w:r w:rsidRPr="00ED6C0A">
        <w:rPr>
          <w:sz w:val="22"/>
          <w:szCs w:val="22"/>
        </w:rPr>
        <w:t>.</w:t>
      </w:r>
    </w:p>
    <w:p w:rsidR="004154F4" w:rsidRPr="00ED6C0A" w:rsidRDefault="004154F4" w:rsidP="004154F4">
      <w:pPr>
        <w:jc w:val="both"/>
        <w:rPr>
          <w:sz w:val="22"/>
          <w:szCs w:val="22"/>
        </w:rPr>
      </w:pPr>
      <w:r w:rsidRPr="00ED6C0A">
        <w:rPr>
          <w:sz w:val="22"/>
          <w:szCs w:val="22"/>
        </w:rPr>
        <w:t>The office in Saltmarket, Glasgow ha</w:t>
      </w:r>
      <w:r w:rsidR="003B17BD">
        <w:rPr>
          <w:sz w:val="22"/>
          <w:szCs w:val="22"/>
        </w:rPr>
        <w:t>d historically</w:t>
      </w:r>
      <w:r w:rsidRPr="00ED6C0A">
        <w:rPr>
          <w:sz w:val="22"/>
          <w:szCs w:val="22"/>
        </w:rPr>
        <w:t xml:space="preserve"> provided a remote base for a small number of SLAB administrative staff</w:t>
      </w:r>
      <w:r w:rsidR="003B17BD">
        <w:rPr>
          <w:sz w:val="22"/>
          <w:szCs w:val="22"/>
        </w:rPr>
        <w:t>; however d</w:t>
      </w:r>
      <w:r w:rsidRPr="00ED6C0A">
        <w:rPr>
          <w:sz w:val="22"/>
          <w:szCs w:val="22"/>
        </w:rPr>
        <w:t xml:space="preserve">ue to space pressure this is </w:t>
      </w:r>
      <w:r w:rsidR="003B17BD">
        <w:rPr>
          <w:sz w:val="22"/>
          <w:szCs w:val="22"/>
        </w:rPr>
        <w:t>no longer an option.</w:t>
      </w:r>
    </w:p>
    <w:p w:rsidR="004154F4" w:rsidRPr="00ED6C0A" w:rsidRDefault="004154F4" w:rsidP="004154F4">
      <w:pPr>
        <w:jc w:val="both"/>
        <w:rPr>
          <w:strike/>
          <w:sz w:val="22"/>
          <w:szCs w:val="22"/>
        </w:rPr>
      </w:pPr>
    </w:p>
    <w:p w:rsidR="004154F4" w:rsidRPr="00ED6C0A" w:rsidRDefault="004154F4" w:rsidP="004154F4">
      <w:pPr>
        <w:jc w:val="both"/>
        <w:rPr>
          <w:sz w:val="22"/>
          <w:szCs w:val="22"/>
        </w:rPr>
      </w:pPr>
      <w:r w:rsidRPr="00ED6C0A">
        <w:rPr>
          <w:sz w:val="22"/>
          <w:szCs w:val="22"/>
        </w:rPr>
        <w:t>We are currently reviewing all of our PDSO properties in terms of longer term suitability, and if there is a need to source and secure appropriate premises in relation to growth or location expansion, we would review the identified needs against current property holdings, with a view to seeking to maximise space utilisation in current premises at least until a convenient lease break or expiry. This would include the option to utilise existing CLAO offices</w:t>
      </w:r>
      <w:r w:rsidR="003B17BD">
        <w:rPr>
          <w:sz w:val="22"/>
          <w:szCs w:val="22"/>
        </w:rPr>
        <w:t xml:space="preserve"> including Aberdeen to provide </w:t>
      </w:r>
      <w:r w:rsidR="00F365BD">
        <w:rPr>
          <w:sz w:val="22"/>
          <w:szCs w:val="22"/>
        </w:rPr>
        <w:t>accommodation</w:t>
      </w:r>
      <w:r w:rsidR="003B17BD">
        <w:rPr>
          <w:sz w:val="22"/>
          <w:szCs w:val="22"/>
        </w:rPr>
        <w:t>.</w:t>
      </w:r>
      <w:r w:rsidRPr="00ED6C0A">
        <w:rPr>
          <w:sz w:val="22"/>
          <w:szCs w:val="22"/>
        </w:rPr>
        <w:t xml:space="preserve">  If these premises did not have scope for expanded occupation, we would seek to ensure best value from any alternatives, including identifying opportunities to rent premises nearby, or investigating opportunities that landlords may have to swap premises. In respect of new locations we would initially discuss the option of available Scottish Government premises and their suitability before commencing a search for commercial premises.</w:t>
      </w:r>
    </w:p>
    <w:p w:rsidR="004154F4" w:rsidRPr="00ED6C0A" w:rsidRDefault="004154F4" w:rsidP="004154F4">
      <w:pPr>
        <w:jc w:val="both"/>
        <w:rPr>
          <w:sz w:val="22"/>
          <w:szCs w:val="22"/>
        </w:rPr>
      </w:pPr>
    </w:p>
    <w:p w:rsidR="005C7132" w:rsidRDefault="004154F4" w:rsidP="004154F4">
      <w:pPr>
        <w:jc w:val="both"/>
        <w:rPr>
          <w:sz w:val="22"/>
          <w:szCs w:val="22"/>
        </w:rPr>
      </w:pPr>
      <w:r w:rsidRPr="00ED6C0A">
        <w:rPr>
          <w:sz w:val="22"/>
          <w:szCs w:val="22"/>
        </w:rPr>
        <w:t>PDSO Edinburgh business case</w:t>
      </w:r>
      <w:r w:rsidR="00DC0D0F">
        <w:rPr>
          <w:sz w:val="22"/>
          <w:szCs w:val="22"/>
        </w:rPr>
        <w:t xml:space="preserve"> to relocate </w:t>
      </w:r>
      <w:r w:rsidR="005C7132">
        <w:rPr>
          <w:sz w:val="22"/>
          <w:szCs w:val="22"/>
        </w:rPr>
        <w:t xml:space="preserve">to York Place was successful and following negotiations on heads of terms, relocation was completed and dilapidations agreed on the former premises. </w:t>
      </w:r>
      <w:r w:rsidR="00DC0D0F">
        <w:rPr>
          <w:sz w:val="22"/>
          <w:szCs w:val="22"/>
        </w:rPr>
        <w:t>This also allow</w:t>
      </w:r>
      <w:r w:rsidR="005C7132">
        <w:rPr>
          <w:sz w:val="22"/>
          <w:szCs w:val="22"/>
        </w:rPr>
        <w:t>ed</w:t>
      </w:r>
      <w:r w:rsidR="00DC0D0F">
        <w:rPr>
          <w:sz w:val="22"/>
          <w:szCs w:val="22"/>
        </w:rPr>
        <w:t xml:space="preserve"> for moving the SCL which was part of the overall business case along with bringing in a new tenant to Thistle House to fill the vacated space by SCL moving</w:t>
      </w:r>
      <w:r w:rsidR="005C7132">
        <w:rPr>
          <w:sz w:val="22"/>
          <w:szCs w:val="22"/>
        </w:rPr>
        <w:t>; however SCL due to changes resulting from the pandemic no longer require the space in York Place</w:t>
      </w:r>
      <w:r w:rsidR="00DC0D0F">
        <w:rPr>
          <w:sz w:val="22"/>
          <w:szCs w:val="22"/>
        </w:rPr>
        <w:t>.</w:t>
      </w:r>
      <w:r w:rsidR="005C7132">
        <w:rPr>
          <w:sz w:val="22"/>
          <w:szCs w:val="22"/>
        </w:rPr>
        <w:t xml:space="preserve"> The SCL space in Thistle House has however been let out to a new tenant. </w:t>
      </w:r>
      <w:r w:rsidRPr="00ED6C0A">
        <w:rPr>
          <w:sz w:val="22"/>
          <w:szCs w:val="22"/>
        </w:rPr>
        <w:t xml:space="preserve">PDSO and CLAO Inverness </w:t>
      </w:r>
      <w:r w:rsidR="005C7132">
        <w:rPr>
          <w:sz w:val="22"/>
          <w:szCs w:val="22"/>
        </w:rPr>
        <w:t>also vacated their individual premises and have moved to a joint location and this is the potential benchmark for the future where PDSO and CLAO are both located in a city.</w:t>
      </w:r>
    </w:p>
    <w:p w:rsidR="004154F4" w:rsidRDefault="004154F4" w:rsidP="004154F4">
      <w:pPr>
        <w:jc w:val="both"/>
        <w:rPr>
          <w:sz w:val="22"/>
          <w:szCs w:val="22"/>
        </w:rPr>
      </w:pPr>
      <w:r w:rsidRPr="00ED6C0A">
        <w:rPr>
          <w:sz w:val="22"/>
          <w:szCs w:val="22"/>
        </w:rPr>
        <w:t xml:space="preserve">    </w:t>
      </w:r>
    </w:p>
    <w:p w:rsidR="004154F4" w:rsidRPr="00ED6C0A" w:rsidRDefault="004154F4" w:rsidP="004154F4">
      <w:pPr>
        <w:jc w:val="both"/>
        <w:rPr>
          <w:sz w:val="22"/>
          <w:szCs w:val="22"/>
        </w:rPr>
      </w:pPr>
    </w:p>
    <w:p w:rsidR="004154F4" w:rsidRPr="00BC2181" w:rsidRDefault="004154F4" w:rsidP="004273FF">
      <w:pPr>
        <w:pStyle w:val="Heading3"/>
        <w:keepNext/>
        <w:numPr>
          <w:ilvl w:val="1"/>
          <w:numId w:val="9"/>
        </w:numPr>
        <w:rPr>
          <w:b/>
          <w:i w:val="0"/>
          <w:sz w:val="22"/>
          <w:szCs w:val="22"/>
        </w:rPr>
      </w:pPr>
      <w:r w:rsidRPr="00BC2181">
        <w:rPr>
          <w:b/>
          <w:i w:val="0"/>
          <w:sz w:val="22"/>
          <w:szCs w:val="22"/>
        </w:rPr>
        <w:t>CLAO Network</w:t>
      </w:r>
    </w:p>
    <w:p w:rsidR="004154F4" w:rsidRPr="00ED6C0A" w:rsidRDefault="004154F4" w:rsidP="004154F4"/>
    <w:p w:rsidR="004154F4" w:rsidRPr="00ED6C0A" w:rsidRDefault="004154F4" w:rsidP="004154F4">
      <w:pPr>
        <w:jc w:val="both"/>
        <w:rPr>
          <w:sz w:val="22"/>
          <w:szCs w:val="22"/>
        </w:rPr>
      </w:pPr>
      <w:r w:rsidRPr="00ED6C0A">
        <w:rPr>
          <w:sz w:val="22"/>
          <w:szCs w:val="22"/>
        </w:rPr>
        <w:t xml:space="preserve">The general approach to the provision of property for CLAO is almost identical to that for PDSO, i.e. to lease office accommodation of a standard as aforementioned, minimising the need to bear costs of refurbishment or reconfiguration; good proximity to the local court and cellular accommodation in which to meet clients.  Again CLAO leases are generally </w:t>
      </w:r>
      <w:r w:rsidR="0036383A">
        <w:rPr>
          <w:sz w:val="22"/>
          <w:szCs w:val="22"/>
        </w:rPr>
        <w:t>ten</w:t>
      </w:r>
      <w:r w:rsidRPr="00ED6C0A">
        <w:rPr>
          <w:sz w:val="22"/>
          <w:szCs w:val="22"/>
        </w:rPr>
        <w:t xml:space="preserve"> years in length with a </w:t>
      </w:r>
      <w:r w:rsidR="0036383A">
        <w:rPr>
          <w:sz w:val="22"/>
          <w:szCs w:val="22"/>
        </w:rPr>
        <w:t>five</w:t>
      </w:r>
      <w:r w:rsidRPr="00ED6C0A">
        <w:rPr>
          <w:sz w:val="22"/>
          <w:szCs w:val="22"/>
        </w:rPr>
        <w:t xml:space="preserve"> year break point.</w:t>
      </w:r>
    </w:p>
    <w:p w:rsidR="004154F4" w:rsidRPr="00ED6C0A" w:rsidRDefault="004154F4" w:rsidP="004154F4">
      <w:pPr>
        <w:jc w:val="both"/>
        <w:rPr>
          <w:sz w:val="22"/>
          <w:szCs w:val="22"/>
        </w:rPr>
      </w:pPr>
      <w:r w:rsidRPr="00ED6C0A">
        <w:rPr>
          <w:sz w:val="22"/>
          <w:szCs w:val="22"/>
        </w:rPr>
        <w:lastRenderedPageBreak/>
        <w:t>Similar to PDSO we are undertaking a review of our CLAO property portfolio to establish longer term suitability.</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The Edinburgh office is located in Thistle House and is covered by a MOTU agreement. This not only provides the benefit of on-site corporate support but an overall reduction in external costs when compared to the previous private let.</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b/>
          <w:sz w:val="22"/>
          <w:szCs w:val="22"/>
        </w:rPr>
        <w:t>Applying to both networks</w:t>
      </w:r>
      <w:r w:rsidRPr="00ED6C0A">
        <w:rPr>
          <w:sz w:val="22"/>
          <w:szCs w:val="22"/>
        </w:rPr>
        <w:t xml:space="preserve"> - Following the changes </w:t>
      </w:r>
      <w:r w:rsidR="0036383A">
        <w:rPr>
          <w:sz w:val="22"/>
          <w:szCs w:val="22"/>
        </w:rPr>
        <w:t xml:space="preserve">made </w:t>
      </w:r>
      <w:r w:rsidRPr="00ED6C0A">
        <w:rPr>
          <w:sz w:val="22"/>
          <w:szCs w:val="22"/>
        </w:rPr>
        <w:t>in responsibility for facilities management of all properties</w:t>
      </w:r>
      <w:r w:rsidR="0036383A">
        <w:rPr>
          <w:sz w:val="22"/>
          <w:szCs w:val="22"/>
        </w:rPr>
        <w:t xml:space="preserve"> a number of years ago</w:t>
      </w:r>
      <w:r w:rsidRPr="00ED6C0A">
        <w:rPr>
          <w:sz w:val="22"/>
          <w:szCs w:val="22"/>
        </w:rPr>
        <w:t>, all future lease breaks are now managed by the Director of Corporate Services and Accounts and the Facilities Manager, in consultation with the Executive Team for both PDSO and CLAO.</w:t>
      </w:r>
    </w:p>
    <w:p w:rsidR="004154F4" w:rsidRPr="00ED6C0A" w:rsidRDefault="004154F4" w:rsidP="004154F4">
      <w:pPr>
        <w:jc w:val="both"/>
        <w:rPr>
          <w:sz w:val="22"/>
          <w:szCs w:val="22"/>
        </w:rPr>
      </w:pPr>
    </w:p>
    <w:p w:rsidR="004154F4" w:rsidRPr="00BC2181" w:rsidRDefault="004154F4" w:rsidP="004273FF">
      <w:pPr>
        <w:pStyle w:val="Heading3"/>
        <w:keepNext/>
        <w:numPr>
          <w:ilvl w:val="1"/>
          <w:numId w:val="9"/>
        </w:numPr>
        <w:rPr>
          <w:b/>
          <w:i w:val="0"/>
          <w:sz w:val="22"/>
          <w:szCs w:val="22"/>
        </w:rPr>
      </w:pPr>
      <w:r w:rsidRPr="00BC2181">
        <w:rPr>
          <w:b/>
          <w:i w:val="0"/>
          <w:sz w:val="22"/>
          <w:szCs w:val="22"/>
        </w:rPr>
        <w:t>Property Maintenance</w:t>
      </w:r>
    </w:p>
    <w:p w:rsidR="004154F4" w:rsidRPr="00ED6C0A" w:rsidRDefault="004154F4" w:rsidP="004154F4"/>
    <w:p w:rsidR="004154F4" w:rsidRPr="00ED6C0A" w:rsidRDefault="004154F4" w:rsidP="004154F4">
      <w:pPr>
        <w:jc w:val="both"/>
        <w:rPr>
          <w:sz w:val="22"/>
          <w:szCs w:val="22"/>
        </w:rPr>
      </w:pPr>
      <w:r w:rsidRPr="00ED6C0A">
        <w:rPr>
          <w:sz w:val="22"/>
          <w:szCs w:val="22"/>
        </w:rPr>
        <w:t>SLAB seeks to ensure all of the offices are adequately maintained.  SLAB has a rolling planned programme of maintenance and redecoration to:</w:t>
      </w:r>
    </w:p>
    <w:p w:rsidR="004154F4" w:rsidRPr="00ED6C0A" w:rsidRDefault="004154F4" w:rsidP="004154F4">
      <w:pPr>
        <w:jc w:val="both"/>
        <w:rPr>
          <w:sz w:val="22"/>
          <w:szCs w:val="22"/>
        </w:rPr>
      </w:pPr>
    </w:p>
    <w:p w:rsidR="004154F4" w:rsidRPr="00ED6C0A" w:rsidRDefault="004154F4" w:rsidP="004273FF">
      <w:pPr>
        <w:numPr>
          <w:ilvl w:val="0"/>
          <w:numId w:val="10"/>
        </w:numPr>
        <w:tabs>
          <w:tab w:val="clear" w:pos="720"/>
          <w:tab w:val="num" w:pos="360"/>
        </w:tabs>
        <w:ind w:left="357" w:hanging="357"/>
        <w:jc w:val="both"/>
        <w:rPr>
          <w:sz w:val="22"/>
          <w:szCs w:val="22"/>
        </w:rPr>
      </w:pPr>
      <w:r w:rsidRPr="00ED6C0A">
        <w:rPr>
          <w:sz w:val="22"/>
          <w:szCs w:val="22"/>
        </w:rPr>
        <w:t>meet the needs of the properties;</w:t>
      </w:r>
    </w:p>
    <w:p w:rsidR="004154F4" w:rsidRPr="00ED6C0A" w:rsidRDefault="004154F4" w:rsidP="004273FF">
      <w:pPr>
        <w:numPr>
          <w:ilvl w:val="0"/>
          <w:numId w:val="10"/>
        </w:numPr>
        <w:tabs>
          <w:tab w:val="clear" w:pos="720"/>
          <w:tab w:val="num" w:pos="360"/>
        </w:tabs>
        <w:ind w:left="357" w:hanging="357"/>
        <w:jc w:val="both"/>
        <w:rPr>
          <w:sz w:val="22"/>
          <w:szCs w:val="22"/>
        </w:rPr>
      </w:pPr>
      <w:r w:rsidRPr="00ED6C0A">
        <w:rPr>
          <w:sz w:val="22"/>
          <w:szCs w:val="22"/>
        </w:rPr>
        <w:t>fulfil all lease requirements;</w:t>
      </w:r>
    </w:p>
    <w:p w:rsidR="004154F4" w:rsidRPr="00ED6C0A" w:rsidRDefault="004154F4" w:rsidP="004273FF">
      <w:pPr>
        <w:numPr>
          <w:ilvl w:val="0"/>
          <w:numId w:val="10"/>
        </w:numPr>
        <w:tabs>
          <w:tab w:val="clear" w:pos="720"/>
          <w:tab w:val="num" w:pos="360"/>
        </w:tabs>
        <w:ind w:left="357" w:hanging="357"/>
        <w:jc w:val="both"/>
        <w:rPr>
          <w:sz w:val="22"/>
          <w:szCs w:val="22"/>
        </w:rPr>
      </w:pPr>
      <w:r w:rsidRPr="00ED6C0A">
        <w:rPr>
          <w:sz w:val="22"/>
          <w:szCs w:val="22"/>
        </w:rPr>
        <w:t>meet all Health and Safety and other statutory requirements; and</w:t>
      </w:r>
    </w:p>
    <w:p w:rsidR="004154F4" w:rsidRPr="00ED6C0A" w:rsidRDefault="004154F4" w:rsidP="004273FF">
      <w:pPr>
        <w:numPr>
          <w:ilvl w:val="0"/>
          <w:numId w:val="10"/>
        </w:numPr>
        <w:tabs>
          <w:tab w:val="clear" w:pos="720"/>
          <w:tab w:val="num" w:pos="360"/>
        </w:tabs>
        <w:ind w:left="357" w:hanging="357"/>
        <w:jc w:val="both"/>
        <w:rPr>
          <w:sz w:val="22"/>
          <w:szCs w:val="22"/>
        </w:rPr>
      </w:pPr>
      <w:r w:rsidRPr="00ED6C0A">
        <w:rPr>
          <w:sz w:val="22"/>
          <w:szCs w:val="22"/>
        </w:rPr>
        <w:t>avoid the need for extensive refurbishment at the expiry of the lease.</w:t>
      </w:r>
    </w:p>
    <w:p w:rsidR="004154F4" w:rsidRPr="00ED6C0A" w:rsidRDefault="004154F4" w:rsidP="004154F4">
      <w:pPr>
        <w:ind w:left="357"/>
        <w:jc w:val="both"/>
        <w:rPr>
          <w:sz w:val="22"/>
          <w:szCs w:val="22"/>
        </w:rPr>
      </w:pPr>
    </w:p>
    <w:p w:rsidR="000865F1" w:rsidRPr="000865F1" w:rsidRDefault="000865F1" w:rsidP="000865F1">
      <w:pPr>
        <w:spacing w:before="120" w:after="120"/>
        <w:jc w:val="both"/>
        <w:rPr>
          <w:sz w:val="22"/>
          <w:szCs w:val="22"/>
        </w:rPr>
      </w:pPr>
      <w:r w:rsidRPr="000865F1">
        <w:rPr>
          <w:sz w:val="22"/>
          <w:szCs w:val="22"/>
        </w:rPr>
        <w:t xml:space="preserve">In relation to </w:t>
      </w:r>
      <w:proofErr w:type="spellStart"/>
      <w:r w:rsidRPr="000865F1">
        <w:rPr>
          <w:sz w:val="22"/>
          <w:szCs w:val="22"/>
        </w:rPr>
        <w:t>covid</w:t>
      </w:r>
      <w:proofErr w:type="spellEnd"/>
      <w:r w:rsidRPr="000865F1">
        <w:rPr>
          <w:sz w:val="22"/>
          <w:szCs w:val="22"/>
        </w:rPr>
        <w:t xml:space="preserve"> and the maintenance of the offices, the rolling programme of maintenance slipped in the remote offices as they were closed for a large part of the year, </w:t>
      </w:r>
      <w:r w:rsidR="006A61DC">
        <w:rPr>
          <w:sz w:val="22"/>
          <w:szCs w:val="22"/>
        </w:rPr>
        <w:t xml:space="preserve">but </w:t>
      </w:r>
      <w:r w:rsidRPr="000865F1">
        <w:rPr>
          <w:sz w:val="22"/>
          <w:szCs w:val="22"/>
        </w:rPr>
        <w:t xml:space="preserve">these have been picked up as the offices began to re-open.  </w:t>
      </w:r>
    </w:p>
    <w:p w:rsidR="000865F1" w:rsidRPr="009B74BE" w:rsidRDefault="000865F1" w:rsidP="000865F1">
      <w:pPr>
        <w:spacing w:before="120" w:after="120"/>
        <w:jc w:val="both"/>
        <w:rPr>
          <w:sz w:val="22"/>
          <w:szCs w:val="22"/>
        </w:rPr>
      </w:pPr>
      <w:r w:rsidRPr="000865F1">
        <w:rPr>
          <w:sz w:val="22"/>
          <w:szCs w:val="22"/>
        </w:rPr>
        <w:t xml:space="preserve">In </w:t>
      </w:r>
      <w:r w:rsidRPr="009B74BE">
        <w:rPr>
          <w:sz w:val="22"/>
          <w:szCs w:val="22"/>
        </w:rPr>
        <w:t xml:space="preserve">Thistle House, there was a programme of work planned and Facilities took advantage of the fact staff weren’t in to get up to date with maintenance / decoration etc.  </w:t>
      </w:r>
    </w:p>
    <w:p w:rsidR="000865F1" w:rsidRPr="009B74BE" w:rsidRDefault="00672A76" w:rsidP="000865F1">
      <w:pPr>
        <w:spacing w:before="120" w:after="120"/>
        <w:jc w:val="both"/>
        <w:rPr>
          <w:b/>
          <w:bCs/>
          <w:sz w:val="22"/>
          <w:szCs w:val="22"/>
        </w:rPr>
      </w:pPr>
      <w:r w:rsidRPr="009B74BE">
        <w:rPr>
          <w:sz w:val="22"/>
          <w:szCs w:val="22"/>
        </w:rPr>
        <w:t xml:space="preserve">Internal Audit conducted a review of Health &amp; Safety Management as part of their </w:t>
      </w:r>
      <w:r w:rsidR="00172A06">
        <w:rPr>
          <w:sz w:val="22"/>
          <w:szCs w:val="22"/>
        </w:rPr>
        <w:t>21/22</w:t>
      </w:r>
      <w:r w:rsidR="00172A06" w:rsidRPr="009B74BE">
        <w:rPr>
          <w:sz w:val="22"/>
          <w:szCs w:val="22"/>
        </w:rPr>
        <w:t xml:space="preserve"> </w:t>
      </w:r>
      <w:r w:rsidRPr="009B74BE">
        <w:rPr>
          <w:sz w:val="22"/>
          <w:szCs w:val="22"/>
        </w:rPr>
        <w:t xml:space="preserve">Internal Audit Activity Plan. </w:t>
      </w:r>
      <w:r w:rsidR="000865F1" w:rsidRPr="009B74BE">
        <w:rPr>
          <w:sz w:val="22"/>
          <w:szCs w:val="22"/>
        </w:rPr>
        <w:t xml:space="preserve">Overall for annual assurance purposes, the internal controls governing H&amp;S and Covid-19 Changes to Working Practice are </w:t>
      </w:r>
      <w:r w:rsidRPr="009B74BE">
        <w:rPr>
          <w:sz w:val="22"/>
          <w:szCs w:val="22"/>
        </w:rPr>
        <w:t>satisfactory.</w:t>
      </w:r>
    </w:p>
    <w:p w:rsidR="000865F1" w:rsidRPr="009B74BE" w:rsidRDefault="000865F1" w:rsidP="004154F4">
      <w:pPr>
        <w:jc w:val="both"/>
        <w:rPr>
          <w:sz w:val="22"/>
          <w:szCs w:val="22"/>
        </w:rPr>
      </w:pPr>
    </w:p>
    <w:p w:rsidR="004154F4" w:rsidRPr="009B74BE" w:rsidRDefault="004154F4" w:rsidP="004273FF">
      <w:pPr>
        <w:pStyle w:val="Heading3"/>
        <w:keepNext/>
        <w:numPr>
          <w:ilvl w:val="1"/>
          <w:numId w:val="9"/>
        </w:numPr>
        <w:rPr>
          <w:b/>
          <w:i w:val="0"/>
          <w:sz w:val="22"/>
          <w:szCs w:val="22"/>
        </w:rPr>
      </w:pPr>
      <w:r w:rsidRPr="009B74BE">
        <w:rPr>
          <w:b/>
          <w:i w:val="0"/>
          <w:sz w:val="22"/>
          <w:szCs w:val="22"/>
        </w:rPr>
        <w:t>Sustainability</w:t>
      </w:r>
    </w:p>
    <w:p w:rsidR="004154F4" w:rsidRPr="009B74BE" w:rsidRDefault="004154F4" w:rsidP="004154F4"/>
    <w:p w:rsidR="004154F4" w:rsidRPr="003B17BD" w:rsidRDefault="004154F4" w:rsidP="004154F4">
      <w:pPr>
        <w:jc w:val="both"/>
        <w:rPr>
          <w:sz w:val="22"/>
          <w:szCs w:val="22"/>
          <w:highlight w:val="yellow"/>
        </w:rPr>
      </w:pPr>
      <w:r w:rsidRPr="009B74BE">
        <w:rPr>
          <w:sz w:val="22"/>
          <w:szCs w:val="22"/>
        </w:rPr>
        <w:t>SLAB has a Carbon Management Plan which targets its asset use. This plan was produced in conjunction with the Carbon Trust, Resource Efficient Scotland, Keep Scotland Beautiful and the Sustainable Scotland Network</w:t>
      </w:r>
      <w:r w:rsidRPr="009000D7">
        <w:rPr>
          <w:sz w:val="22"/>
          <w:szCs w:val="22"/>
        </w:rPr>
        <w:t xml:space="preserve">. In November 2016 the Board approved the new Carbon Management Plan that sets out how we aim to meet reductions in SLAB’s carbon emissions by </w:t>
      </w:r>
      <w:r w:rsidR="009000D7">
        <w:rPr>
          <w:sz w:val="22"/>
          <w:szCs w:val="22"/>
        </w:rPr>
        <w:t xml:space="preserve">the end of </w:t>
      </w:r>
      <w:r w:rsidRPr="009000D7">
        <w:rPr>
          <w:sz w:val="22"/>
          <w:szCs w:val="22"/>
        </w:rPr>
        <w:t xml:space="preserve">2022. </w:t>
      </w:r>
    </w:p>
    <w:p w:rsidR="004154F4" w:rsidRPr="003B17BD" w:rsidRDefault="004154F4" w:rsidP="004154F4">
      <w:pPr>
        <w:jc w:val="both"/>
        <w:rPr>
          <w:sz w:val="22"/>
          <w:szCs w:val="22"/>
          <w:highlight w:val="yellow"/>
        </w:rPr>
      </w:pPr>
    </w:p>
    <w:p w:rsidR="004154F4" w:rsidRPr="009000D7" w:rsidRDefault="004154F4" w:rsidP="004154F4">
      <w:pPr>
        <w:jc w:val="both"/>
        <w:rPr>
          <w:sz w:val="22"/>
          <w:szCs w:val="22"/>
        </w:rPr>
      </w:pPr>
      <w:r w:rsidRPr="009000D7">
        <w:rPr>
          <w:sz w:val="22"/>
          <w:szCs w:val="22"/>
        </w:rPr>
        <w:t>Specifically, the plan cites SLAB’s aims as to:</w:t>
      </w:r>
    </w:p>
    <w:p w:rsidR="004154F4" w:rsidRPr="009000D7" w:rsidRDefault="004154F4" w:rsidP="004154F4">
      <w:pPr>
        <w:jc w:val="both"/>
        <w:rPr>
          <w:sz w:val="22"/>
          <w:szCs w:val="22"/>
        </w:rPr>
      </w:pPr>
    </w:p>
    <w:p w:rsidR="004154F4" w:rsidRPr="009000D7" w:rsidRDefault="004154F4" w:rsidP="004273FF">
      <w:pPr>
        <w:numPr>
          <w:ilvl w:val="0"/>
          <w:numId w:val="14"/>
        </w:numPr>
        <w:contextualSpacing/>
        <w:jc w:val="both"/>
        <w:rPr>
          <w:sz w:val="22"/>
          <w:szCs w:val="22"/>
        </w:rPr>
      </w:pPr>
      <w:r w:rsidRPr="009000D7">
        <w:rPr>
          <w:sz w:val="22"/>
          <w:szCs w:val="22"/>
        </w:rPr>
        <w:t>Continually improve the energy efficiency of our premises, so as to reduce both energy consumption and emissions.</w:t>
      </w:r>
    </w:p>
    <w:p w:rsidR="004154F4" w:rsidRPr="009000D7" w:rsidRDefault="004154F4" w:rsidP="004273FF">
      <w:pPr>
        <w:numPr>
          <w:ilvl w:val="0"/>
          <w:numId w:val="14"/>
        </w:numPr>
        <w:contextualSpacing/>
        <w:jc w:val="both"/>
        <w:rPr>
          <w:sz w:val="22"/>
          <w:szCs w:val="22"/>
        </w:rPr>
      </w:pPr>
      <w:r w:rsidRPr="009000D7">
        <w:rPr>
          <w:sz w:val="22"/>
          <w:szCs w:val="22"/>
        </w:rPr>
        <w:t>Focus on waste minimisation by introducing techniques to recover and re-use office materials.</w:t>
      </w:r>
    </w:p>
    <w:p w:rsidR="004154F4" w:rsidRPr="009000D7" w:rsidRDefault="004154F4" w:rsidP="004273FF">
      <w:pPr>
        <w:numPr>
          <w:ilvl w:val="0"/>
          <w:numId w:val="14"/>
        </w:numPr>
        <w:contextualSpacing/>
        <w:jc w:val="both"/>
        <w:rPr>
          <w:sz w:val="22"/>
          <w:szCs w:val="22"/>
        </w:rPr>
      </w:pPr>
      <w:r w:rsidRPr="009000D7">
        <w:rPr>
          <w:sz w:val="22"/>
          <w:szCs w:val="22"/>
        </w:rPr>
        <w:t>Work with suppliers to eliminate packaging, materials and components which generate waste.</w:t>
      </w:r>
    </w:p>
    <w:p w:rsidR="004154F4" w:rsidRPr="009000D7" w:rsidRDefault="004154F4" w:rsidP="004273FF">
      <w:pPr>
        <w:numPr>
          <w:ilvl w:val="0"/>
          <w:numId w:val="14"/>
        </w:numPr>
        <w:contextualSpacing/>
        <w:jc w:val="both"/>
        <w:rPr>
          <w:sz w:val="22"/>
          <w:szCs w:val="22"/>
        </w:rPr>
      </w:pPr>
      <w:r w:rsidRPr="009000D7">
        <w:rPr>
          <w:sz w:val="22"/>
          <w:szCs w:val="22"/>
        </w:rPr>
        <w:t>Manage the disposal of waste to minimise environmental harm.</w:t>
      </w:r>
    </w:p>
    <w:p w:rsidR="004154F4" w:rsidRPr="009000D7" w:rsidRDefault="004154F4" w:rsidP="004273FF">
      <w:pPr>
        <w:numPr>
          <w:ilvl w:val="0"/>
          <w:numId w:val="14"/>
        </w:numPr>
        <w:contextualSpacing/>
        <w:jc w:val="both"/>
        <w:rPr>
          <w:sz w:val="22"/>
          <w:szCs w:val="22"/>
        </w:rPr>
      </w:pPr>
      <w:r w:rsidRPr="009000D7">
        <w:rPr>
          <w:sz w:val="22"/>
          <w:szCs w:val="22"/>
        </w:rPr>
        <w:t>Inform and educate all our employees on environmental issues relevant to SLAB.</w:t>
      </w:r>
    </w:p>
    <w:p w:rsidR="004154F4" w:rsidRPr="009000D7" w:rsidRDefault="004154F4" w:rsidP="004273FF">
      <w:pPr>
        <w:numPr>
          <w:ilvl w:val="0"/>
          <w:numId w:val="14"/>
        </w:numPr>
        <w:contextualSpacing/>
        <w:jc w:val="both"/>
        <w:rPr>
          <w:sz w:val="22"/>
          <w:szCs w:val="22"/>
        </w:rPr>
      </w:pPr>
      <w:r w:rsidRPr="009000D7">
        <w:rPr>
          <w:sz w:val="22"/>
          <w:szCs w:val="22"/>
        </w:rPr>
        <w:t>Continually improve our environmental standards, by setting objectives and targets and reviewing them annually.</w:t>
      </w:r>
    </w:p>
    <w:p w:rsidR="004154F4" w:rsidRPr="009000D7" w:rsidRDefault="004154F4" w:rsidP="004273FF">
      <w:pPr>
        <w:numPr>
          <w:ilvl w:val="0"/>
          <w:numId w:val="14"/>
        </w:numPr>
        <w:contextualSpacing/>
        <w:jc w:val="both"/>
        <w:rPr>
          <w:sz w:val="22"/>
          <w:szCs w:val="22"/>
        </w:rPr>
      </w:pPr>
      <w:r w:rsidRPr="009000D7">
        <w:rPr>
          <w:sz w:val="22"/>
          <w:szCs w:val="22"/>
        </w:rPr>
        <w:t>Allocate environmental responsibility at Director and Management level.</w:t>
      </w:r>
    </w:p>
    <w:p w:rsidR="004154F4" w:rsidRPr="003B17BD" w:rsidRDefault="004154F4" w:rsidP="004154F4">
      <w:pPr>
        <w:jc w:val="both"/>
        <w:rPr>
          <w:sz w:val="22"/>
          <w:szCs w:val="22"/>
          <w:highlight w:val="yellow"/>
        </w:rPr>
      </w:pPr>
    </w:p>
    <w:p w:rsidR="004154F4" w:rsidRPr="009B74BE" w:rsidRDefault="009B74BE" w:rsidP="004154F4">
      <w:pPr>
        <w:jc w:val="both"/>
        <w:rPr>
          <w:sz w:val="22"/>
          <w:szCs w:val="22"/>
        </w:rPr>
      </w:pPr>
      <w:r w:rsidRPr="009B74BE">
        <w:rPr>
          <w:sz w:val="22"/>
          <w:szCs w:val="22"/>
        </w:rPr>
        <w:t>Prior to the pandemic, a</w:t>
      </w:r>
      <w:r w:rsidR="004154F4" w:rsidRPr="009B74BE">
        <w:rPr>
          <w:sz w:val="22"/>
          <w:szCs w:val="22"/>
        </w:rPr>
        <w:t xml:space="preserve">s part of an ongoing review of environmental management, we reviewed the work done so far to ensure our approach and measurements are in line with current practices and ensure that, in future, our approach is consistent with our obligations under the recently enacted Climate </w:t>
      </w:r>
      <w:r w:rsidR="004154F4" w:rsidRPr="009B74BE">
        <w:rPr>
          <w:sz w:val="22"/>
          <w:szCs w:val="22"/>
        </w:rPr>
        <w:lastRenderedPageBreak/>
        <w:t xml:space="preserve">Change (Scotland) Act 2009.  </w:t>
      </w:r>
      <w:r w:rsidRPr="009B74BE">
        <w:rPr>
          <w:sz w:val="22"/>
          <w:szCs w:val="22"/>
        </w:rPr>
        <w:t xml:space="preserve">A change in term of office usage will need to be considered in the event </w:t>
      </w:r>
      <w:r w:rsidR="006A61DC">
        <w:rPr>
          <w:sz w:val="22"/>
          <w:szCs w:val="22"/>
        </w:rPr>
        <w:t xml:space="preserve">of a </w:t>
      </w:r>
      <w:r w:rsidRPr="009B74BE">
        <w:rPr>
          <w:sz w:val="22"/>
          <w:szCs w:val="22"/>
        </w:rPr>
        <w:t xml:space="preserve">longer term </w:t>
      </w:r>
      <w:r w:rsidR="006A61DC">
        <w:rPr>
          <w:sz w:val="22"/>
          <w:szCs w:val="22"/>
        </w:rPr>
        <w:t xml:space="preserve">retention </w:t>
      </w:r>
      <w:r w:rsidRPr="009B74BE">
        <w:rPr>
          <w:sz w:val="22"/>
          <w:szCs w:val="22"/>
        </w:rPr>
        <w:t>of hybrid working and what that mean</w:t>
      </w:r>
      <w:r w:rsidR="006A61DC">
        <w:rPr>
          <w:sz w:val="22"/>
          <w:szCs w:val="22"/>
        </w:rPr>
        <w:t>s</w:t>
      </w:r>
      <w:r w:rsidRPr="009B74BE">
        <w:rPr>
          <w:sz w:val="22"/>
          <w:szCs w:val="22"/>
        </w:rPr>
        <w:t xml:space="preserve"> for our carbon emissions. </w:t>
      </w:r>
    </w:p>
    <w:p w:rsidR="004154F4" w:rsidRPr="009B74BE" w:rsidRDefault="004154F4" w:rsidP="004154F4">
      <w:pPr>
        <w:jc w:val="both"/>
        <w:rPr>
          <w:sz w:val="22"/>
          <w:szCs w:val="22"/>
        </w:rPr>
      </w:pPr>
    </w:p>
    <w:p w:rsidR="004154F4" w:rsidRPr="009000D7" w:rsidRDefault="004154F4" w:rsidP="004154F4">
      <w:pPr>
        <w:jc w:val="both"/>
        <w:rPr>
          <w:sz w:val="22"/>
          <w:szCs w:val="22"/>
        </w:rPr>
      </w:pPr>
      <w:r w:rsidRPr="009B74BE">
        <w:rPr>
          <w:sz w:val="22"/>
          <w:szCs w:val="22"/>
        </w:rPr>
        <w:t>To encourage staff to travel to work using active transport, we have introduced a salary sacrifice scheme to support cycling to work. Staff can give up part of their salary in exchange for a bike and certain accessories, to be used for commuting and/or travelling between workplaces</w:t>
      </w:r>
      <w:r w:rsidRPr="009000D7">
        <w:rPr>
          <w:sz w:val="22"/>
          <w:szCs w:val="22"/>
        </w:rPr>
        <w:t>. This is in addition to the scheme we already have in place to enable staff to purchase annual season tickets with an advance for travel to work on public transport.</w:t>
      </w:r>
    </w:p>
    <w:p w:rsidR="004154F4" w:rsidRPr="009000D7" w:rsidRDefault="004154F4" w:rsidP="004154F4">
      <w:pPr>
        <w:jc w:val="both"/>
        <w:rPr>
          <w:sz w:val="22"/>
          <w:szCs w:val="22"/>
        </w:rPr>
      </w:pPr>
    </w:p>
    <w:p w:rsidR="004154F4" w:rsidRPr="009000D7" w:rsidRDefault="004154F4" w:rsidP="004154F4">
      <w:pPr>
        <w:jc w:val="both"/>
        <w:rPr>
          <w:sz w:val="22"/>
          <w:szCs w:val="22"/>
        </w:rPr>
      </w:pPr>
      <w:r w:rsidRPr="009000D7">
        <w:rPr>
          <w:sz w:val="22"/>
          <w:szCs w:val="22"/>
        </w:rPr>
        <w:t>We will ensure that property related procurement is aligned with our obligations to develop a Sustainable Procurement Action Plan.</w:t>
      </w:r>
      <w:r w:rsidR="009000D7">
        <w:rPr>
          <w:sz w:val="22"/>
          <w:szCs w:val="22"/>
        </w:rPr>
        <w:t xml:space="preserve"> A change due to </w:t>
      </w:r>
      <w:proofErr w:type="spellStart"/>
      <w:r w:rsidR="009000D7">
        <w:rPr>
          <w:sz w:val="22"/>
          <w:szCs w:val="22"/>
        </w:rPr>
        <w:t>Covid</w:t>
      </w:r>
      <w:proofErr w:type="spellEnd"/>
      <w:r w:rsidR="009000D7">
        <w:rPr>
          <w:sz w:val="22"/>
          <w:szCs w:val="22"/>
        </w:rPr>
        <w:t xml:space="preserve"> will likely result </w:t>
      </w:r>
      <w:r w:rsidR="006A61DC">
        <w:rPr>
          <w:sz w:val="22"/>
          <w:szCs w:val="22"/>
        </w:rPr>
        <w:t xml:space="preserve">in </w:t>
      </w:r>
      <w:r w:rsidR="009000D7">
        <w:rPr>
          <w:sz w:val="22"/>
          <w:szCs w:val="22"/>
        </w:rPr>
        <w:t xml:space="preserve">a reduced footprint in the buildings. In 2020 no measurements were taken as a result of the pandemic and no return was made. </w:t>
      </w:r>
    </w:p>
    <w:p w:rsidR="004154F4" w:rsidRPr="003B17BD" w:rsidRDefault="004154F4" w:rsidP="004154F4">
      <w:pPr>
        <w:jc w:val="both"/>
        <w:rPr>
          <w:sz w:val="22"/>
          <w:szCs w:val="22"/>
          <w:highlight w:val="yellow"/>
        </w:rPr>
      </w:pPr>
    </w:p>
    <w:p w:rsidR="004154F4" w:rsidRPr="009000D7" w:rsidRDefault="004154F4" w:rsidP="004154F4">
      <w:pPr>
        <w:jc w:val="both"/>
        <w:rPr>
          <w:sz w:val="22"/>
          <w:szCs w:val="22"/>
        </w:rPr>
      </w:pPr>
      <w:r w:rsidRPr="009000D7">
        <w:rPr>
          <w:sz w:val="22"/>
          <w:szCs w:val="22"/>
        </w:rPr>
        <w:t>Under the Nature Conservation (Scotland) Act 2004 all public bodies have a responsibility to further the conservation of biodiversity.  The size and nature of SLAB’s estate means that opportunities to contribute to biodiversity are limited</w:t>
      </w:r>
      <w:r w:rsidR="00885456" w:rsidRPr="009000D7">
        <w:rPr>
          <w:sz w:val="22"/>
          <w:szCs w:val="22"/>
        </w:rPr>
        <w:t xml:space="preserve">; however we </w:t>
      </w:r>
      <w:r w:rsidR="009000D7">
        <w:rPr>
          <w:sz w:val="22"/>
          <w:szCs w:val="22"/>
        </w:rPr>
        <w:t>had planned to consider</w:t>
      </w:r>
      <w:r w:rsidR="00885456" w:rsidRPr="009000D7">
        <w:rPr>
          <w:sz w:val="22"/>
          <w:szCs w:val="22"/>
        </w:rPr>
        <w:t xml:space="preserve"> options with staff to see what c</w:t>
      </w:r>
      <w:r w:rsidR="009000D7">
        <w:rPr>
          <w:sz w:val="22"/>
          <w:szCs w:val="22"/>
        </w:rPr>
        <w:t>ould</w:t>
      </w:r>
      <w:r w:rsidR="00885456" w:rsidRPr="009000D7">
        <w:rPr>
          <w:sz w:val="22"/>
          <w:szCs w:val="22"/>
        </w:rPr>
        <w:t xml:space="preserve"> be achieved beyond the very limited boundaries of our own premises</w:t>
      </w:r>
      <w:r w:rsidR="009000D7">
        <w:rPr>
          <w:sz w:val="22"/>
          <w:szCs w:val="22"/>
        </w:rPr>
        <w:t>; however due to the pandemic this has been postponed</w:t>
      </w:r>
      <w:r w:rsidR="00885456" w:rsidRPr="009000D7">
        <w:rPr>
          <w:sz w:val="22"/>
          <w:szCs w:val="22"/>
        </w:rPr>
        <w:t>.</w:t>
      </w:r>
    </w:p>
    <w:p w:rsidR="004154F4" w:rsidRPr="009000D7" w:rsidRDefault="004154F4" w:rsidP="004154F4">
      <w:pPr>
        <w:jc w:val="both"/>
        <w:rPr>
          <w:sz w:val="22"/>
          <w:szCs w:val="22"/>
        </w:rPr>
      </w:pPr>
    </w:p>
    <w:p w:rsidR="004154F4" w:rsidRPr="009000D7" w:rsidRDefault="004154F4" w:rsidP="004154F4">
      <w:pPr>
        <w:jc w:val="both"/>
        <w:rPr>
          <w:sz w:val="22"/>
          <w:szCs w:val="22"/>
        </w:rPr>
      </w:pPr>
      <w:r w:rsidRPr="009000D7">
        <w:rPr>
          <w:sz w:val="22"/>
          <w:szCs w:val="22"/>
        </w:rPr>
        <w:t xml:space="preserve">A new baseline was created in Thistle House covering the period April 2015 to March 2016. </w:t>
      </w:r>
    </w:p>
    <w:p w:rsidR="004154F4" w:rsidRPr="003B17BD" w:rsidRDefault="004154F4" w:rsidP="004154F4">
      <w:pPr>
        <w:jc w:val="both"/>
        <w:rPr>
          <w:sz w:val="22"/>
          <w:szCs w:val="22"/>
          <w:highlight w:val="yellow"/>
        </w:rPr>
      </w:pPr>
    </w:p>
    <w:p w:rsidR="004154F4" w:rsidRPr="003B17BD" w:rsidRDefault="004154F4" w:rsidP="004154F4">
      <w:pPr>
        <w:jc w:val="both"/>
        <w:rPr>
          <w:sz w:val="22"/>
          <w:szCs w:val="22"/>
          <w:highlight w:val="yellow"/>
        </w:rPr>
      </w:pPr>
      <w:r w:rsidRPr="009000D7">
        <w:rPr>
          <w:sz w:val="22"/>
          <w:szCs w:val="22"/>
        </w:rPr>
        <w:t>In November 20</w:t>
      </w:r>
      <w:r w:rsidR="009000D7" w:rsidRPr="009000D7">
        <w:rPr>
          <w:sz w:val="22"/>
          <w:szCs w:val="22"/>
        </w:rPr>
        <w:t>21</w:t>
      </w:r>
      <w:r w:rsidRPr="009000D7">
        <w:rPr>
          <w:sz w:val="22"/>
          <w:szCs w:val="22"/>
        </w:rPr>
        <w:t xml:space="preserve"> we made our </w:t>
      </w:r>
      <w:r w:rsidR="00172A06">
        <w:rPr>
          <w:sz w:val="22"/>
          <w:szCs w:val="22"/>
        </w:rPr>
        <w:t>fifth</w:t>
      </w:r>
      <w:r w:rsidR="00172A06" w:rsidRPr="009000D7">
        <w:rPr>
          <w:sz w:val="22"/>
          <w:szCs w:val="22"/>
        </w:rPr>
        <w:t xml:space="preserve"> </w:t>
      </w:r>
      <w:r w:rsidRPr="009000D7">
        <w:rPr>
          <w:sz w:val="22"/>
          <w:szCs w:val="22"/>
        </w:rPr>
        <w:t>annual submission in line with the Climate Change (Duties of Public Bodies: Reporting Requirements) (Scotland) Order 2015 which requires all public bodies classified as major players to publish annual climate change reports</w:t>
      </w:r>
      <w:r w:rsidR="00172A06">
        <w:rPr>
          <w:sz w:val="22"/>
          <w:szCs w:val="22"/>
        </w:rPr>
        <w:t xml:space="preserve"> (N</w:t>
      </w:r>
      <w:r w:rsidR="00183B5A">
        <w:rPr>
          <w:sz w:val="22"/>
          <w:szCs w:val="22"/>
        </w:rPr>
        <w:t>.</w:t>
      </w:r>
      <w:r w:rsidR="00172A06">
        <w:rPr>
          <w:sz w:val="22"/>
          <w:szCs w:val="22"/>
        </w:rPr>
        <w:t>B</w:t>
      </w:r>
      <w:r w:rsidR="00183B5A">
        <w:rPr>
          <w:sz w:val="22"/>
          <w:szCs w:val="22"/>
        </w:rPr>
        <w:t>.</w:t>
      </w:r>
      <w:r w:rsidR="00172A06">
        <w:rPr>
          <w:sz w:val="22"/>
          <w:szCs w:val="22"/>
        </w:rPr>
        <w:t xml:space="preserve"> no annual submission was required for 2019/20 due to </w:t>
      </w:r>
      <w:proofErr w:type="spellStart"/>
      <w:r w:rsidR="00172A06">
        <w:rPr>
          <w:sz w:val="22"/>
          <w:szCs w:val="22"/>
        </w:rPr>
        <w:t>Covid</w:t>
      </w:r>
      <w:proofErr w:type="spellEnd"/>
      <w:r w:rsidR="00172A06">
        <w:rPr>
          <w:sz w:val="22"/>
          <w:szCs w:val="22"/>
        </w:rPr>
        <w:t>)</w:t>
      </w:r>
      <w:r w:rsidR="009000D7" w:rsidRPr="009000D7">
        <w:rPr>
          <w:sz w:val="22"/>
          <w:szCs w:val="22"/>
        </w:rPr>
        <w:t>.</w:t>
      </w:r>
    </w:p>
    <w:p w:rsidR="004154F4" w:rsidRPr="003B17BD" w:rsidRDefault="004154F4" w:rsidP="004154F4">
      <w:pPr>
        <w:jc w:val="both"/>
        <w:rPr>
          <w:b/>
          <w:bCs/>
          <w:sz w:val="22"/>
          <w:szCs w:val="22"/>
          <w:highlight w:val="yellow"/>
        </w:rPr>
      </w:pPr>
    </w:p>
    <w:tbl>
      <w:tblPr>
        <w:tblW w:w="10720" w:type="dxa"/>
        <w:tblInd w:w="108" w:type="dxa"/>
        <w:tblLook w:val="04A0" w:firstRow="1" w:lastRow="0" w:firstColumn="1" w:lastColumn="0" w:noHBand="0" w:noVBand="1"/>
      </w:tblPr>
      <w:tblGrid>
        <w:gridCol w:w="4660"/>
        <w:gridCol w:w="1880"/>
        <w:gridCol w:w="2540"/>
        <w:gridCol w:w="1640"/>
      </w:tblGrid>
      <w:tr w:rsidR="004154F4" w:rsidRPr="003B17BD" w:rsidTr="000E29E0">
        <w:trPr>
          <w:trHeight w:val="345"/>
        </w:trPr>
        <w:tc>
          <w:tcPr>
            <w:tcW w:w="4660" w:type="dxa"/>
            <w:tcBorders>
              <w:top w:val="nil"/>
              <w:left w:val="nil"/>
              <w:bottom w:val="nil"/>
              <w:right w:val="nil"/>
            </w:tcBorders>
            <w:shd w:val="clear" w:color="auto" w:fill="auto"/>
            <w:noWrap/>
            <w:vAlign w:val="center"/>
            <w:hideMark/>
          </w:tcPr>
          <w:p w:rsidR="004154F4" w:rsidRPr="009000D7" w:rsidRDefault="004154F4" w:rsidP="000E29E0">
            <w:pPr>
              <w:jc w:val="both"/>
              <w:rPr>
                <w:rFonts w:cs="Calibri"/>
                <w:b/>
                <w:bCs/>
                <w:color w:val="000000"/>
                <w:sz w:val="22"/>
                <w:szCs w:val="22"/>
                <w:lang w:eastAsia="en-GB"/>
              </w:rPr>
            </w:pPr>
            <w:r w:rsidRPr="009000D7">
              <w:rPr>
                <w:rFonts w:cs="Calibri"/>
                <w:b/>
                <w:bCs/>
                <w:color w:val="000000"/>
                <w:sz w:val="22"/>
                <w:szCs w:val="22"/>
                <w:lang w:eastAsia="en-GB"/>
              </w:rPr>
              <w:t>SLAB Emissions</w:t>
            </w:r>
          </w:p>
        </w:tc>
        <w:tc>
          <w:tcPr>
            <w:tcW w:w="1880" w:type="dxa"/>
            <w:tcBorders>
              <w:top w:val="nil"/>
              <w:left w:val="nil"/>
              <w:bottom w:val="nil"/>
              <w:right w:val="nil"/>
            </w:tcBorders>
            <w:shd w:val="clear" w:color="auto" w:fill="auto"/>
            <w:noWrap/>
            <w:vAlign w:val="bottom"/>
            <w:hideMark/>
          </w:tcPr>
          <w:p w:rsidR="004154F4" w:rsidRPr="009000D7" w:rsidRDefault="004154F4" w:rsidP="000E29E0">
            <w:pPr>
              <w:jc w:val="both"/>
              <w:rPr>
                <w:rFonts w:cs="Calibri"/>
                <w:b/>
                <w:bCs/>
                <w:color w:val="000000"/>
                <w:sz w:val="22"/>
                <w:szCs w:val="22"/>
                <w:lang w:eastAsia="en-GB"/>
              </w:rPr>
            </w:pPr>
          </w:p>
        </w:tc>
        <w:tc>
          <w:tcPr>
            <w:tcW w:w="2540" w:type="dxa"/>
            <w:tcBorders>
              <w:top w:val="nil"/>
              <w:left w:val="nil"/>
              <w:bottom w:val="nil"/>
              <w:right w:val="nil"/>
            </w:tcBorders>
            <w:shd w:val="clear" w:color="auto" w:fill="auto"/>
            <w:noWrap/>
            <w:vAlign w:val="bottom"/>
            <w:hideMark/>
          </w:tcPr>
          <w:p w:rsidR="004154F4" w:rsidRPr="009000D7" w:rsidRDefault="004154F4" w:rsidP="000E29E0">
            <w:pPr>
              <w:rPr>
                <w:lang w:eastAsia="en-GB"/>
              </w:rPr>
            </w:pPr>
          </w:p>
        </w:tc>
        <w:tc>
          <w:tcPr>
            <w:tcW w:w="1640" w:type="dxa"/>
            <w:tcBorders>
              <w:top w:val="nil"/>
              <w:left w:val="nil"/>
              <w:bottom w:val="nil"/>
              <w:right w:val="nil"/>
            </w:tcBorders>
            <w:shd w:val="clear" w:color="auto" w:fill="auto"/>
            <w:noWrap/>
            <w:vAlign w:val="bottom"/>
            <w:hideMark/>
          </w:tcPr>
          <w:p w:rsidR="004154F4" w:rsidRPr="003B17BD" w:rsidRDefault="004154F4" w:rsidP="000E29E0">
            <w:pPr>
              <w:rPr>
                <w:highlight w:val="yellow"/>
                <w:lang w:eastAsia="en-GB"/>
              </w:rPr>
            </w:pPr>
          </w:p>
        </w:tc>
      </w:tr>
      <w:tr w:rsidR="004154F4" w:rsidRPr="003B17BD" w:rsidTr="000E29E0">
        <w:trPr>
          <w:trHeight w:val="330"/>
        </w:trPr>
        <w:tc>
          <w:tcPr>
            <w:tcW w:w="4660" w:type="dxa"/>
            <w:vMerge w:val="restart"/>
            <w:tcBorders>
              <w:top w:val="single" w:sz="8" w:space="0" w:color="auto"/>
              <w:left w:val="nil"/>
              <w:bottom w:val="single" w:sz="8" w:space="0" w:color="000000"/>
              <w:right w:val="nil"/>
            </w:tcBorders>
            <w:shd w:val="clear" w:color="auto" w:fill="auto"/>
            <w:noWrap/>
            <w:vAlign w:val="center"/>
            <w:hideMark/>
          </w:tcPr>
          <w:p w:rsidR="004154F4" w:rsidRPr="009000D7" w:rsidRDefault="004154F4" w:rsidP="000E29E0">
            <w:pPr>
              <w:jc w:val="both"/>
              <w:rPr>
                <w:rFonts w:cs="Calibri"/>
                <w:b/>
                <w:bCs/>
                <w:color w:val="000000"/>
                <w:sz w:val="22"/>
                <w:szCs w:val="22"/>
                <w:lang w:eastAsia="en-GB"/>
              </w:rPr>
            </w:pPr>
            <w:r w:rsidRPr="009000D7">
              <w:rPr>
                <w:rFonts w:cs="Calibri"/>
                <w:b/>
                <w:bCs/>
                <w:color w:val="000000"/>
                <w:sz w:val="22"/>
                <w:szCs w:val="22"/>
                <w:lang w:eastAsia="en-GB"/>
              </w:rPr>
              <w:t>Emission Source</w:t>
            </w:r>
          </w:p>
        </w:tc>
        <w:tc>
          <w:tcPr>
            <w:tcW w:w="1880" w:type="dxa"/>
            <w:vMerge w:val="restart"/>
            <w:tcBorders>
              <w:top w:val="single" w:sz="8" w:space="0" w:color="auto"/>
              <w:left w:val="nil"/>
              <w:bottom w:val="single" w:sz="8" w:space="0" w:color="000000"/>
              <w:right w:val="nil"/>
            </w:tcBorders>
            <w:shd w:val="clear" w:color="auto" w:fill="auto"/>
            <w:noWrap/>
            <w:vAlign w:val="center"/>
            <w:hideMark/>
          </w:tcPr>
          <w:p w:rsidR="004154F4" w:rsidRPr="009000D7" w:rsidRDefault="004154F4" w:rsidP="000E29E0">
            <w:pPr>
              <w:jc w:val="both"/>
              <w:rPr>
                <w:rFonts w:cs="Calibri"/>
                <w:b/>
                <w:bCs/>
                <w:color w:val="000000"/>
                <w:sz w:val="22"/>
                <w:szCs w:val="22"/>
                <w:lang w:eastAsia="en-GB"/>
              </w:rPr>
            </w:pPr>
            <w:r w:rsidRPr="009000D7">
              <w:rPr>
                <w:rFonts w:cs="Calibri"/>
                <w:b/>
                <w:bCs/>
                <w:color w:val="000000"/>
                <w:sz w:val="22"/>
                <w:szCs w:val="22"/>
                <w:lang w:eastAsia="en-GB"/>
              </w:rPr>
              <w:t>Scope</w:t>
            </w:r>
          </w:p>
        </w:tc>
        <w:tc>
          <w:tcPr>
            <w:tcW w:w="2540" w:type="dxa"/>
            <w:tcBorders>
              <w:top w:val="single" w:sz="8" w:space="0" w:color="auto"/>
              <w:left w:val="nil"/>
              <w:bottom w:val="nil"/>
              <w:right w:val="nil"/>
            </w:tcBorders>
            <w:shd w:val="clear" w:color="auto" w:fill="auto"/>
            <w:noWrap/>
            <w:vAlign w:val="center"/>
            <w:hideMark/>
          </w:tcPr>
          <w:p w:rsidR="004154F4" w:rsidRPr="009000D7" w:rsidRDefault="004154F4" w:rsidP="000E29E0">
            <w:pPr>
              <w:jc w:val="both"/>
              <w:rPr>
                <w:rFonts w:cs="Calibri"/>
                <w:b/>
                <w:bCs/>
                <w:color w:val="000000"/>
                <w:sz w:val="22"/>
                <w:szCs w:val="22"/>
                <w:lang w:eastAsia="en-GB"/>
              </w:rPr>
            </w:pPr>
            <w:r w:rsidRPr="009000D7">
              <w:rPr>
                <w:rFonts w:cs="Calibri"/>
                <w:b/>
                <w:bCs/>
                <w:color w:val="000000"/>
                <w:sz w:val="22"/>
                <w:szCs w:val="22"/>
                <w:lang w:eastAsia="en-GB"/>
              </w:rPr>
              <w:t xml:space="preserve">Emissions </w:t>
            </w:r>
          </w:p>
        </w:tc>
        <w:tc>
          <w:tcPr>
            <w:tcW w:w="1640" w:type="dxa"/>
            <w:tcBorders>
              <w:top w:val="single" w:sz="8" w:space="0" w:color="auto"/>
              <w:left w:val="nil"/>
              <w:bottom w:val="nil"/>
              <w:right w:val="nil"/>
            </w:tcBorders>
            <w:shd w:val="clear" w:color="auto" w:fill="auto"/>
            <w:noWrap/>
            <w:vAlign w:val="center"/>
            <w:hideMark/>
          </w:tcPr>
          <w:p w:rsidR="004154F4" w:rsidRPr="009000D7" w:rsidRDefault="004154F4" w:rsidP="000E29E0">
            <w:pPr>
              <w:jc w:val="both"/>
              <w:rPr>
                <w:rFonts w:cs="Calibri"/>
                <w:b/>
                <w:bCs/>
                <w:color w:val="000000"/>
                <w:sz w:val="22"/>
                <w:szCs w:val="22"/>
                <w:lang w:eastAsia="en-GB"/>
              </w:rPr>
            </w:pPr>
            <w:r w:rsidRPr="009000D7">
              <w:rPr>
                <w:rFonts w:cs="Calibri"/>
                <w:b/>
                <w:bCs/>
                <w:color w:val="000000"/>
                <w:sz w:val="22"/>
                <w:szCs w:val="22"/>
                <w:lang w:eastAsia="en-GB"/>
              </w:rPr>
              <w:t xml:space="preserve">Emissions </w:t>
            </w:r>
          </w:p>
        </w:tc>
      </w:tr>
      <w:tr w:rsidR="004154F4" w:rsidRPr="003B17BD" w:rsidTr="000E29E0">
        <w:trPr>
          <w:trHeight w:val="330"/>
        </w:trPr>
        <w:tc>
          <w:tcPr>
            <w:tcW w:w="4660" w:type="dxa"/>
            <w:vMerge/>
            <w:tcBorders>
              <w:top w:val="single" w:sz="8" w:space="0" w:color="auto"/>
              <w:left w:val="nil"/>
              <w:bottom w:val="single" w:sz="8" w:space="0" w:color="000000"/>
              <w:right w:val="nil"/>
            </w:tcBorders>
            <w:vAlign w:val="center"/>
            <w:hideMark/>
          </w:tcPr>
          <w:p w:rsidR="004154F4" w:rsidRPr="009000D7" w:rsidRDefault="004154F4" w:rsidP="000E29E0">
            <w:pPr>
              <w:rPr>
                <w:rFonts w:cs="Calibri"/>
                <w:b/>
                <w:bCs/>
                <w:color w:val="000000"/>
                <w:sz w:val="22"/>
                <w:szCs w:val="22"/>
                <w:lang w:eastAsia="en-GB"/>
              </w:rPr>
            </w:pPr>
          </w:p>
        </w:tc>
        <w:tc>
          <w:tcPr>
            <w:tcW w:w="1880" w:type="dxa"/>
            <w:vMerge/>
            <w:tcBorders>
              <w:top w:val="single" w:sz="8" w:space="0" w:color="auto"/>
              <w:left w:val="nil"/>
              <w:bottom w:val="single" w:sz="8" w:space="0" w:color="000000"/>
              <w:right w:val="nil"/>
            </w:tcBorders>
            <w:vAlign w:val="center"/>
            <w:hideMark/>
          </w:tcPr>
          <w:p w:rsidR="004154F4" w:rsidRPr="009000D7" w:rsidRDefault="004154F4" w:rsidP="000E29E0">
            <w:pPr>
              <w:rPr>
                <w:rFonts w:cs="Calibri"/>
                <w:b/>
                <w:bCs/>
                <w:color w:val="000000"/>
                <w:sz w:val="22"/>
                <w:szCs w:val="22"/>
                <w:lang w:eastAsia="en-GB"/>
              </w:rPr>
            </w:pPr>
          </w:p>
        </w:tc>
        <w:tc>
          <w:tcPr>
            <w:tcW w:w="2540" w:type="dxa"/>
            <w:tcBorders>
              <w:top w:val="nil"/>
              <w:left w:val="nil"/>
              <w:bottom w:val="nil"/>
              <w:right w:val="nil"/>
            </w:tcBorders>
            <w:shd w:val="clear" w:color="auto" w:fill="auto"/>
            <w:noWrap/>
            <w:vAlign w:val="center"/>
            <w:hideMark/>
          </w:tcPr>
          <w:p w:rsidR="004154F4" w:rsidRPr="009000D7" w:rsidRDefault="004154F4" w:rsidP="000E29E0">
            <w:pPr>
              <w:jc w:val="both"/>
              <w:rPr>
                <w:rFonts w:cs="Calibri"/>
                <w:b/>
                <w:bCs/>
                <w:color w:val="000000"/>
                <w:sz w:val="22"/>
                <w:szCs w:val="22"/>
                <w:lang w:eastAsia="en-GB"/>
              </w:rPr>
            </w:pPr>
            <w:r w:rsidRPr="009000D7">
              <w:rPr>
                <w:rFonts w:cs="Calibri"/>
                <w:b/>
                <w:bCs/>
                <w:color w:val="000000"/>
                <w:sz w:val="22"/>
                <w:szCs w:val="22"/>
                <w:lang w:eastAsia="en-GB"/>
              </w:rPr>
              <w:t>Baseline 2015-16</w:t>
            </w:r>
          </w:p>
        </w:tc>
        <w:tc>
          <w:tcPr>
            <w:tcW w:w="1640" w:type="dxa"/>
            <w:tcBorders>
              <w:top w:val="nil"/>
              <w:left w:val="nil"/>
              <w:bottom w:val="nil"/>
              <w:right w:val="nil"/>
            </w:tcBorders>
            <w:shd w:val="clear" w:color="auto" w:fill="auto"/>
            <w:noWrap/>
            <w:vAlign w:val="center"/>
            <w:hideMark/>
          </w:tcPr>
          <w:p w:rsidR="004154F4" w:rsidRPr="009000D7" w:rsidRDefault="004154F4" w:rsidP="009000D7">
            <w:pPr>
              <w:jc w:val="both"/>
              <w:rPr>
                <w:rFonts w:cs="Calibri"/>
                <w:b/>
                <w:bCs/>
                <w:color w:val="000000"/>
                <w:sz w:val="22"/>
                <w:szCs w:val="22"/>
                <w:lang w:eastAsia="en-GB"/>
              </w:rPr>
            </w:pPr>
            <w:r w:rsidRPr="009000D7">
              <w:rPr>
                <w:rFonts w:cs="Calibri"/>
                <w:b/>
                <w:bCs/>
                <w:color w:val="000000"/>
                <w:sz w:val="22"/>
                <w:szCs w:val="22"/>
                <w:lang w:eastAsia="en-GB"/>
              </w:rPr>
              <w:t>20</w:t>
            </w:r>
            <w:r w:rsidR="009000D7" w:rsidRPr="009000D7">
              <w:rPr>
                <w:rFonts w:cs="Calibri"/>
                <w:b/>
                <w:bCs/>
                <w:color w:val="000000"/>
                <w:sz w:val="22"/>
                <w:szCs w:val="22"/>
                <w:lang w:eastAsia="en-GB"/>
              </w:rPr>
              <w:t>20</w:t>
            </w:r>
            <w:r w:rsidRPr="009000D7">
              <w:rPr>
                <w:rFonts w:cs="Calibri"/>
                <w:b/>
                <w:bCs/>
                <w:color w:val="000000"/>
                <w:sz w:val="22"/>
                <w:szCs w:val="22"/>
                <w:lang w:eastAsia="en-GB"/>
              </w:rPr>
              <w:t>-</w:t>
            </w:r>
            <w:r w:rsidR="009000D7" w:rsidRPr="009000D7">
              <w:rPr>
                <w:rFonts w:cs="Calibri"/>
                <w:b/>
                <w:bCs/>
                <w:color w:val="000000"/>
                <w:sz w:val="22"/>
                <w:szCs w:val="22"/>
                <w:lang w:eastAsia="en-GB"/>
              </w:rPr>
              <w:t>2</w:t>
            </w:r>
            <w:r w:rsidRPr="009000D7">
              <w:rPr>
                <w:rFonts w:cs="Calibri"/>
                <w:b/>
                <w:bCs/>
                <w:color w:val="000000"/>
                <w:sz w:val="22"/>
                <w:szCs w:val="22"/>
                <w:lang w:eastAsia="en-GB"/>
              </w:rPr>
              <w:t>1</w:t>
            </w:r>
          </w:p>
        </w:tc>
      </w:tr>
      <w:tr w:rsidR="004154F4" w:rsidRPr="003B17BD" w:rsidTr="000E29E0">
        <w:trPr>
          <w:trHeight w:val="345"/>
        </w:trPr>
        <w:tc>
          <w:tcPr>
            <w:tcW w:w="4660" w:type="dxa"/>
            <w:vMerge/>
            <w:tcBorders>
              <w:top w:val="single" w:sz="8" w:space="0" w:color="auto"/>
              <w:left w:val="nil"/>
              <w:bottom w:val="single" w:sz="8" w:space="0" w:color="000000"/>
              <w:right w:val="nil"/>
            </w:tcBorders>
            <w:vAlign w:val="center"/>
            <w:hideMark/>
          </w:tcPr>
          <w:p w:rsidR="004154F4" w:rsidRPr="009000D7" w:rsidRDefault="004154F4" w:rsidP="000E29E0">
            <w:pPr>
              <w:rPr>
                <w:rFonts w:cs="Calibri"/>
                <w:b/>
                <w:bCs/>
                <w:color w:val="000000"/>
                <w:sz w:val="22"/>
                <w:szCs w:val="22"/>
                <w:lang w:eastAsia="en-GB"/>
              </w:rPr>
            </w:pPr>
          </w:p>
        </w:tc>
        <w:tc>
          <w:tcPr>
            <w:tcW w:w="1880" w:type="dxa"/>
            <w:vMerge/>
            <w:tcBorders>
              <w:top w:val="single" w:sz="8" w:space="0" w:color="auto"/>
              <w:left w:val="nil"/>
              <w:bottom w:val="single" w:sz="8" w:space="0" w:color="000000"/>
              <w:right w:val="nil"/>
            </w:tcBorders>
            <w:vAlign w:val="center"/>
            <w:hideMark/>
          </w:tcPr>
          <w:p w:rsidR="004154F4" w:rsidRPr="009000D7" w:rsidRDefault="004154F4" w:rsidP="000E29E0">
            <w:pPr>
              <w:rPr>
                <w:rFonts w:cs="Calibri"/>
                <w:b/>
                <w:bCs/>
                <w:color w:val="000000"/>
                <w:sz w:val="22"/>
                <w:szCs w:val="22"/>
                <w:lang w:eastAsia="en-GB"/>
              </w:rPr>
            </w:pPr>
          </w:p>
        </w:tc>
        <w:tc>
          <w:tcPr>
            <w:tcW w:w="2540" w:type="dxa"/>
            <w:tcBorders>
              <w:top w:val="nil"/>
              <w:left w:val="nil"/>
              <w:bottom w:val="single" w:sz="8" w:space="0" w:color="auto"/>
              <w:right w:val="nil"/>
            </w:tcBorders>
            <w:shd w:val="clear" w:color="auto" w:fill="auto"/>
            <w:noWrap/>
            <w:vAlign w:val="center"/>
            <w:hideMark/>
          </w:tcPr>
          <w:p w:rsidR="004154F4" w:rsidRPr="009000D7" w:rsidRDefault="004154F4" w:rsidP="000E29E0">
            <w:pPr>
              <w:jc w:val="both"/>
              <w:rPr>
                <w:rFonts w:cs="Calibri"/>
                <w:b/>
                <w:bCs/>
                <w:color w:val="000000"/>
                <w:sz w:val="22"/>
                <w:szCs w:val="22"/>
                <w:lang w:eastAsia="en-GB"/>
              </w:rPr>
            </w:pPr>
            <w:r w:rsidRPr="009000D7">
              <w:rPr>
                <w:rFonts w:cs="Calibri"/>
                <w:b/>
                <w:bCs/>
                <w:color w:val="000000"/>
                <w:sz w:val="22"/>
                <w:szCs w:val="22"/>
                <w:lang w:eastAsia="en-GB"/>
              </w:rPr>
              <w:t>(tCO2e)</w:t>
            </w:r>
          </w:p>
        </w:tc>
        <w:tc>
          <w:tcPr>
            <w:tcW w:w="1640" w:type="dxa"/>
            <w:tcBorders>
              <w:top w:val="nil"/>
              <w:left w:val="nil"/>
              <w:bottom w:val="single" w:sz="8" w:space="0" w:color="auto"/>
              <w:right w:val="nil"/>
            </w:tcBorders>
            <w:shd w:val="clear" w:color="auto" w:fill="auto"/>
            <w:noWrap/>
            <w:vAlign w:val="center"/>
            <w:hideMark/>
          </w:tcPr>
          <w:p w:rsidR="004154F4" w:rsidRPr="009000D7" w:rsidRDefault="004154F4" w:rsidP="000E29E0">
            <w:pPr>
              <w:jc w:val="both"/>
              <w:rPr>
                <w:rFonts w:cs="Calibri"/>
                <w:b/>
                <w:bCs/>
                <w:color w:val="000000"/>
                <w:sz w:val="22"/>
                <w:szCs w:val="22"/>
                <w:lang w:eastAsia="en-GB"/>
              </w:rPr>
            </w:pPr>
            <w:r w:rsidRPr="009000D7">
              <w:rPr>
                <w:rFonts w:cs="Calibri"/>
                <w:b/>
                <w:bCs/>
                <w:color w:val="000000"/>
                <w:sz w:val="22"/>
                <w:szCs w:val="22"/>
                <w:lang w:eastAsia="en-GB"/>
              </w:rPr>
              <w:t>(tCO2e)</w:t>
            </w:r>
          </w:p>
        </w:tc>
      </w:tr>
      <w:tr w:rsidR="004154F4" w:rsidRPr="003B17BD" w:rsidTr="000E29E0">
        <w:trPr>
          <w:trHeight w:val="330"/>
        </w:trPr>
        <w:tc>
          <w:tcPr>
            <w:tcW w:w="466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Electricity (generation)</w:t>
            </w:r>
          </w:p>
        </w:tc>
        <w:tc>
          <w:tcPr>
            <w:tcW w:w="188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2</w:t>
            </w:r>
          </w:p>
        </w:tc>
        <w:tc>
          <w:tcPr>
            <w:tcW w:w="254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248.8</w:t>
            </w:r>
          </w:p>
        </w:tc>
        <w:tc>
          <w:tcPr>
            <w:tcW w:w="1640" w:type="dxa"/>
            <w:tcBorders>
              <w:top w:val="nil"/>
              <w:left w:val="nil"/>
              <w:bottom w:val="nil"/>
              <w:right w:val="nil"/>
            </w:tcBorders>
            <w:shd w:val="clear" w:color="auto" w:fill="auto"/>
            <w:noWrap/>
            <w:vAlign w:val="bottom"/>
            <w:hideMark/>
          </w:tcPr>
          <w:p w:rsidR="004154F4" w:rsidRPr="004D2A94" w:rsidRDefault="004154F4" w:rsidP="00BD16F8">
            <w:pPr>
              <w:rPr>
                <w:rFonts w:cs="Calibri"/>
                <w:color w:val="000000"/>
                <w:sz w:val="22"/>
                <w:szCs w:val="22"/>
                <w:lang w:eastAsia="en-GB"/>
              </w:rPr>
            </w:pPr>
            <w:r w:rsidRPr="004D2A94">
              <w:rPr>
                <w:rFonts w:cs="Calibri"/>
                <w:color w:val="000000"/>
                <w:sz w:val="22"/>
                <w:szCs w:val="22"/>
                <w:lang w:eastAsia="en-GB"/>
              </w:rPr>
              <w:t xml:space="preserve"> </w:t>
            </w:r>
            <w:r w:rsidR="00BD16F8" w:rsidRPr="004D2A94">
              <w:rPr>
                <w:rFonts w:cs="Calibri"/>
                <w:color w:val="000000"/>
                <w:sz w:val="22"/>
                <w:szCs w:val="22"/>
                <w:lang w:eastAsia="en-GB"/>
              </w:rPr>
              <w:t>61.7</w:t>
            </w:r>
          </w:p>
        </w:tc>
      </w:tr>
      <w:tr w:rsidR="004154F4" w:rsidRPr="003B17BD" w:rsidTr="000E29E0">
        <w:trPr>
          <w:trHeight w:val="330"/>
        </w:trPr>
        <w:tc>
          <w:tcPr>
            <w:tcW w:w="466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Natural Gas</w:t>
            </w:r>
          </w:p>
        </w:tc>
        <w:tc>
          <w:tcPr>
            <w:tcW w:w="188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1</w:t>
            </w:r>
          </w:p>
        </w:tc>
        <w:tc>
          <w:tcPr>
            <w:tcW w:w="254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125.6</w:t>
            </w:r>
          </w:p>
        </w:tc>
        <w:tc>
          <w:tcPr>
            <w:tcW w:w="1640" w:type="dxa"/>
            <w:tcBorders>
              <w:top w:val="nil"/>
              <w:left w:val="nil"/>
              <w:bottom w:val="nil"/>
              <w:right w:val="nil"/>
            </w:tcBorders>
            <w:shd w:val="clear" w:color="auto" w:fill="auto"/>
            <w:noWrap/>
            <w:vAlign w:val="bottom"/>
            <w:hideMark/>
          </w:tcPr>
          <w:p w:rsidR="004154F4" w:rsidRPr="004D2A94" w:rsidRDefault="004154F4" w:rsidP="00BD16F8">
            <w:pPr>
              <w:rPr>
                <w:rFonts w:cs="Calibri"/>
                <w:color w:val="000000"/>
                <w:sz w:val="22"/>
                <w:szCs w:val="22"/>
                <w:lang w:eastAsia="en-GB"/>
              </w:rPr>
            </w:pPr>
            <w:r w:rsidRPr="004D2A94">
              <w:rPr>
                <w:rFonts w:cs="Calibri"/>
                <w:color w:val="000000"/>
                <w:sz w:val="22"/>
                <w:szCs w:val="22"/>
                <w:lang w:eastAsia="en-GB"/>
              </w:rPr>
              <w:t xml:space="preserve"> </w:t>
            </w:r>
            <w:r w:rsidR="00BD16F8" w:rsidRPr="004D2A94">
              <w:rPr>
                <w:rFonts w:cs="Calibri"/>
                <w:color w:val="000000"/>
                <w:sz w:val="22"/>
                <w:szCs w:val="22"/>
                <w:lang w:eastAsia="en-GB"/>
              </w:rPr>
              <w:t>65.2</w:t>
            </w:r>
          </w:p>
        </w:tc>
      </w:tr>
      <w:tr w:rsidR="004154F4" w:rsidRPr="003B17BD" w:rsidTr="000E29E0">
        <w:trPr>
          <w:trHeight w:val="330"/>
        </w:trPr>
        <w:tc>
          <w:tcPr>
            <w:tcW w:w="466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Electricity (trans. &amp; dist. losses)</w:t>
            </w:r>
          </w:p>
        </w:tc>
        <w:tc>
          <w:tcPr>
            <w:tcW w:w="188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3</w:t>
            </w:r>
          </w:p>
        </w:tc>
        <w:tc>
          <w:tcPr>
            <w:tcW w:w="254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20.5</w:t>
            </w:r>
          </w:p>
        </w:tc>
        <w:tc>
          <w:tcPr>
            <w:tcW w:w="1640" w:type="dxa"/>
            <w:tcBorders>
              <w:top w:val="nil"/>
              <w:left w:val="nil"/>
              <w:bottom w:val="nil"/>
              <w:right w:val="nil"/>
            </w:tcBorders>
            <w:shd w:val="clear" w:color="auto" w:fill="auto"/>
            <w:noWrap/>
            <w:vAlign w:val="bottom"/>
            <w:hideMark/>
          </w:tcPr>
          <w:p w:rsidR="004154F4" w:rsidRPr="004D2A94" w:rsidRDefault="004154F4" w:rsidP="00BD16F8">
            <w:pPr>
              <w:rPr>
                <w:rFonts w:cs="Calibri"/>
                <w:color w:val="000000"/>
                <w:sz w:val="22"/>
                <w:szCs w:val="22"/>
                <w:lang w:eastAsia="en-GB"/>
              </w:rPr>
            </w:pPr>
            <w:r w:rsidRPr="004D2A94">
              <w:rPr>
                <w:rFonts w:cs="Calibri"/>
                <w:color w:val="000000"/>
                <w:sz w:val="22"/>
                <w:szCs w:val="22"/>
                <w:lang w:eastAsia="en-GB"/>
              </w:rPr>
              <w:t xml:space="preserve"> </w:t>
            </w:r>
            <w:r w:rsidR="00BD16F8" w:rsidRPr="004D2A94">
              <w:rPr>
                <w:rFonts w:cs="Calibri"/>
                <w:color w:val="000000"/>
                <w:sz w:val="22"/>
                <w:szCs w:val="22"/>
                <w:lang w:eastAsia="en-GB"/>
              </w:rPr>
              <w:t>5.3</w:t>
            </w:r>
          </w:p>
        </w:tc>
      </w:tr>
      <w:tr w:rsidR="004154F4" w:rsidRPr="003B17BD" w:rsidTr="000E29E0">
        <w:trPr>
          <w:trHeight w:val="330"/>
        </w:trPr>
        <w:tc>
          <w:tcPr>
            <w:tcW w:w="466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Car - petrol (Medium car)</w:t>
            </w:r>
          </w:p>
        </w:tc>
        <w:tc>
          <w:tcPr>
            <w:tcW w:w="188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3</w:t>
            </w:r>
          </w:p>
        </w:tc>
        <w:tc>
          <w:tcPr>
            <w:tcW w:w="254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15.2</w:t>
            </w:r>
          </w:p>
        </w:tc>
        <w:tc>
          <w:tcPr>
            <w:tcW w:w="1640" w:type="dxa"/>
            <w:tcBorders>
              <w:top w:val="nil"/>
              <w:left w:val="nil"/>
              <w:bottom w:val="nil"/>
              <w:right w:val="nil"/>
            </w:tcBorders>
            <w:shd w:val="clear" w:color="auto" w:fill="auto"/>
            <w:noWrap/>
            <w:vAlign w:val="bottom"/>
            <w:hideMark/>
          </w:tcPr>
          <w:p w:rsidR="004154F4" w:rsidRPr="004D2A94" w:rsidRDefault="004154F4" w:rsidP="00BD16F8">
            <w:pPr>
              <w:rPr>
                <w:rFonts w:cs="Calibri"/>
                <w:color w:val="000000"/>
                <w:sz w:val="22"/>
                <w:szCs w:val="22"/>
                <w:lang w:eastAsia="en-GB"/>
              </w:rPr>
            </w:pPr>
            <w:r w:rsidRPr="004D2A94">
              <w:rPr>
                <w:rFonts w:cs="Calibri"/>
                <w:color w:val="000000"/>
                <w:sz w:val="22"/>
                <w:szCs w:val="22"/>
                <w:lang w:eastAsia="en-GB"/>
              </w:rPr>
              <w:t xml:space="preserve"> </w:t>
            </w:r>
            <w:r w:rsidR="00BD16F8" w:rsidRPr="004D2A94">
              <w:rPr>
                <w:rFonts w:cs="Calibri"/>
                <w:color w:val="000000"/>
                <w:sz w:val="22"/>
                <w:szCs w:val="22"/>
                <w:lang w:eastAsia="en-GB"/>
              </w:rPr>
              <w:t>1.8</w:t>
            </w:r>
          </w:p>
        </w:tc>
      </w:tr>
      <w:tr w:rsidR="004154F4" w:rsidRPr="003B17BD" w:rsidTr="000E29E0">
        <w:trPr>
          <w:trHeight w:val="330"/>
        </w:trPr>
        <w:tc>
          <w:tcPr>
            <w:tcW w:w="466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Car - Hybrid - (Medium)</w:t>
            </w:r>
          </w:p>
        </w:tc>
        <w:tc>
          <w:tcPr>
            <w:tcW w:w="188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1</w:t>
            </w:r>
          </w:p>
        </w:tc>
        <w:tc>
          <w:tcPr>
            <w:tcW w:w="254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4.3</w:t>
            </w:r>
          </w:p>
        </w:tc>
        <w:tc>
          <w:tcPr>
            <w:tcW w:w="1640" w:type="dxa"/>
            <w:tcBorders>
              <w:top w:val="nil"/>
              <w:left w:val="nil"/>
              <w:bottom w:val="nil"/>
              <w:right w:val="nil"/>
            </w:tcBorders>
            <w:shd w:val="clear" w:color="auto" w:fill="auto"/>
            <w:noWrap/>
            <w:vAlign w:val="bottom"/>
            <w:hideMark/>
          </w:tcPr>
          <w:p w:rsidR="004154F4" w:rsidRPr="004D2A94" w:rsidRDefault="004154F4" w:rsidP="00BD16F8">
            <w:pPr>
              <w:rPr>
                <w:rFonts w:cs="Calibri"/>
                <w:color w:val="000000"/>
                <w:sz w:val="22"/>
                <w:szCs w:val="22"/>
                <w:lang w:eastAsia="en-GB"/>
              </w:rPr>
            </w:pPr>
            <w:r w:rsidRPr="004D2A94">
              <w:rPr>
                <w:rFonts w:cs="Calibri"/>
                <w:color w:val="000000"/>
                <w:sz w:val="22"/>
                <w:szCs w:val="22"/>
                <w:lang w:eastAsia="en-GB"/>
              </w:rPr>
              <w:t xml:space="preserve"> </w:t>
            </w:r>
            <w:r w:rsidR="00BD16F8" w:rsidRPr="004D2A94">
              <w:rPr>
                <w:rFonts w:cs="Calibri"/>
                <w:color w:val="000000"/>
                <w:sz w:val="22"/>
                <w:szCs w:val="22"/>
                <w:lang w:eastAsia="en-GB"/>
              </w:rPr>
              <w:t>1.7</w:t>
            </w:r>
          </w:p>
        </w:tc>
      </w:tr>
      <w:tr w:rsidR="004154F4" w:rsidRPr="003B17BD" w:rsidTr="000E29E0">
        <w:trPr>
          <w:trHeight w:val="330"/>
        </w:trPr>
        <w:tc>
          <w:tcPr>
            <w:tcW w:w="466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Domestic flight</w:t>
            </w:r>
          </w:p>
        </w:tc>
        <w:tc>
          <w:tcPr>
            <w:tcW w:w="188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3</w:t>
            </w:r>
          </w:p>
        </w:tc>
        <w:tc>
          <w:tcPr>
            <w:tcW w:w="254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3.8</w:t>
            </w:r>
          </w:p>
        </w:tc>
        <w:tc>
          <w:tcPr>
            <w:tcW w:w="1640" w:type="dxa"/>
            <w:tcBorders>
              <w:top w:val="nil"/>
              <w:left w:val="nil"/>
              <w:bottom w:val="nil"/>
              <w:right w:val="nil"/>
            </w:tcBorders>
            <w:shd w:val="clear" w:color="auto" w:fill="auto"/>
            <w:noWrap/>
            <w:vAlign w:val="bottom"/>
            <w:hideMark/>
          </w:tcPr>
          <w:p w:rsidR="004154F4" w:rsidRPr="004D2A94" w:rsidRDefault="004154F4" w:rsidP="00BD16F8">
            <w:pPr>
              <w:rPr>
                <w:rFonts w:cs="Calibri"/>
                <w:color w:val="000000"/>
                <w:sz w:val="22"/>
                <w:szCs w:val="22"/>
                <w:lang w:eastAsia="en-GB"/>
              </w:rPr>
            </w:pPr>
            <w:r w:rsidRPr="004D2A94">
              <w:rPr>
                <w:rFonts w:cs="Calibri"/>
                <w:color w:val="000000"/>
                <w:sz w:val="22"/>
                <w:szCs w:val="22"/>
                <w:lang w:eastAsia="en-GB"/>
              </w:rPr>
              <w:t xml:space="preserve"> </w:t>
            </w:r>
            <w:r w:rsidR="00BD16F8" w:rsidRPr="004D2A94">
              <w:rPr>
                <w:rFonts w:cs="Calibri"/>
                <w:color w:val="000000"/>
                <w:sz w:val="22"/>
                <w:szCs w:val="22"/>
                <w:lang w:eastAsia="en-GB"/>
              </w:rPr>
              <w:t>0</w:t>
            </w:r>
          </w:p>
        </w:tc>
      </w:tr>
      <w:tr w:rsidR="004154F4" w:rsidRPr="003B17BD" w:rsidTr="000E29E0">
        <w:trPr>
          <w:trHeight w:val="330"/>
        </w:trPr>
        <w:tc>
          <w:tcPr>
            <w:tcW w:w="466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Refuse to Landfill</w:t>
            </w:r>
          </w:p>
        </w:tc>
        <w:tc>
          <w:tcPr>
            <w:tcW w:w="188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3</w:t>
            </w:r>
          </w:p>
        </w:tc>
        <w:tc>
          <w:tcPr>
            <w:tcW w:w="254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2.5</w:t>
            </w:r>
          </w:p>
        </w:tc>
        <w:tc>
          <w:tcPr>
            <w:tcW w:w="1640" w:type="dxa"/>
            <w:tcBorders>
              <w:top w:val="nil"/>
              <w:left w:val="nil"/>
              <w:bottom w:val="nil"/>
              <w:right w:val="nil"/>
            </w:tcBorders>
            <w:shd w:val="clear" w:color="auto" w:fill="auto"/>
            <w:noWrap/>
            <w:vAlign w:val="bottom"/>
            <w:hideMark/>
          </w:tcPr>
          <w:p w:rsidR="004154F4" w:rsidRPr="004D2A94" w:rsidRDefault="004154F4" w:rsidP="00BD16F8">
            <w:pPr>
              <w:rPr>
                <w:rFonts w:cs="Calibri"/>
                <w:color w:val="000000"/>
                <w:sz w:val="22"/>
                <w:szCs w:val="22"/>
                <w:lang w:eastAsia="en-GB"/>
              </w:rPr>
            </w:pPr>
            <w:r w:rsidRPr="004D2A94">
              <w:rPr>
                <w:rFonts w:cs="Calibri"/>
                <w:color w:val="000000"/>
                <w:sz w:val="22"/>
                <w:szCs w:val="22"/>
                <w:lang w:eastAsia="en-GB"/>
              </w:rPr>
              <w:t xml:space="preserve"> </w:t>
            </w:r>
            <w:r w:rsidR="00BD16F8" w:rsidRPr="004D2A94">
              <w:rPr>
                <w:rFonts w:cs="Calibri"/>
                <w:color w:val="000000"/>
                <w:sz w:val="22"/>
                <w:szCs w:val="22"/>
                <w:lang w:eastAsia="en-GB"/>
              </w:rPr>
              <w:t>1.3</w:t>
            </w:r>
          </w:p>
        </w:tc>
      </w:tr>
      <w:tr w:rsidR="004154F4" w:rsidRPr="003B17BD" w:rsidTr="000E29E0">
        <w:trPr>
          <w:trHeight w:val="330"/>
        </w:trPr>
        <w:tc>
          <w:tcPr>
            <w:tcW w:w="466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Rail</w:t>
            </w:r>
          </w:p>
        </w:tc>
        <w:tc>
          <w:tcPr>
            <w:tcW w:w="188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3</w:t>
            </w:r>
          </w:p>
        </w:tc>
        <w:tc>
          <w:tcPr>
            <w:tcW w:w="254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1.7</w:t>
            </w:r>
          </w:p>
        </w:tc>
        <w:tc>
          <w:tcPr>
            <w:tcW w:w="1640" w:type="dxa"/>
            <w:tcBorders>
              <w:top w:val="nil"/>
              <w:left w:val="nil"/>
              <w:bottom w:val="nil"/>
              <w:right w:val="nil"/>
            </w:tcBorders>
            <w:shd w:val="clear" w:color="auto" w:fill="auto"/>
            <w:noWrap/>
            <w:vAlign w:val="bottom"/>
            <w:hideMark/>
          </w:tcPr>
          <w:p w:rsidR="004154F4" w:rsidRPr="004D2A94" w:rsidRDefault="004154F4" w:rsidP="00BD16F8">
            <w:pPr>
              <w:rPr>
                <w:rFonts w:cs="Calibri"/>
                <w:color w:val="000000"/>
                <w:sz w:val="22"/>
                <w:szCs w:val="22"/>
                <w:lang w:eastAsia="en-GB"/>
              </w:rPr>
            </w:pPr>
            <w:r w:rsidRPr="004D2A94">
              <w:rPr>
                <w:rFonts w:cs="Calibri"/>
                <w:color w:val="000000"/>
                <w:sz w:val="22"/>
                <w:szCs w:val="22"/>
                <w:lang w:eastAsia="en-GB"/>
              </w:rPr>
              <w:t xml:space="preserve"> </w:t>
            </w:r>
            <w:r w:rsidR="00BD16F8" w:rsidRPr="004D2A94">
              <w:rPr>
                <w:rFonts w:cs="Calibri"/>
                <w:color w:val="000000"/>
                <w:sz w:val="22"/>
                <w:szCs w:val="22"/>
                <w:lang w:eastAsia="en-GB"/>
              </w:rPr>
              <w:t>0</w:t>
            </w:r>
          </w:p>
        </w:tc>
      </w:tr>
      <w:tr w:rsidR="004154F4" w:rsidRPr="003B17BD" w:rsidTr="000E29E0">
        <w:trPr>
          <w:trHeight w:val="330"/>
        </w:trPr>
        <w:tc>
          <w:tcPr>
            <w:tcW w:w="466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 xml:space="preserve">Water </w:t>
            </w:r>
            <w:r w:rsidR="00172A06" w:rsidRPr="004D2A94">
              <w:rPr>
                <w:rFonts w:cs="Calibri"/>
                <w:color w:val="000000"/>
                <w:sz w:val="22"/>
                <w:szCs w:val="22"/>
                <w:lang w:eastAsia="en-GB"/>
              </w:rPr>
              <w:t>–</w:t>
            </w:r>
            <w:r w:rsidRPr="004D2A94">
              <w:rPr>
                <w:rFonts w:cs="Calibri"/>
                <w:color w:val="000000"/>
                <w:sz w:val="22"/>
                <w:szCs w:val="22"/>
                <w:lang w:eastAsia="en-GB"/>
              </w:rPr>
              <w:t xml:space="preserve"> Treatment</w:t>
            </w:r>
          </w:p>
        </w:tc>
        <w:tc>
          <w:tcPr>
            <w:tcW w:w="188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3</w:t>
            </w:r>
          </w:p>
        </w:tc>
        <w:tc>
          <w:tcPr>
            <w:tcW w:w="254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1.4</w:t>
            </w:r>
          </w:p>
        </w:tc>
        <w:tc>
          <w:tcPr>
            <w:tcW w:w="1640" w:type="dxa"/>
            <w:tcBorders>
              <w:top w:val="nil"/>
              <w:left w:val="nil"/>
              <w:bottom w:val="nil"/>
              <w:right w:val="nil"/>
            </w:tcBorders>
            <w:shd w:val="clear" w:color="auto" w:fill="auto"/>
            <w:noWrap/>
            <w:vAlign w:val="bottom"/>
            <w:hideMark/>
          </w:tcPr>
          <w:p w:rsidR="004154F4" w:rsidRPr="004D2A94" w:rsidRDefault="004154F4" w:rsidP="00BD16F8">
            <w:pPr>
              <w:rPr>
                <w:rFonts w:cs="Calibri"/>
                <w:color w:val="000000"/>
                <w:sz w:val="22"/>
                <w:szCs w:val="22"/>
                <w:lang w:eastAsia="en-GB"/>
              </w:rPr>
            </w:pPr>
            <w:r w:rsidRPr="004D2A94">
              <w:rPr>
                <w:rFonts w:cs="Calibri"/>
                <w:color w:val="000000"/>
                <w:sz w:val="22"/>
                <w:szCs w:val="22"/>
                <w:lang w:eastAsia="en-GB"/>
              </w:rPr>
              <w:t xml:space="preserve"> </w:t>
            </w:r>
            <w:r w:rsidR="00BD16F8" w:rsidRPr="004D2A94">
              <w:rPr>
                <w:rFonts w:cs="Calibri"/>
                <w:color w:val="000000"/>
                <w:sz w:val="22"/>
                <w:szCs w:val="22"/>
                <w:lang w:eastAsia="en-GB"/>
              </w:rPr>
              <w:t>0.02</w:t>
            </w:r>
          </w:p>
        </w:tc>
      </w:tr>
      <w:tr w:rsidR="004154F4" w:rsidRPr="003B17BD" w:rsidTr="000E29E0">
        <w:trPr>
          <w:trHeight w:val="330"/>
        </w:trPr>
        <w:tc>
          <w:tcPr>
            <w:tcW w:w="466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 xml:space="preserve">Water </w:t>
            </w:r>
            <w:r w:rsidR="00172A06" w:rsidRPr="004D2A94">
              <w:rPr>
                <w:rFonts w:cs="Calibri"/>
                <w:color w:val="000000"/>
                <w:sz w:val="22"/>
                <w:szCs w:val="22"/>
                <w:lang w:eastAsia="en-GB"/>
              </w:rPr>
              <w:t>–</w:t>
            </w:r>
            <w:r w:rsidRPr="004D2A94">
              <w:rPr>
                <w:rFonts w:cs="Calibri"/>
                <w:color w:val="000000"/>
                <w:sz w:val="22"/>
                <w:szCs w:val="22"/>
                <w:lang w:eastAsia="en-GB"/>
              </w:rPr>
              <w:t xml:space="preserve"> Supply</w:t>
            </w:r>
          </w:p>
        </w:tc>
        <w:tc>
          <w:tcPr>
            <w:tcW w:w="188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3</w:t>
            </w:r>
          </w:p>
        </w:tc>
        <w:tc>
          <w:tcPr>
            <w:tcW w:w="254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0.7</w:t>
            </w:r>
          </w:p>
        </w:tc>
        <w:tc>
          <w:tcPr>
            <w:tcW w:w="1640" w:type="dxa"/>
            <w:tcBorders>
              <w:top w:val="nil"/>
              <w:left w:val="nil"/>
              <w:bottom w:val="nil"/>
              <w:right w:val="nil"/>
            </w:tcBorders>
            <w:shd w:val="clear" w:color="auto" w:fill="auto"/>
            <w:noWrap/>
            <w:vAlign w:val="bottom"/>
            <w:hideMark/>
          </w:tcPr>
          <w:p w:rsidR="004154F4" w:rsidRPr="004D2A94" w:rsidRDefault="004154F4" w:rsidP="00BD16F8">
            <w:pPr>
              <w:rPr>
                <w:rFonts w:cs="Calibri"/>
                <w:color w:val="000000"/>
                <w:sz w:val="22"/>
                <w:szCs w:val="22"/>
                <w:lang w:eastAsia="en-GB"/>
              </w:rPr>
            </w:pPr>
            <w:r w:rsidRPr="004D2A94">
              <w:rPr>
                <w:rFonts w:cs="Calibri"/>
                <w:color w:val="000000"/>
                <w:sz w:val="22"/>
                <w:szCs w:val="22"/>
                <w:lang w:eastAsia="en-GB"/>
              </w:rPr>
              <w:t xml:space="preserve"> </w:t>
            </w:r>
            <w:r w:rsidR="00BD16F8" w:rsidRPr="004D2A94">
              <w:rPr>
                <w:rFonts w:cs="Calibri"/>
                <w:color w:val="000000"/>
                <w:sz w:val="22"/>
                <w:szCs w:val="22"/>
                <w:lang w:eastAsia="en-GB"/>
              </w:rPr>
              <w:t>0.01</w:t>
            </w:r>
          </w:p>
        </w:tc>
      </w:tr>
      <w:tr w:rsidR="004154F4" w:rsidRPr="003B17BD" w:rsidTr="000E29E0">
        <w:trPr>
          <w:trHeight w:val="330"/>
        </w:trPr>
        <w:tc>
          <w:tcPr>
            <w:tcW w:w="466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Short-haul flights</w:t>
            </w:r>
          </w:p>
        </w:tc>
        <w:tc>
          <w:tcPr>
            <w:tcW w:w="188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3</w:t>
            </w:r>
          </w:p>
        </w:tc>
        <w:tc>
          <w:tcPr>
            <w:tcW w:w="254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0.6</w:t>
            </w:r>
          </w:p>
        </w:tc>
        <w:tc>
          <w:tcPr>
            <w:tcW w:w="1640" w:type="dxa"/>
            <w:tcBorders>
              <w:top w:val="nil"/>
              <w:left w:val="nil"/>
              <w:bottom w:val="nil"/>
              <w:right w:val="nil"/>
            </w:tcBorders>
            <w:shd w:val="clear" w:color="auto" w:fill="auto"/>
            <w:noWrap/>
            <w:vAlign w:val="bottom"/>
            <w:hideMark/>
          </w:tcPr>
          <w:p w:rsidR="004154F4" w:rsidRPr="004D2A94" w:rsidRDefault="004154F4" w:rsidP="00BD16F8">
            <w:pPr>
              <w:rPr>
                <w:rFonts w:cs="Calibri"/>
                <w:color w:val="000000"/>
                <w:sz w:val="22"/>
                <w:szCs w:val="22"/>
                <w:lang w:eastAsia="en-GB"/>
              </w:rPr>
            </w:pPr>
            <w:r w:rsidRPr="004D2A94">
              <w:rPr>
                <w:rFonts w:cs="Calibri"/>
                <w:color w:val="000000"/>
                <w:sz w:val="22"/>
                <w:szCs w:val="22"/>
                <w:lang w:eastAsia="en-GB"/>
              </w:rPr>
              <w:t xml:space="preserve"> </w:t>
            </w:r>
            <w:r w:rsidR="00BD16F8" w:rsidRPr="004D2A94">
              <w:rPr>
                <w:rFonts w:cs="Calibri"/>
                <w:color w:val="000000"/>
                <w:sz w:val="22"/>
                <w:szCs w:val="22"/>
                <w:lang w:eastAsia="en-GB"/>
              </w:rPr>
              <w:t>0</w:t>
            </w:r>
          </w:p>
        </w:tc>
      </w:tr>
      <w:tr w:rsidR="004154F4" w:rsidRPr="003B17BD" w:rsidTr="000E29E0">
        <w:trPr>
          <w:trHeight w:val="330"/>
        </w:trPr>
        <w:tc>
          <w:tcPr>
            <w:tcW w:w="466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Paper/Board recycling</w:t>
            </w:r>
          </w:p>
        </w:tc>
        <w:tc>
          <w:tcPr>
            <w:tcW w:w="188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3</w:t>
            </w:r>
          </w:p>
        </w:tc>
        <w:tc>
          <w:tcPr>
            <w:tcW w:w="254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0.4</w:t>
            </w:r>
          </w:p>
        </w:tc>
        <w:tc>
          <w:tcPr>
            <w:tcW w:w="1640" w:type="dxa"/>
            <w:tcBorders>
              <w:top w:val="nil"/>
              <w:left w:val="nil"/>
              <w:bottom w:val="nil"/>
              <w:right w:val="nil"/>
            </w:tcBorders>
            <w:shd w:val="clear" w:color="auto" w:fill="auto"/>
            <w:noWrap/>
            <w:vAlign w:val="bottom"/>
            <w:hideMark/>
          </w:tcPr>
          <w:p w:rsidR="004154F4" w:rsidRPr="004D2A94" w:rsidRDefault="004154F4" w:rsidP="00BD16F8">
            <w:pPr>
              <w:rPr>
                <w:rFonts w:cs="Calibri"/>
                <w:color w:val="000000"/>
                <w:sz w:val="22"/>
                <w:szCs w:val="22"/>
                <w:lang w:eastAsia="en-GB"/>
              </w:rPr>
            </w:pPr>
            <w:r w:rsidRPr="004D2A94">
              <w:rPr>
                <w:rFonts w:cs="Calibri"/>
                <w:color w:val="000000"/>
                <w:sz w:val="22"/>
                <w:szCs w:val="22"/>
                <w:lang w:eastAsia="en-GB"/>
              </w:rPr>
              <w:t xml:space="preserve"> </w:t>
            </w:r>
            <w:r w:rsidR="00BD16F8" w:rsidRPr="004D2A94">
              <w:rPr>
                <w:rFonts w:cs="Calibri"/>
                <w:color w:val="000000"/>
                <w:sz w:val="22"/>
                <w:szCs w:val="22"/>
                <w:lang w:eastAsia="en-GB"/>
              </w:rPr>
              <w:t>0</w:t>
            </w:r>
          </w:p>
        </w:tc>
      </w:tr>
      <w:tr w:rsidR="004154F4" w:rsidRPr="003B17BD" w:rsidTr="000E29E0">
        <w:trPr>
          <w:trHeight w:val="330"/>
        </w:trPr>
        <w:tc>
          <w:tcPr>
            <w:tcW w:w="466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Taxi (black Cab)</w:t>
            </w:r>
          </w:p>
        </w:tc>
        <w:tc>
          <w:tcPr>
            <w:tcW w:w="188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3</w:t>
            </w:r>
          </w:p>
        </w:tc>
        <w:tc>
          <w:tcPr>
            <w:tcW w:w="254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0.3</w:t>
            </w:r>
          </w:p>
        </w:tc>
        <w:tc>
          <w:tcPr>
            <w:tcW w:w="1640" w:type="dxa"/>
            <w:tcBorders>
              <w:top w:val="nil"/>
              <w:left w:val="nil"/>
              <w:bottom w:val="nil"/>
              <w:right w:val="nil"/>
            </w:tcBorders>
            <w:shd w:val="clear" w:color="auto" w:fill="auto"/>
            <w:noWrap/>
            <w:vAlign w:val="bottom"/>
            <w:hideMark/>
          </w:tcPr>
          <w:p w:rsidR="004154F4" w:rsidRPr="004D2A94" w:rsidRDefault="004154F4" w:rsidP="000E29E0">
            <w:pPr>
              <w:rPr>
                <w:rFonts w:cs="Calibri"/>
                <w:color w:val="000000"/>
                <w:sz w:val="22"/>
                <w:szCs w:val="22"/>
                <w:lang w:eastAsia="en-GB"/>
              </w:rPr>
            </w:pPr>
            <w:r w:rsidRPr="004D2A94">
              <w:rPr>
                <w:rFonts w:cs="Calibri"/>
                <w:color w:val="000000"/>
                <w:sz w:val="22"/>
                <w:szCs w:val="22"/>
                <w:lang w:eastAsia="en-GB"/>
              </w:rPr>
              <w:t xml:space="preserve"> </w:t>
            </w:r>
            <w:r w:rsidR="00B102B3" w:rsidRPr="004D2A94">
              <w:rPr>
                <w:rFonts w:cs="Calibri"/>
                <w:color w:val="000000"/>
                <w:sz w:val="22"/>
                <w:szCs w:val="22"/>
                <w:lang w:eastAsia="en-GB"/>
              </w:rPr>
              <w:t>0</w:t>
            </w:r>
          </w:p>
        </w:tc>
      </w:tr>
      <w:tr w:rsidR="004154F4" w:rsidRPr="003B17BD" w:rsidTr="000E29E0">
        <w:trPr>
          <w:trHeight w:val="345"/>
        </w:trPr>
        <w:tc>
          <w:tcPr>
            <w:tcW w:w="466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Batteries Recycling</w:t>
            </w:r>
          </w:p>
        </w:tc>
        <w:tc>
          <w:tcPr>
            <w:tcW w:w="188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3</w:t>
            </w:r>
          </w:p>
        </w:tc>
        <w:tc>
          <w:tcPr>
            <w:tcW w:w="2540" w:type="dxa"/>
            <w:tcBorders>
              <w:top w:val="nil"/>
              <w:left w:val="nil"/>
              <w:bottom w:val="nil"/>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0.1</w:t>
            </w:r>
          </w:p>
        </w:tc>
        <w:tc>
          <w:tcPr>
            <w:tcW w:w="1640" w:type="dxa"/>
            <w:tcBorders>
              <w:top w:val="nil"/>
              <w:left w:val="nil"/>
              <w:bottom w:val="nil"/>
              <w:right w:val="nil"/>
            </w:tcBorders>
            <w:shd w:val="clear" w:color="auto" w:fill="auto"/>
            <w:noWrap/>
            <w:vAlign w:val="bottom"/>
            <w:hideMark/>
          </w:tcPr>
          <w:p w:rsidR="004154F4" w:rsidRPr="004D2A94" w:rsidRDefault="00B102B3" w:rsidP="000E29E0">
            <w:pPr>
              <w:rPr>
                <w:rFonts w:cs="Calibri"/>
                <w:color w:val="000000"/>
                <w:sz w:val="22"/>
                <w:szCs w:val="22"/>
                <w:lang w:eastAsia="en-GB"/>
              </w:rPr>
            </w:pPr>
            <w:r w:rsidRPr="004D2A94">
              <w:rPr>
                <w:rFonts w:cs="Calibri"/>
                <w:color w:val="000000"/>
                <w:sz w:val="22"/>
                <w:szCs w:val="22"/>
                <w:lang w:eastAsia="en-GB"/>
              </w:rPr>
              <w:t xml:space="preserve"> 0</w:t>
            </w:r>
          </w:p>
        </w:tc>
      </w:tr>
      <w:tr w:rsidR="00DA2CFE" w:rsidRPr="003B17BD" w:rsidTr="000E29E0">
        <w:trPr>
          <w:trHeight w:val="345"/>
        </w:trPr>
        <w:tc>
          <w:tcPr>
            <w:tcW w:w="4660" w:type="dxa"/>
            <w:tcBorders>
              <w:top w:val="nil"/>
              <w:left w:val="nil"/>
              <w:bottom w:val="nil"/>
              <w:right w:val="nil"/>
            </w:tcBorders>
            <w:shd w:val="clear" w:color="auto" w:fill="auto"/>
            <w:noWrap/>
            <w:vAlign w:val="center"/>
          </w:tcPr>
          <w:p w:rsidR="00DA2CFE" w:rsidRPr="004D2A94" w:rsidRDefault="006426E0" w:rsidP="000E29E0">
            <w:pPr>
              <w:jc w:val="both"/>
              <w:rPr>
                <w:rFonts w:cs="Calibri"/>
                <w:color w:val="000000"/>
                <w:sz w:val="22"/>
                <w:szCs w:val="22"/>
                <w:lang w:eastAsia="en-GB"/>
              </w:rPr>
            </w:pPr>
            <w:r w:rsidRPr="004D2A94">
              <w:rPr>
                <w:rFonts w:cs="Calibri"/>
                <w:color w:val="000000"/>
                <w:sz w:val="22"/>
                <w:szCs w:val="22"/>
                <w:lang w:eastAsia="en-GB"/>
              </w:rPr>
              <w:t>Homeworking Emiss</w:t>
            </w:r>
            <w:r w:rsidR="00DA2CFE" w:rsidRPr="004D2A94">
              <w:rPr>
                <w:rFonts w:cs="Calibri"/>
                <w:color w:val="000000"/>
                <w:sz w:val="22"/>
                <w:szCs w:val="22"/>
                <w:lang w:eastAsia="en-GB"/>
              </w:rPr>
              <w:t xml:space="preserve">ions </w:t>
            </w:r>
          </w:p>
        </w:tc>
        <w:tc>
          <w:tcPr>
            <w:tcW w:w="1880" w:type="dxa"/>
            <w:tcBorders>
              <w:top w:val="nil"/>
              <w:left w:val="nil"/>
              <w:bottom w:val="nil"/>
              <w:right w:val="nil"/>
            </w:tcBorders>
            <w:shd w:val="clear" w:color="auto" w:fill="auto"/>
            <w:noWrap/>
            <w:vAlign w:val="center"/>
          </w:tcPr>
          <w:p w:rsidR="00DA2CFE" w:rsidRPr="004D2A94" w:rsidRDefault="00DA2CFE" w:rsidP="000E29E0">
            <w:pPr>
              <w:jc w:val="both"/>
              <w:rPr>
                <w:rFonts w:cs="Calibri"/>
                <w:color w:val="000000"/>
                <w:sz w:val="22"/>
                <w:szCs w:val="22"/>
                <w:lang w:eastAsia="en-GB"/>
              </w:rPr>
            </w:pPr>
            <w:r w:rsidRPr="004D2A94">
              <w:rPr>
                <w:rFonts w:cs="Calibri"/>
                <w:color w:val="000000"/>
                <w:sz w:val="22"/>
                <w:szCs w:val="22"/>
                <w:lang w:eastAsia="en-GB"/>
              </w:rPr>
              <w:t>3</w:t>
            </w:r>
          </w:p>
        </w:tc>
        <w:tc>
          <w:tcPr>
            <w:tcW w:w="2540" w:type="dxa"/>
            <w:tcBorders>
              <w:top w:val="nil"/>
              <w:left w:val="nil"/>
              <w:bottom w:val="nil"/>
              <w:right w:val="nil"/>
            </w:tcBorders>
            <w:shd w:val="clear" w:color="auto" w:fill="auto"/>
            <w:noWrap/>
            <w:vAlign w:val="center"/>
          </w:tcPr>
          <w:p w:rsidR="00DA2CFE" w:rsidRPr="004D2A94" w:rsidRDefault="00DA2CFE" w:rsidP="000E29E0">
            <w:pPr>
              <w:jc w:val="both"/>
              <w:rPr>
                <w:rFonts w:cs="Calibri"/>
                <w:color w:val="000000"/>
                <w:sz w:val="22"/>
                <w:szCs w:val="22"/>
                <w:lang w:eastAsia="en-GB"/>
              </w:rPr>
            </w:pPr>
            <w:r w:rsidRPr="004D2A94">
              <w:rPr>
                <w:rFonts w:cs="Calibri"/>
                <w:color w:val="000000"/>
                <w:sz w:val="22"/>
                <w:szCs w:val="22"/>
                <w:lang w:eastAsia="en-GB"/>
              </w:rPr>
              <w:t>0</w:t>
            </w:r>
          </w:p>
        </w:tc>
        <w:tc>
          <w:tcPr>
            <w:tcW w:w="1640" w:type="dxa"/>
            <w:tcBorders>
              <w:top w:val="nil"/>
              <w:left w:val="nil"/>
              <w:bottom w:val="nil"/>
              <w:right w:val="nil"/>
            </w:tcBorders>
            <w:shd w:val="clear" w:color="auto" w:fill="auto"/>
            <w:noWrap/>
            <w:vAlign w:val="bottom"/>
          </w:tcPr>
          <w:p w:rsidR="00DA2CFE" w:rsidRPr="004D2A94" w:rsidRDefault="006426E0" w:rsidP="000E29E0">
            <w:pPr>
              <w:rPr>
                <w:rFonts w:cs="Calibri"/>
                <w:color w:val="000000"/>
                <w:sz w:val="22"/>
                <w:szCs w:val="22"/>
                <w:lang w:eastAsia="en-GB"/>
              </w:rPr>
            </w:pPr>
            <w:r w:rsidRPr="004D2A94">
              <w:rPr>
                <w:rFonts w:cs="Calibri"/>
                <w:color w:val="000000"/>
                <w:sz w:val="22"/>
                <w:szCs w:val="22"/>
                <w:lang w:eastAsia="en-GB"/>
              </w:rPr>
              <w:t>68.9</w:t>
            </w:r>
          </w:p>
        </w:tc>
      </w:tr>
      <w:tr w:rsidR="004154F4" w:rsidRPr="003B17BD" w:rsidTr="000E29E0">
        <w:trPr>
          <w:trHeight w:val="345"/>
        </w:trPr>
        <w:tc>
          <w:tcPr>
            <w:tcW w:w="4660" w:type="dxa"/>
            <w:tcBorders>
              <w:top w:val="single" w:sz="8" w:space="0" w:color="auto"/>
              <w:left w:val="nil"/>
              <w:bottom w:val="single" w:sz="8" w:space="0" w:color="auto"/>
              <w:right w:val="nil"/>
            </w:tcBorders>
            <w:shd w:val="clear" w:color="auto" w:fill="auto"/>
            <w:noWrap/>
            <w:vAlign w:val="center"/>
            <w:hideMark/>
          </w:tcPr>
          <w:p w:rsidR="004154F4" w:rsidRPr="004D2A94" w:rsidRDefault="004154F4" w:rsidP="000E29E0">
            <w:pPr>
              <w:jc w:val="both"/>
              <w:rPr>
                <w:rFonts w:cs="Calibri"/>
                <w:color w:val="000000"/>
                <w:sz w:val="22"/>
                <w:szCs w:val="22"/>
                <w:lang w:eastAsia="en-GB"/>
              </w:rPr>
            </w:pPr>
            <w:r w:rsidRPr="004D2A94">
              <w:rPr>
                <w:rFonts w:cs="Calibri"/>
                <w:color w:val="000000"/>
                <w:sz w:val="22"/>
                <w:szCs w:val="22"/>
                <w:lang w:eastAsia="en-GB"/>
              </w:rPr>
              <w:t> </w:t>
            </w:r>
          </w:p>
        </w:tc>
        <w:tc>
          <w:tcPr>
            <w:tcW w:w="1880" w:type="dxa"/>
            <w:tcBorders>
              <w:top w:val="single" w:sz="8" w:space="0" w:color="auto"/>
              <w:left w:val="nil"/>
              <w:bottom w:val="single" w:sz="8" w:space="0" w:color="auto"/>
              <w:right w:val="nil"/>
            </w:tcBorders>
            <w:shd w:val="clear" w:color="auto" w:fill="auto"/>
            <w:noWrap/>
            <w:vAlign w:val="center"/>
            <w:hideMark/>
          </w:tcPr>
          <w:p w:rsidR="004154F4" w:rsidRPr="004D2A94" w:rsidRDefault="004154F4" w:rsidP="000E29E0">
            <w:pPr>
              <w:jc w:val="both"/>
              <w:rPr>
                <w:rFonts w:cs="Calibri"/>
                <w:b/>
                <w:bCs/>
                <w:color w:val="000000"/>
                <w:sz w:val="22"/>
                <w:szCs w:val="22"/>
                <w:lang w:eastAsia="en-GB"/>
              </w:rPr>
            </w:pPr>
            <w:r w:rsidRPr="004D2A94">
              <w:rPr>
                <w:rFonts w:cs="Calibri"/>
                <w:b/>
                <w:bCs/>
                <w:color w:val="000000"/>
                <w:sz w:val="22"/>
                <w:szCs w:val="22"/>
                <w:lang w:eastAsia="en-GB"/>
              </w:rPr>
              <w:t>TOTAL</w:t>
            </w:r>
          </w:p>
        </w:tc>
        <w:tc>
          <w:tcPr>
            <w:tcW w:w="2540" w:type="dxa"/>
            <w:tcBorders>
              <w:top w:val="single" w:sz="8" w:space="0" w:color="auto"/>
              <w:left w:val="nil"/>
              <w:bottom w:val="single" w:sz="8" w:space="0" w:color="auto"/>
              <w:right w:val="nil"/>
            </w:tcBorders>
            <w:shd w:val="clear" w:color="auto" w:fill="auto"/>
            <w:noWrap/>
            <w:vAlign w:val="center"/>
            <w:hideMark/>
          </w:tcPr>
          <w:p w:rsidR="004154F4" w:rsidRPr="004D2A94" w:rsidRDefault="004154F4" w:rsidP="000E29E0">
            <w:pPr>
              <w:jc w:val="both"/>
              <w:rPr>
                <w:rFonts w:cs="Calibri"/>
                <w:b/>
                <w:bCs/>
                <w:color w:val="000000"/>
                <w:sz w:val="22"/>
                <w:szCs w:val="22"/>
                <w:lang w:eastAsia="en-GB"/>
              </w:rPr>
            </w:pPr>
            <w:r w:rsidRPr="004D2A94">
              <w:rPr>
                <w:rFonts w:cs="Calibri"/>
                <w:b/>
                <w:bCs/>
                <w:color w:val="000000"/>
                <w:sz w:val="22"/>
                <w:szCs w:val="22"/>
                <w:lang w:eastAsia="en-GB"/>
              </w:rPr>
              <w:t>425.9</w:t>
            </w:r>
          </w:p>
        </w:tc>
        <w:tc>
          <w:tcPr>
            <w:tcW w:w="1640" w:type="dxa"/>
            <w:tcBorders>
              <w:top w:val="single" w:sz="8" w:space="0" w:color="auto"/>
              <w:left w:val="nil"/>
              <w:bottom w:val="single" w:sz="8" w:space="0" w:color="auto"/>
              <w:right w:val="nil"/>
            </w:tcBorders>
            <w:shd w:val="clear" w:color="auto" w:fill="auto"/>
            <w:noWrap/>
            <w:vAlign w:val="center"/>
            <w:hideMark/>
          </w:tcPr>
          <w:p w:rsidR="004154F4" w:rsidRPr="004D2A94" w:rsidRDefault="00DA2CFE" w:rsidP="000E29E0">
            <w:pPr>
              <w:rPr>
                <w:rFonts w:cs="Calibri"/>
                <w:b/>
                <w:bCs/>
                <w:color w:val="000000"/>
                <w:sz w:val="22"/>
                <w:szCs w:val="22"/>
                <w:lang w:eastAsia="en-GB"/>
              </w:rPr>
            </w:pPr>
            <w:r w:rsidRPr="004D2A94">
              <w:rPr>
                <w:rFonts w:cs="Calibri"/>
                <w:b/>
                <w:bCs/>
                <w:color w:val="000000"/>
                <w:sz w:val="22"/>
                <w:szCs w:val="22"/>
                <w:lang w:eastAsia="en-GB"/>
              </w:rPr>
              <w:t>2</w:t>
            </w:r>
            <w:r w:rsidR="00BD1F80" w:rsidRPr="004D2A94">
              <w:rPr>
                <w:rFonts w:cs="Calibri"/>
                <w:b/>
                <w:bCs/>
                <w:color w:val="000000"/>
                <w:sz w:val="22"/>
                <w:szCs w:val="22"/>
                <w:lang w:eastAsia="en-GB"/>
              </w:rPr>
              <w:t>05.93</w:t>
            </w:r>
          </w:p>
        </w:tc>
      </w:tr>
    </w:tbl>
    <w:p w:rsidR="004D2A94" w:rsidRDefault="004D2A94" w:rsidP="004154F4">
      <w:pPr>
        <w:jc w:val="both"/>
        <w:rPr>
          <w:sz w:val="22"/>
          <w:szCs w:val="22"/>
        </w:rPr>
      </w:pPr>
    </w:p>
    <w:p w:rsidR="004D2A94" w:rsidRDefault="004D2A94" w:rsidP="004154F4">
      <w:pPr>
        <w:jc w:val="both"/>
        <w:rPr>
          <w:sz w:val="22"/>
          <w:szCs w:val="22"/>
        </w:rPr>
      </w:pPr>
    </w:p>
    <w:p w:rsidR="004154F4" w:rsidRPr="00B102B3" w:rsidRDefault="00B102B3" w:rsidP="004154F4">
      <w:pPr>
        <w:jc w:val="both"/>
        <w:rPr>
          <w:sz w:val="22"/>
          <w:szCs w:val="22"/>
        </w:rPr>
      </w:pPr>
      <w:r w:rsidRPr="00B102B3">
        <w:rPr>
          <w:sz w:val="22"/>
          <w:szCs w:val="22"/>
        </w:rPr>
        <w:t>Previous reporting did not include homeworking emissions</w:t>
      </w:r>
    </w:p>
    <w:p w:rsidR="004154F4" w:rsidRPr="003B17BD" w:rsidRDefault="004154F4" w:rsidP="004154F4">
      <w:pPr>
        <w:jc w:val="both"/>
        <w:rPr>
          <w:sz w:val="22"/>
          <w:szCs w:val="22"/>
          <w:highlight w:val="yellow"/>
        </w:rPr>
      </w:pPr>
    </w:p>
    <w:p w:rsidR="004154F4" w:rsidRPr="004D2A94" w:rsidRDefault="004154F4" w:rsidP="004154F4">
      <w:pPr>
        <w:jc w:val="both"/>
        <w:rPr>
          <w:sz w:val="22"/>
          <w:szCs w:val="22"/>
        </w:rPr>
      </w:pPr>
      <w:r w:rsidRPr="004D2A94">
        <w:rPr>
          <w:sz w:val="22"/>
          <w:szCs w:val="22"/>
        </w:rPr>
        <w:t xml:space="preserve">Our aim is that by </w:t>
      </w:r>
      <w:r w:rsidR="009000D7" w:rsidRPr="004D2A94">
        <w:rPr>
          <w:sz w:val="22"/>
          <w:szCs w:val="22"/>
        </w:rPr>
        <w:t xml:space="preserve">the end of </w:t>
      </w:r>
      <w:r w:rsidRPr="004D2A94">
        <w:rPr>
          <w:sz w:val="22"/>
          <w:szCs w:val="22"/>
        </w:rPr>
        <w:t>2022, SLAB will have reduced its carbon emissions by 10% on a baseline of 2015. This equates to a figure of 42.6 tonnes CO2e in 2015. Emissions recorded in 20</w:t>
      </w:r>
      <w:r w:rsidR="00C72E68" w:rsidRPr="004D2A94">
        <w:rPr>
          <w:sz w:val="22"/>
          <w:szCs w:val="22"/>
        </w:rPr>
        <w:t>20</w:t>
      </w:r>
      <w:r w:rsidRPr="004D2A94">
        <w:rPr>
          <w:sz w:val="22"/>
          <w:szCs w:val="22"/>
        </w:rPr>
        <w:t>-</w:t>
      </w:r>
      <w:r w:rsidR="00C72E68" w:rsidRPr="004D2A94">
        <w:rPr>
          <w:sz w:val="22"/>
          <w:szCs w:val="22"/>
        </w:rPr>
        <w:t>21</w:t>
      </w:r>
      <w:r w:rsidRPr="004D2A94">
        <w:rPr>
          <w:sz w:val="22"/>
          <w:szCs w:val="22"/>
        </w:rPr>
        <w:t xml:space="preserve"> demonstrate that we are currently </w:t>
      </w:r>
      <w:r w:rsidR="00C72E68" w:rsidRPr="004D2A94">
        <w:rPr>
          <w:sz w:val="22"/>
          <w:szCs w:val="22"/>
        </w:rPr>
        <w:t xml:space="preserve">220 </w:t>
      </w:r>
      <w:r w:rsidRPr="004D2A94">
        <w:rPr>
          <w:sz w:val="22"/>
          <w:szCs w:val="22"/>
        </w:rPr>
        <w:t xml:space="preserve">tonnes of CO2e or </w:t>
      </w:r>
      <w:r w:rsidR="00C72E68" w:rsidRPr="004D2A94">
        <w:rPr>
          <w:sz w:val="22"/>
          <w:szCs w:val="22"/>
        </w:rPr>
        <w:t>52</w:t>
      </w:r>
      <w:r w:rsidRPr="004D2A94">
        <w:rPr>
          <w:sz w:val="22"/>
          <w:szCs w:val="22"/>
        </w:rPr>
        <w:t xml:space="preserve">% below the baseline </w:t>
      </w:r>
      <w:r w:rsidR="00C72E68" w:rsidRPr="004D2A94">
        <w:rPr>
          <w:sz w:val="22"/>
          <w:szCs w:val="22"/>
        </w:rPr>
        <w:t>recorded in 2015 and have therefore achieved this target.    The 2020-21 fi</w:t>
      </w:r>
      <w:r w:rsidR="00172A06" w:rsidRPr="004D2A94">
        <w:rPr>
          <w:sz w:val="22"/>
          <w:szCs w:val="22"/>
        </w:rPr>
        <w:t>gures were, of course, our emissions during a period when the office was largely closed to the majority of staff and it is likely that the emissions will increase slightly during 2021-22</w:t>
      </w:r>
      <w:r w:rsidR="00183B5A">
        <w:rPr>
          <w:sz w:val="22"/>
          <w:szCs w:val="22"/>
        </w:rPr>
        <w:t>, with a more significant increase once building use rises during 2022.</w:t>
      </w:r>
      <w:r w:rsidR="00172A06" w:rsidRPr="004D2A94">
        <w:rPr>
          <w:sz w:val="22"/>
          <w:szCs w:val="22"/>
        </w:rPr>
        <w:t xml:space="preserve"> </w:t>
      </w:r>
    </w:p>
    <w:p w:rsidR="004154F4" w:rsidRPr="00ED6C0A" w:rsidRDefault="004154F4" w:rsidP="004154F4">
      <w:pPr>
        <w:pStyle w:val="Heading3"/>
        <w:rPr>
          <w:b/>
          <w:bCs/>
          <w:szCs w:val="22"/>
        </w:rPr>
      </w:pPr>
      <w:r w:rsidRPr="004D2A94">
        <w:rPr>
          <w:b/>
          <w:bCs/>
          <w:szCs w:val="22"/>
        </w:rPr>
        <w:t xml:space="preserve">Internal Audit </w:t>
      </w:r>
      <w:r w:rsidR="00172A06" w:rsidRPr="004D2A94">
        <w:rPr>
          <w:b/>
          <w:bCs/>
          <w:szCs w:val="22"/>
        </w:rPr>
        <w:t>verified the accuracy of figures submitted for the 2020-21 return.</w:t>
      </w:r>
    </w:p>
    <w:p w:rsidR="004154F4" w:rsidRPr="00ED6C0A" w:rsidRDefault="004154F4" w:rsidP="004154F4"/>
    <w:p w:rsidR="004154F4" w:rsidRPr="00ED6C0A" w:rsidRDefault="004154F4" w:rsidP="004154F4">
      <w:pPr>
        <w:pStyle w:val="Heading3"/>
        <w:rPr>
          <w:szCs w:val="22"/>
        </w:rPr>
      </w:pPr>
      <w:r>
        <w:rPr>
          <w:szCs w:val="22"/>
        </w:rPr>
        <w:br w:type="page"/>
      </w:r>
      <w:r w:rsidRPr="00ED6C0A">
        <w:rPr>
          <w:szCs w:val="22"/>
        </w:rPr>
        <w:lastRenderedPageBreak/>
        <w:t>5.</w:t>
      </w:r>
      <w:r w:rsidRPr="00ED6C0A">
        <w:rPr>
          <w:szCs w:val="22"/>
        </w:rPr>
        <w:tab/>
      </w:r>
      <w:r w:rsidRPr="00BC2181">
        <w:rPr>
          <w:b/>
          <w:i w:val="0"/>
          <w:sz w:val="22"/>
          <w:szCs w:val="22"/>
        </w:rPr>
        <w:t>Roles and Responsibilities</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 xml:space="preserve">SLAB is a Non-Departmental Public Body sponsored by the Scottish Government. The Board meets regularly and monitors operational and financial performance and considers the plans and strategic direction of SLAB. </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 xml:space="preserve">The Chief Executive and Accountable Officer leads a Leadership Team made up of the directors responsible for the operational and administrative functions of SLAB. Within the Leadership Team, the Director of Corporate Services and Accounts has responsibility for property matters, which are managed on a day to day basis by a Facilities Manager, a property management professional, who deals with all property matters. </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In line with the requirements of the Scottish Public Finance Manual, which include an options appraisal covering public estate options looking at Smarter Workplace principles in terms of space use and potential for co-</w:t>
      </w:r>
      <w:r w:rsidRPr="00BD393F">
        <w:rPr>
          <w:sz w:val="22"/>
          <w:szCs w:val="22"/>
        </w:rPr>
        <w:t>location, all property purchases or leases must be approved at their inception or on renewal by the Cabinet Secretary for Finance, Economy and Fair Work. SLAB’s Director of Corporate Services is responsible for liaising with the Sponsor Division to secure the support of the Cabinet Secretary for Justice (on the basis of a properly constructed business plan) to recommend approval to the Cabinet Secretary for Finance, Economy and Fair Work.</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Leases are signed by the Chief Executive on the basis of advice from the Director of Corporate Services and Accounts that:</w:t>
      </w:r>
    </w:p>
    <w:p w:rsidR="004154F4" w:rsidRPr="00ED6C0A" w:rsidRDefault="004154F4" w:rsidP="004273FF">
      <w:pPr>
        <w:numPr>
          <w:ilvl w:val="0"/>
          <w:numId w:val="10"/>
        </w:numPr>
        <w:tabs>
          <w:tab w:val="clear" w:pos="720"/>
          <w:tab w:val="num" w:pos="360"/>
        </w:tabs>
        <w:ind w:left="357" w:hanging="357"/>
        <w:jc w:val="both"/>
        <w:rPr>
          <w:sz w:val="22"/>
          <w:szCs w:val="22"/>
        </w:rPr>
      </w:pPr>
      <w:r w:rsidRPr="00ED6C0A">
        <w:rPr>
          <w:sz w:val="22"/>
          <w:szCs w:val="22"/>
        </w:rPr>
        <w:t>the business case is sound and that the lease represents best value, including in terms of the level of risk over property condition and dilapidation;</w:t>
      </w:r>
    </w:p>
    <w:p w:rsidR="004154F4" w:rsidRPr="00ED6C0A" w:rsidRDefault="004154F4" w:rsidP="004273FF">
      <w:pPr>
        <w:numPr>
          <w:ilvl w:val="0"/>
          <w:numId w:val="10"/>
        </w:numPr>
        <w:tabs>
          <w:tab w:val="clear" w:pos="720"/>
          <w:tab w:val="num" w:pos="360"/>
        </w:tabs>
        <w:ind w:left="357" w:hanging="357"/>
        <w:jc w:val="both"/>
        <w:rPr>
          <w:sz w:val="22"/>
          <w:szCs w:val="22"/>
        </w:rPr>
      </w:pPr>
      <w:r w:rsidRPr="00ED6C0A">
        <w:rPr>
          <w:sz w:val="22"/>
          <w:szCs w:val="22"/>
        </w:rPr>
        <w:t>the appropriate approvals have been gained from the Scottish Government;</w:t>
      </w:r>
    </w:p>
    <w:p w:rsidR="004154F4" w:rsidRPr="00ED6C0A" w:rsidRDefault="004154F4" w:rsidP="004273FF">
      <w:pPr>
        <w:numPr>
          <w:ilvl w:val="0"/>
          <w:numId w:val="10"/>
        </w:numPr>
        <w:tabs>
          <w:tab w:val="clear" w:pos="720"/>
          <w:tab w:val="num" w:pos="360"/>
        </w:tabs>
        <w:ind w:left="360"/>
        <w:jc w:val="both"/>
        <w:rPr>
          <w:sz w:val="22"/>
          <w:szCs w:val="22"/>
        </w:rPr>
      </w:pPr>
      <w:r w:rsidRPr="00ED6C0A">
        <w:rPr>
          <w:sz w:val="22"/>
          <w:szCs w:val="22"/>
        </w:rPr>
        <w:t xml:space="preserve">legal advice has been obtained that indicates that the terms and conditions of the lease seem appropriate, that appropriate property searches have been undertaken and that no unreasonable burdens exist over the property.  </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Long term planning is the responsibility of the Chief Executive, with the Accommodation Plan agreed by the Board, supported by Directors and implementation undertaken by the Facilities Manager.</w:t>
      </w:r>
    </w:p>
    <w:p w:rsidR="004154F4" w:rsidRPr="00ED6C0A" w:rsidRDefault="004154F4" w:rsidP="004154F4">
      <w:pPr>
        <w:jc w:val="both"/>
        <w:rPr>
          <w:sz w:val="22"/>
          <w:szCs w:val="22"/>
        </w:rPr>
      </w:pPr>
    </w:p>
    <w:p w:rsidR="004154F4" w:rsidRPr="00ED6C0A" w:rsidRDefault="004154F4" w:rsidP="004154F4">
      <w:pPr>
        <w:pStyle w:val="Heading3"/>
        <w:rPr>
          <w:szCs w:val="22"/>
        </w:rPr>
      </w:pPr>
      <w:r>
        <w:rPr>
          <w:szCs w:val="22"/>
        </w:rPr>
        <w:br w:type="page"/>
      </w:r>
      <w:r w:rsidRPr="00ED6C0A">
        <w:rPr>
          <w:szCs w:val="22"/>
        </w:rPr>
        <w:lastRenderedPageBreak/>
        <w:t>6.</w:t>
      </w:r>
      <w:r w:rsidRPr="00ED6C0A">
        <w:rPr>
          <w:szCs w:val="22"/>
        </w:rPr>
        <w:tab/>
      </w:r>
      <w:r w:rsidRPr="00BC2181">
        <w:rPr>
          <w:b/>
          <w:i w:val="0"/>
          <w:sz w:val="22"/>
          <w:szCs w:val="22"/>
        </w:rPr>
        <w:t>Review and Challenge</w:t>
      </w:r>
    </w:p>
    <w:p w:rsidR="004154F4" w:rsidRPr="00ED6C0A" w:rsidRDefault="004154F4" w:rsidP="004154F4">
      <w:pPr>
        <w:rPr>
          <w:strike/>
          <w:sz w:val="22"/>
          <w:szCs w:val="22"/>
        </w:rPr>
      </w:pPr>
    </w:p>
    <w:p w:rsidR="004154F4" w:rsidRPr="00ED6C0A" w:rsidRDefault="004154F4" w:rsidP="004154F4">
      <w:pPr>
        <w:jc w:val="both"/>
        <w:rPr>
          <w:sz w:val="22"/>
          <w:szCs w:val="22"/>
        </w:rPr>
      </w:pPr>
      <w:r w:rsidRPr="00ED6C0A">
        <w:rPr>
          <w:sz w:val="22"/>
          <w:szCs w:val="22"/>
        </w:rPr>
        <w:t>A new and relatively modern open plan office (main administration office) gives us the opportunity to challenge the way we work. No longer constrained by cellular offices and the limitations imposed by Georgian townhouses we have been able to model the workplace to suit our needs both now and in the future. New technologies already in place in Thistle House will be examined and expanded upon where successful and we will use our knowledge gained to bring our own best practice to fruition.</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rPr>
        <w:t xml:space="preserve">We continue to work closely with Scottish Government Property Department who have been very supportive of our move to Thistle House, and have ongoing dialogue with the Scottish Futures Trust, (SFT). </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sz w:val="22"/>
          <w:szCs w:val="22"/>
          <w:lang w:eastAsia="en-GB"/>
        </w:rPr>
        <w:t>The Scottish Futures Trust (SFT) is an independent company, established by the Scottish Government with a responsibility for delivering value for money across public sector infrastructure investment. SFT operates at arm's length from the Government but works closely with the public sector to seek and deliver improved value for taxpayers. SFT has a team of 70 professionals working to increase the efficiency and effectiveness of infrastructure investment in Scotland. The team, drawn from public and private sector backgrounds, have a range of technical, legal and financial skills, and bring extensive commercial expertise in infrastructure financing, procurement and delivery into the public sector.</w:t>
      </w:r>
      <w:r w:rsidRPr="00ED6C0A">
        <w:rPr>
          <w:sz w:val="22"/>
          <w:szCs w:val="22"/>
        </w:rPr>
        <w:t xml:space="preserve"> It is important to recognise the level of influence and input to Scottish Government that SFT has in respect of property asset management.</w:t>
      </w:r>
    </w:p>
    <w:p w:rsidR="004154F4" w:rsidRPr="00ED6C0A" w:rsidRDefault="004154F4" w:rsidP="004154F4">
      <w:pPr>
        <w:jc w:val="both"/>
        <w:rPr>
          <w:sz w:val="22"/>
          <w:szCs w:val="22"/>
        </w:rPr>
      </w:pPr>
    </w:p>
    <w:p w:rsidR="004154F4" w:rsidRPr="00ED6C0A" w:rsidRDefault="004154F4" w:rsidP="004154F4">
      <w:pPr>
        <w:jc w:val="both"/>
        <w:rPr>
          <w:sz w:val="22"/>
          <w:szCs w:val="22"/>
        </w:rPr>
      </w:pPr>
      <w:r w:rsidRPr="00ED6C0A">
        <w:rPr>
          <w:b/>
          <w:bCs/>
          <w:sz w:val="22"/>
          <w:szCs w:val="22"/>
        </w:rPr>
        <w:t xml:space="preserve">Smarter Working - </w:t>
      </w:r>
      <w:r w:rsidRPr="00ED6C0A">
        <w:rPr>
          <w:sz w:val="22"/>
          <w:szCs w:val="22"/>
        </w:rPr>
        <w:t>The Way We Work (TW3 for short) is a Cabinet Office led cross-departmental programme designed to help realise the Civil Service Reform Plan’s aim of ‘Creating a decent working environment for all staff, with modern workplaces enabling flexible working, substantially improving IT tools and streamlining security requirements to be less burdensome for staff’.</w:t>
      </w:r>
    </w:p>
    <w:p w:rsidR="004154F4" w:rsidRPr="00ED6C0A" w:rsidRDefault="004154F4" w:rsidP="004154F4">
      <w:pPr>
        <w:jc w:val="both"/>
        <w:rPr>
          <w:sz w:val="22"/>
          <w:szCs w:val="22"/>
        </w:rPr>
      </w:pPr>
      <w:r w:rsidRPr="00ED6C0A">
        <w:rPr>
          <w:sz w:val="22"/>
          <w:szCs w:val="22"/>
        </w:rPr>
        <w:t xml:space="preserve"> </w:t>
      </w:r>
    </w:p>
    <w:p w:rsidR="004154F4" w:rsidRDefault="004154F4" w:rsidP="004154F4">
      <w:pPr>
        <w:jc w:val="both"/>
      </w:pPr>
      <w:r w:rsidRPr="00ED6C0A">
        <w:rPr>
          <w:sz w:val="22"/>
          <w:szCs w:val="22"/>
        </w:rPr>
        <w:t xml:space="preserve">All Government departments have now started </w:t>
      </w:r>
      <w:r w:rsidRPr="00ED6C0A">
        <w:rPr>
          <w:b/>
          <w:bCs/>
          <w:sz w:val="22"/>
          <w:szCs w:val="22"/>
        </w:rPr>
        <w:t xml:space="preserve">Smarter Working </w:t>
      </w:r>
      <w:r w:rsidRPr="00ED6C0A">
        <w:rPr>
          <w:sz w:val="22"/>
          <w:szCs w:val="22"/>
        </w:rPr>
        <w:t>strategies co-ordinated through the TW3 programme: a game changer for Civil Service Reform. This also impacts across all NDPBs, including SLAB</w:t>
      </w:r>
      <w:r w:rsidRPr="00ED6C0A">
        <w:t>.</w:t>
      </w:r>
    </w:p>
    <w:p w:rsidR="006268EF" w:rsidRPr="00ED6C0A" w:rsidRDefault="006268EF" w:rsidP="004154F4">
      <w:pPr>
        <w:jc w:val="both"/>
      </w:pPr>
    </w:p>
    <w:p w:rsidR="004154F4" w:rsidRPr="00ED6C0A" w:rsidRDefault="004154F4" w:rsidP="006268EF">
      <w:pPr>
        <w:rPr>
          <w:sz w:val="22"/>
          <w:szCs w:val="22"/>
          <w:lang w:eastAsia="en-GB"/>
        </w:rPr>
      </w:pPr>
      <w:r w:rsidRPr="00ED6C0A">
        <w:rPr>
          <w:sz w:val="22"/>
          <w:szCs w:val="22"/>
          <w:lang w:eastAsia="en-GB"/>
        </w:rPr>
        <w:t>This also corresponds with the new Scottish Government Estate Strategy</w:t>
      </w:r>
      <w:r w:rsidRPr="00ED6C0A">
        <w:t xml:space="preserve"> </w:t>
      </w:r>
      <w:r w:rsidRPr="00ED6C0A">
        <w:rPr>
          <w:sz w:val="22"/>
          <w:szCs w:val="22"/>
          <w:lang w:eastAsia="en-GB"/>
        </w:rPr>
        <w:t>where the Smarter Workplaces Programme, where the Property Division and the Scottish Futures Trust will support Scottish Government and its public body network to deliver the Estate Strategy through the following:</w:t>
      </w:r>
    </w:p>
    <w:p w:rsidR="004154F4" w:rsidRPr="00ED6C0A" w:rsidRDefault="004154F4" w:rsidP="004273FF">
      <w:pPr>
        <w:numPr>
          <w:ilvl w:val="0"/>
          <w:numId w:val="16"/>
        </w:numPr>
        <w:jc w:val="both"/>
        <w:rPr>
          <w:sz w:val="22"/>
          <w:szCs w:val="22"/>
          <w:lang w:eastAsia="en-GB"/>
        </w:rPr>
      </w:pPr>
      <w:r w:rsidRPr="00ED6C0A">
        <w:rPr>
          <w:sz w:val="22"/>
          <w:szCs w:val="22"/>
          <w:lang w:eastAsia="en-GB"/>
        </w:rPr>
        <w:t xml:space="preserve">Engagement. </w:t>
      </w:r>
    </w:p>
    <w:p w:rsidR="004154F4" w:rsidRPr="00ED6C0A" w:rsidRDefault="004154F4" w:rsidP="004154F4">
      <w:pPr>
        <w:ind w:left="720"/>
        <w:jc w:val="both"/>
        <w:rPr>
          <w:sz w:val="22"/>
          <w:szCs w:val="22"/>
          <w:lang w:eastAsia="en-GB"/>
        </w:rPr>
      </w:pPr>
      <w:r w:rsidRPr="00ED6C0A">
        <w:rPr>
          <w:sz w:val="22"/>
          <w:szCs w:val="22"/>
          <w:lang w:eastAsia="en-GB"/>
        </w:rPr>
        <w:t>Work with organisations on the emerging strategic opportunities to deliver a more efficient estate.</w:t>
      </w:r>
    </w:p>
    <w:p w:rsidR="004154F4" w:rsidRPr="00ED6C0A" w:rsidRDefault="004154F4" w:rsidP="004273FF">
      <w:pPr>
        <w:numPr>
          <w:ilvl w:val="0"/>
          <w:numId w:val="16"/>
        </w:numPr>
        <w:jc w:val="both"/>
        <w:rPr>
          <w:sz w:val="22"/>
          <w:szCs w:val="22"/>
          <w:lang w:eastAsia="en-GB"/>
        </w:rPr>
      </w:pPr>
      <w:r w:rsidRPr="00ED6C0A">
        <w:rPr>
          <w:sz w:val="22"/>
          <w:szCs w:val="22"/>
          <w:lang w:eastAsia="en-GB"/>
        </w:rPr>
        <w:t xml:space="preserve">Smart Working. </w:t>
      </w:r>
    </w:p>
    <w:p w:rsidR="004154F4" w:rsidRPr="00ED6C0A" w:rsidRDefault="004154F4" w:rsidP="004154F4">
      <w:pPr>
        <w:ind w:left="720"/>
        <w:jc w:val="both"/>
        <w:rPr>
          <w:sz w:val="22"/>
          <w:szCs w:val="22"/>
          <w:lang w:eastAsia="en-GB"/>
        </w:rPr>
      </w:pPr>
      <w:r w:rsidRPr="00ED6C0A">
        <w:rPr>
          <w:sz w:val="22"/>
          <w:szCs w:val="22"/>
          <w:lang w:eastAsia="en-GB"/>
        </w:rPr>
        <w:t>Continue to share best practice in how the workplace can enable changing ways of working and support staff wellbeing.</w:t>
      </w:r>
    </w:p>
    <w:p w:rsidR="004154F4" w:rsidRPr="00ED6C0A" w:rsidRDefault="004154F4" w:rsidP="004273FF">
      <w:pPr>
        <w:numPr>
          <w:ilvl w:val="0"/>
          <w:numId w:val="16"/>
        </w:numPr>
        <w:jc w:val="both"/>
        <w:rPr>
          <w:sz w:val="22"/>
          <w:szCs w:val="22"/>
          <w:lang w:eastAsia="en-GB"/>
        </w:rPr>
      </w:pPr>
      <w:r w:rsidRPr="00ED6C0A">
        <w:rPr>
          <w:sz w:val="22"/>
          <w:szCs w:val="22"/>
          <w:lang w:eastAsia="en-GB"/>
        </w:rPr>
        <w:t xml:space="preserve">Data. </w:t>
      </w:r>
    </w:p>
    <w:p w:rsidR="004154F4" w:rsidRPr="00ED6C0A" w:rsidRDefault="004154F4" w:rsidP="004154F4">
      <w:pPr>
        <w:ind w:left="720"/>
        <w:jc w:val="both"/>
        <w:rPr>
          <w:sz w:val="22"/>
          <w:szCs w:val="22"/>
          <w:lang w:eastAsia="en-GB"/>
        </w:rPr>
      </w:pPr>
      <w:r w:rsidRPr="00ED6C0A">
        <w:rPr>
          <w:sz w:val="22"/>
          <w:szCs w:val="22"/>
          <w:lang w:eastAsia="en-GB"/>
        </w:rPr>
        <w:t>Identify an approach which supports the efficient collection of estates data and will support organisations with their estate management planning.</w:t>
      </w:r>
    </w:p>
    <w:p w:rsidR="004154F4" w:rsidRPr="00ED6C0A" w:rsidRDefault="004154F4" w:rsidP="004273FF">
      <w:pPr>
        <w:numPr>
          <w:ilvl w:val="0"/>
          <w:numId w:val="16"/>
        </w:numPr>
        <w:jc w:val="both"/>
        <w:rPr>
          <w:sz w:val="22"/>
          <w:szCs w:val="22"/>
          <w:lang w:eastAsia="en-GB"/>
        </w:rPr>
      </w:pPr>
      <w:r w:rsidRPr="00ED6C0A">
        <w:rPr>
          <w:sz w:val="22"/>
          <w:szCs w:val="22"/>
          <w:lang w:eastAsia="en-GB"/>
        </w:rPr>
        <w:t xml:space="preserve">Estates and Facilities Management. </w:t>
      </w:r>
    </w:p>
    <w:p w:rsidR="004154F4" w:rsidRPr="00ED6C0A" w:rsidRDefault="004154F4" w:rsidP="004154F4">
      <w:pPr>
        <w:ind w:left="720"/>
        <w:jc w:val="both"/>
        <w:rPr>
          <w:sz w:val="22"/>
          <w:szCs w:val="22"/>
          <w:lang w:eastAsia="en-GB"/>
        </w:rPr>
      </w:pPr>
      <w:r w:rsidRPr="00ED6C0A">
        <w:rPr>
          <w:sz w:val="22"/>
          <w:szCs w:val="22"/>
          <w:lang w:eastAsia="en-GB"/>
        </w:rPr>
        <w:t xml:space="preserve">Identify a more collaborative way of managing our estate, seeking out opportunities to pilot a new approach. </w:t>
      </w:r>
    </w:p>
    <w:p w:rsidR="004154F4" w:rsidRPr="00ED6C0A" w:rsidRDefault="004154F4" w:rsidP="004154F4">
      <w:pPr>
        <w:spacing w:before="100" w:beforeAutospacing="1" w:after="100" w:afterAutospacing="1"/>
        <w:jc w:val="both"/>
        <w:rPr>
          <w:sz w:val="22"/>
          <w:szCs w:val="22"/>
        </w:rPr>
      </w:pPr>
      <w:r w:rsidRPr="00ED6C0A">
        <w:rPr>
          <w:sz w:val="22"/>
          <w:szCs w:val="22"/>
        </w:rPr>
        <w:t xml:space="preserve">Our Facilities Manager, who is a member of the British Institute of Facilities Management (BIFM), continues to use their resources which include site visits to other organisations. </w:t>
      </w:r>
    </w:p>
    <w:p w:rsidR="004154F4" w:rsidRDefault="00E22989" w:rsidP="004154F4">
      <w:pPr>
        <w:jc w:val="both"/>
        <w:rPr>
          <w:sz w:val="22"/>
          <w:szCs w:val="22"/>
        </w:rPr>
      </w:pPr>
      <w:r>
        <w:rPr>
          <w:sz w:val="22"/>
          <w:szCs w:val="22"/>
        </w:rPr>
        <w:t>The DANWE Project will have a significant impact on the future Asset Management plans and it is likely that a new strategy will need to be considered early in 2023 rather than an update of refresh of the existing plan.</w:t>
      </w:r>
    </w:p>
    <w:p w:rsidR="00E22989" w:rsidRPr="00ED6C0A" w:rsidRDefault="00E22989" w:rsidP="004154F4">
      <w:pPr>
        <w:jc w:val="both"/>
        <w:rPr>
          <w:sz w:val="22"/>
          <w:szCs w:val="22"/>
        </w:rPr>
        <w:sectPr w:rsidR="00E22989" w:rsidRPr="00ED6C0A" w:rsidSect="000E29E0">
          <w:footerReference w:type="default" r:id="rId17"/>
          <w:pgSz w:w="11907" w:h="16840" w:code="9"/>
          <w:pgMar w:top="907" w:right="851" w:bottom="907" w:left="851" w:header="720" w:footer="720" w:gutter="0"/>
          <w:cols w:space="720"/>
          <w:noEndnote/>
        </w:sectPr>
      </w:pPr>
    </w:p>
    <w:p w:rsidR="004154F4" w:rsidRPr="00ED6C0A" w:rsidRDefault="004154F4" w:rsidP="004154F4">
      <w:pPr>
        <w:rPr>
          <w:sz w:val="22"/>
          <w:szCs w:val="22"/>
        </w:rPr>
      </w:pPr>
    </w:p>
    <w:p w:rsidR="004154F4" w:rsidRPr="00ED6C0A" w:rsidRDefault="004154F4" w:rsidP="004154F4">
      <w:pPr>
        <w:tabs>
          <w:tab w:val="num" w:pos="180"/>
        </w:tabs>
        <w:ind w:left="180" w:hanging="180"/>
        <w:jc w:val="center"/>
        <w:rPr>
          <w:b/>
          <w:sz w:val="22"/>
          <w:szCs w:val="22"/>
        </w:rPr>
      </w:pPr>
      <w:bookmarkStart w:id="1" w:name="RANGE!A1"/>
      <w:bookmarkStart w:id="2" w:name="_Ref70828905"/>
      <w:bookmarkEnd w:id="1"/>
      <w:r w:rsidRPr="00ED6C0A">
        <w:rPr>
          <w:b/>
          <w:sz w:val="22"/>
          <w:szCs w:val="22"/>
        </w:rPr>
        <w:t xml:space="preserve">SLAB ACCOMMODATION PLAN – AGREED BY THE BOARD </w:t>
      </w:r>
      <w:r w:rsidR="00E77CAA">
        <w:rPr>
          <w:b/>
          <w:sz w:val="22"/>
          <w:szCs w:val="22"/>
        </w:rPr>
        <w:t xml:space="preserve"> Appendix 1</w:t>
      </w:r>
    </w:p>
    <w:p w:rsidR="004154F4" w:rsidRPr="00ED6C0A" w:rsidRDefault="004154F4" w:rsidP="004154F4">
      <w:pPr>
        <w:rPr>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3060"/>
      </w:tblGrid>
      <w:tr w:rsidR="004154F4" w:rsidRPr="00ED6C0A" w:rsidTr="000E29E0">
        <w:tc>
          <w:tcPr>
            <w:tcW w:w="7488" w:type="dxa"/>
            <w:shd w:val="clear" w:color="auto" w:fill="auto"/>
            <w:vAlign w:val="center"/>
          </w:tcPr>
          <w:p w:rsidR="004154F4" w:rsidRPr="00ED6C0A" w:rsidRDefault="004154F4" w:rsidP="000E29E0">
            <w:pPr>
              <w:spacing w:before="120" w:after="120"/>
              <w:jc w:val="center"/>
              <w:rPr>
                <w:b/>
                <w:sz w:val="22"/>
                <w:szCs w:val="22"/>
              </w:rPr>
            </w:pPr>
            <w:r w:rsidRPr="00ED6C0A">
              <w:rPr>
                <w:b/>
                <w:sz w:val="22"/>
                <w:szCs w:val="22"/>
              </w:rPr>
              <w:t>TASK</w:t>
            </w:r>
          </w:p>
        </w:tc>
        <w:tc>
          <w:tcPr>
            <w:tcW w:w="3060" w:type="dxa"/>
            <w:shd w:val="clear" w:color="auto" w:fill="auto"/>
            <w:vAlign w:val="center"/>
          </w:tcPr>
          <w:p w:rsidR="004154F4" w:rsidRPr="00ED6C0A" w:rsidRDefault="004154F4" w:rsidP="000E29E0">
            <w:pPr>
              <w:jc w:val="center"/>
              <w:rPr>
                <w:b/>
                <w:sz w:val="22"/>
                <w:szCs w:val="22"/>
              </w:rPr>
            </w:pPr>
            <w:r w:rsidRPr="00ED6C0A">
              <w:rPr>
                <w:b/>
                <w:sz w:val="22"/>
                <w:szCs w:val="22"/>
              </w:rPr>
              <w:t>PRIMARY RESPONSIBILITY</w:t>
            </w:r>
          </w:p>
        </w:tc>
      </w:tr>
      <w:tr w:rsidR="004154F4" w:rsidRPr="00ED6C0A" w:rsidTr="000E29E0">
        <w:tc>
          <w:tcPr>
            <w:tcW w:w="7488" w:type="dxa"/>
            <w:shd w:val="clear" w:color="auto" w:fill="auto"/>
          </w:tcPr>
          <w:p w:rsidR="004154F4" w:rsidRPr="00ED6C0A" w:rsidRDefault="004154F4" w:rsidP="004273FF">
            <w:pPr>
              <w:numPr>
                <w:ilvl w:val="0"/>
                <w:numId w:val="12"/>
              </w:numPr>
              <w:tabs>
                <w:tab w:val="clear" w:pos="720"/>
                <w:tab w:val="num" w:pos="180"/>
              </w:tabs>
              <w:spacing w:before="120" w:after="120"/>
              <w:ind w:left="181" w:hanging="181"/>
              <w:rPr>
                <w:sz w:val="22"/>
                <w:szCs w:val="22"/>
              </w:rPr>
            </w:pPr>
            <w:r w:rsidRPr="00ED6C0A">
              <w:rPr>
                <w:sz w:val="22"/>
                <w:szCs w:val="22"/>
              </w:rPr>
              <w:t xml:space="preserve">Property need identified – either from Asset Management Strategy or as a new or emerging need (including need for additional space, lease break, lease termination </w:t>
            </w:r>
            <w:proofErr w:type="spellStart"/>
            <w:r w:rsidRPr="00ED6C0A">
              <w:rPr>
                <w:sz w:val="22"/>
                <w:szCs w:val="22"/>
              </w:rPr>
              <w:t>etc</w:t>
            </w:r>
            <w:proofErr w:type="spellEnd"/>
            <w:r w:rsidRPr="00ED6C0A">
              <w:rPr>
                <w:sz w:val="22"/>
                <w:szCs w:val="22"/>
              </w:rPr>
              <w:t>).</w:t>
            </w:r>
          </w:p>
        </w:tc>
        <w:tc>
          <w:tcPr>
            <w:tcW w:w="3060" w:type="dxa"/>
            <w:shd w:val="clear" w:color="auto" w:fill="auto"/>
            <w:vAlign w:val="center"/>
          </w:tcPr>
          <w:p w:rsidR="004154F4" w:rsidRPr="00ED6C0A" w:rsidRDefault="004154F4" w:rsidP="000E29E0">
            <w:pPr>
              <w:spacing w:before="120" w:after="120"/>
              <w:jc w:val="center"/>
              <w:rPr>
                <w:sz w:val="22"/>
                <w:szCs w:val="22"/>
              </w:rPr>
            </w:pPr>
            <w:r w:rsidRPr="00ED6C0A">
              <w:rPr>
                <w:sz w:val="22"/>
                <w:szCs w:val="22"/>
              </w:rPr>
              <w:t>Client/Facilities Manager</w:t>
            </w:r>
          </w:p>
        </w:tc>
      </w:tr>
      <w:tr w:rsidR="004154F4" w:rsidRPr="00ED6C0A" w:rsidTr="000E29E0">
        <w:tc>
          <w:tcPr>
            <w:tcW w:w="7488" w:type="dxa"/>
            <w:shd w:val="clear" w:color="auto" w:fill="auto"/>
          </w:tcPr>
          <w:p w:rsidR="004154F4" w:rsidRPr="00ED6C0A" w:rsidRDefault="004154F4" w:rsidP="004273FF">
            <w:pPr>
              <w:numPr>
                <w:ilvl w:val="0"/>
                <w:numId w:val="12"/>
              </w:numPr>
              <w:tabs>
                <w:tab w:val="clear" w:pos="720"/>
                <w:tab w:val="num" w:pos="180"/>
              </w:tabs>
              <w:spacing w:before="120" w:after="120"/>
              <w:ind w:left="181" w:hanging="181"/>
              <w:rPr>
                <w:sz w:val="22"/>
                <w:szCs w:val="22"/>
              </w:rPr>
            </w:pPr>
            <w:r w:rsidRPr="00ED6C0A">
              <w:rPr>
                <w:sz w:val="22"/>
                <w:szCs w:val="22"/>
              </w:rPr>
              <w:t>Property specification developed.</w:t>
            </w:r>
          </w:p>
        </w:tc>
        <w:tc>
          <w:tcPr>
            <w:tcW w:w="3060" w:type="dxa"/>
            <w:shd w:val="clear" w:color="auto" w:fill="auto"/>
            <w:vAlign w:val="center"/>
          </w:tcPr>
          <w:p w:rsidR="004154F4" w:rsidRPr="00ED6C0A" w:rsidRDefault="004154F4" w:rsidP="000E29E0">
            <w:pPr>
              <w:spacing w:before="120" w:after="120"/>
              <w:jc w:val="center"/>
              <w:rPr>
                <w:sz w:val="22"/>
                <w:szCs w:val="22"/>
              </w:rPr>
            </w:pPr>
            <w:r w:rsidRPr="00ED6C0A">
              <w:rPr>
                <w:sz w:val="22"/>
                <w:szCs w:val="22"/>
              </w:rPr>
              <w:t>Client/Facilities Manager</w:t>
            </w:r>
          </w:p>
        </w:tc>
      </w:tr>
      <w:tr w:rsidR="004154F4" w:rsidRPr="00ED6C0A" w:rsidTr="000E29E0">
        <w:tc>
          <w:tcPr>
            <w:tcW w:w="7488" w:type="dxa"/>
            <w:shd w:val="clear" w:color="auto" w:fill="auto"/>
          </w:tcPr>
          <w:p w:rsidR="004154F4" w:rsidRPr="00BD393F" w:rsidRDefault="004154F4" w:rsidP="004273FF">
            <w:pPr>
              <w:numPr>
                <w:ilvl w:val="0"/>
                <w:numId w:val="12"/>
              </w:numPr>
              <w:tabs>
                <w:tab w:val="clear" w:pos="720"/>
                <w:tab w:val="num" w:pos="180"/>
              </w:tabs>
              <w:spacing w:before="120" w:after="120"/>
              <w:ind w:left="181" w:hanging="181"/>
              <w:rPr>
                <w:sz w:val="22"/>
                <w:szCs w:val="22"/>
              </w:rPr>
            </w:pPr>
            <w:r w:rsidRPr="00BD393F">
              <w:rPr>
                <w:sz w:val="22"/>
                <w:szCs w:val="22"/>
              </w:rPr>
              <w:t xml:space="preserve">Through the SG Estate Strategy ‘Property Controls’ arrangement in place make early contact with the Property Controls team either through Property Division or Smarter Workplaces. </w:t>
            </w:r>
          </w:p>
        </w:tc>
        <w:tc>
          <w:tcPr>
            <w:tcW w:w="3060" w:type="dxa"/>
            <w:shd w:val="clear" w:color="auto" w:fill="auto"/>
            <w:vAlign w:val="center"/>
          </w:tcPr>
          <w:p w:rsidR="004154F4" w:rsidRPr="00BD393F" w:rsidRDefault="004154F4" w:rsidP="000E29E0">
            <w:pPr>
              <w:spacing w:before="120" w:after="120"/>
              <w:jc w:val="center"/>
              <w:rPr>
                <w:sz w:val="22"/>
                <w:szCs w:val="22"/>
              </w:rPr>
            </w:pPr>
            <w:r w:rsidRPr="00BD393F">
              <w:rPr>
                <w:sz w:val="22"/>
                <w:szCs w:val="22"/>
              </w:rPr>
              <w:t>Facilities Manager/Director of Corporate Services and Accounts</w:t>
            </w:r>
          </w:p>
        </w:tc>
      </w:tr>
      <w:tr w:rsidR="004154F4" w:rsidRPr="00ED6C0A" w:rsidTr="000E29E0">
        <w:tc>
          <w:tcPr>
            <w:tcW w:w="7488" w:type="dxa"/>
            <w:shd w:val="clear" w:color="auto" w:fill="auto"/>
          </w:tcPr>
          <w:p w:rsidR="004154F4" w:rsidRPr="00BD393F" w:rsidRDefault="004154F4" w:rsidP="004273FF">
            <w:pPr>
              <w:numPr>
                <w:ilvl w:val="0"/>
                <w:numId w:val="12"/>
              </w:numPr>
              <w:tabs>
                <w:tab w:val="clear" w:pos="720"/>
                <w:tab w:val="num" w:pos="180"/>
              </w:tabs>
              <w:spacing w:before="120"/>
              <w:ind w:left="180" w:hanging="181"/>
              <w:rPr>
                <w:sz w:val="22"/>
                <w:szCs w:val="22"/>
              </w:rPr>
            </w:pPr>
            <w:r w:rsidRPr="00BD393F">
              <w:rPr>
                <w:sz w:val="22"/>
                <w:szCs w:val="22"/>
              </w:rPr>
              <w:t>Property sourcing undertaken.</w:t>
            </w:r>
          </w:p>
          <w:p w:rsidR="004154F4" w:rsidRPr="00BD393F" w:rsidRDefault="004154F4" w:rsidP="004273FF">
            <w:pPr>
              <w:numPr>
                <w:ilvl w:val="0"/>
                <w:numId w:val="12"/>
              </w:numPr>
              <w:tabs>
                <w:tab w:val="clear" w:pos="720"/>
                <w:tab w:val="num" w:pos="540"/>
              </w:tabs>
              <w:ind w:left="538" w:hanging="181"/>
              <w:rPr>
                <w:sz w:val="22"/>
                <w:szCs w:val="22"/>
              </w:rPr>
            </w:pPr>
            <w:r w:rsidRPr="00BD393F">
              <w:rPr>
                <w:sz w:val="22"/>
                <w:szCs w:val="22"/>
              </w:rPr>
              <w:t>Consult with the SG Property Controls team about availability of other government accommodation.</w:t>
            </w:r>
          </w:p>
          <w:p w:rsidR="004154F4" w:rsidRPr="00BD393F" w:rsidRDefault="004154F4" w:rsidP="004273FF">
            <w:pPr>
              <w:numPr>
                <w:ilvl w:val="0"/>
                <w:numId w:val="12"/>
              </w:numPr>
              <w:tabs>
                <w:tab w:val="clear" w:pos="720"/>
                <w:tab w:val="num" w:pos="540"/>
              </w:tabs>
              <w:ind w:left="538" w:hanging="181"/>
              <w:rPr>
                <w:sz w:val="22"/>
                <w:szCs w:val="22"/>
              </w:rPr>
            </w:pPr>
            <w:r w:rsidRPr="00BD393F">
              <w:rPr>
                <w:sz w:val="22"/>
                <w:szCs w:val="22"/>
              </w:rPr>
              <w:t>Consult with wider Public Sector (e.g. Local Authorities) about availability of accommodation.</w:t>
            </w:r>
          </w:p>
          <w:p w:rsidR="004154F4" w:rsidRPr="00BD393F" w:rsidRDefault="004154F4" w:rsidP="004273FF">
            <w:pPr>
              <w:numPr>
                <w:ilvl w:val="0"/>
                <w:numId w:val="12"/>
              </w:numPr>
              <w:tabs>
                <w:tab w:val="clear" w:pos="720"/>
                <w:tab w:val="num" w:pos="540"/>
              </w:tabs>
              <w:spacing w:after="120"/>
              <w:ind w:left="538" w:hanging="181"/>
              <w:rPr>
                <w:sz w:val="22"/>
                <w:szCs w:val="22"/>
              </w:rPr>
            </w:pPr>
            <w:r w:rsidRPr="00BD393F">
              <w:rPr>
                <w:sz w:val="22"/>
                <w:szCs w:val="22"/>
              </w:rPr>
              <w:t>Failing which, search open property market for available accommodation.</w:t>
            </w:r>
          </w:p>
        </w:tc>
        <w:tc>
          <w:tcPr>
            <w:tcW w:w="3060" w:type="dxa"/>
            <w:shd w:val="clear" w:color="auto" w:fill="auto"/>
            <w:vAlign w:val="center"/>
          </w:tcPr>
          <w:p w:rsidR="004154F4" w:rsidRPr="00BD393F" w:rsidRDefault="004154F4" w:rsidP="000E29E0">
            <w:pPr>
              <w:spacing w:before="120" w:after="120"/>
              <w:jc w:val="center"/>
              <w:rPr>
                <w:sz w:val="22"/>
                <w:szCs w:val="22"/>
              </w:rPr>
            </w:pPr>
            <w:r w:rsidRPr="00BD393F">
              <w:rPr>
                <w:sz w:val="22"/>
                <w:szCs w:val="22"/>
              </w:rPr>
              <w:t>Facilities Manager</w:t>
            </w:r>
          </w:p>
        </w:tc>
      </w:tr>
      <w:tr w:rsidR="004154F4" w:rsidRPr="00ED6C0A" w:rsidTr="000E29E0">
        <w:tc>
          <w:tcPr>
            <w:tcW w:w="7488" w:type="dxa"/>
            <w:shd w:val="clear" w:color="auto" w:fill="auto"/>
          </w:tcPr>
          <w:p w:rsidR="004154F4" w:rsidRPr="00BD393F" w:rsidRDefault="004154F4" w:rsidP="004273FF">
            <w:pPr>
              <w:numPr>
                <w:ilvl w:val="0"/>
                <w:numId w:val="12"/>
              </w:numPr>
              <w:tabs>
                <w:tab w:val="clear" w:pos="720"/>
                <w:tab w:val="num" w:pos="180"/>
              </w:tabs>
              <w:spacing w:before="120"/>
              <w:ind w:left="180" w:hanging="181"/>
              <w:rPr>
                <w:sz w:val="22"/>
                <w:szCs w:val="22"/>
              </w:rPr>
            </w:pPr>
            <w:r w:rsidRPr="00BD393F">
              <w:rPr>
                <w:sz w:val="22"/>
                <w:szCs w:val="22"/>
              </w:rPr>
              <w:t>Develop options appraisal</w:t>
            </w:r>
          </w:p>
          <w:p w:rsidR="004154F4" w:rsidRPr="00BD393F" w:rsidRDefault="004154F4" w:rsidP="004273FF">
            <w:pPr>
              <w:numPr>
                <w:ilvl w:val="0"/>
                <w:numId w:val="12"/>
              </w:numPr>
              <w:tabs>
                <w:tab w:val="clear" w:pos="720"/>
                <w:tab w:val="num" w:pos="540"/>
              </w:tabs>
              <w:ind w:left="538" w:hanging="181"/>
              <w:rPr>
                <w:sz w:val="22"/>
                <w:szCs w:val="22"/>
              </w:rPr>
            </w:pPr>
            <w:r w:rsidRPr="00BD393F">
              <w:rPr>
                <w:sz w:val="22"/>
                <w:szCs w:val="22"/>
              </w:rPr>
              <w:t>Financial appraisal of options on a net present value basis.</w:t>
            </w:r>
          </w:p>
          <w:p w:rsidR="004154F4" w:rsidRPr="00BD393F" w:rsidRDefault="004154F4" w:rsidP="004273FF">
            <w:pPr>
              <w:numPr>
                <w:ilvl w:val="0"/>
                <w:numId w:val="12"/>
              </w:numPr>
              <w:tabs>
                <w:tab w:val="clear" w:pos="720"/>
                <w:tab w:val="num" w:pos="540"/>
              </w:tabs>
              <w:ind w:left="538" w:hanging="181"/>
              <w:rPr>
                <w:sz w:val="22"/>
                <w:szCs w:val="22"/>
              </w:rPr>
            </w:pPr>
            <w:r w:rsidRPr="00BD393F">
              <w:rPr>
                <w:sz w:val="22"/>
                <w:szCs w:val="22"/>
              </w:rPr>
              <w:t>Non-Financial appraisal to assess degree of fit with property specification and to identify non-financial benefits/dis-benefits.</w:t>
            </w:r>
          </w:p>
          <w:p w:rsidR="004154F4" w:rsidRPr="00BD393F" w:rsidRDefault="004154F4" w:rsidP="004273FF">
            <w:pPr>
              <w:numPr>
                <w:ilvl w:val="0"/>
                <w:numId w:val="12"/>
              </w:numPr>
              <w:tabs>
                <w:tab w:val="clear" w:pos="720"/>
                <w:tab w:val="num" w:pos="540"/>
              </w:tabs>
              <w:ind w:left="538" w:hanging="181"/>
              <w:rPr>
                <w:sz w:val="22"/>
                <w:szCs w:val="22"/>
              </w:rPr>
            </w:pPr>
            <w:r w:rsidRPr="00BD393F">
              <w:rPr>
                <w:sz w:val="22"/>
                <w:szCs w:val="22"/>
              </w:rPr>
              <w:t>Identify recommended course of action.</w:t>
            </w:r>
          </w:p>
          <w:p w:rsidR="004154F4" w:rsidRPr="00BD393F" w:rsidRDefault="004154F4" w:rsidP="004273FF">
            <w:pPr>
              <w:numPr>
                <w:ilvl w:val="0"/>
                <w:numId w:val="12"/>
              </w:numPr>
              <w:tabs>
                <w:tab w:val="clear" w:pos="720"/>
                <w:tab w:val="num" w:pos="540"/>
              </w:tabs>
              <w:ind w:left="538" w:hanging="181"/>
              <w:rPr>
                <w:sz w:val="22"/>
                <w:szCs w:val="22"/>
              </w:rPr>
            </w:pPr>
            <w:r w:rsidRPr="00BD393F">
              <w:rPr>
                <w:sz w:val="22"/>
                <w:szCs w:val="22"/>
              </w:rPr>
              <w:t xml:space="preserve">Appoint legal representation and develop / draft / review the lease for the preferred option. </w:t>
            </w:r>
          </w:p>
        </w:tc>
        <w:tc>
          <w:tcPr>
            <w:tcW w:w="3060" w:type="dxa"/>
            <w:shd w:val="clear" w:color="auto" w:fill="auto"/>
            <w:vAlign w:val="center"/>
          </w:tcPr>
          <w:p w:rsidR="004154F4" w:rsidRPr="00BD393F" w:rsidRDefault="004154F4" w:rsidP="000E29E0">
            <w:pPr>
              <w:spacing w:before="120" w:after="120"/>
              <w:jc w:val="center"/>
              <w:rPr>
                <w:sz w:val="22"/>
                <w:szCs w:val="22"/>
              </w:rPr>
            </w:pPr>
            <w:r w:rsidRPr="00BD393F">
              <w:rPr>
                <w:sz w:val="22"/>
                <w:szCs w:val="22"/>
              </w:rPr>
              <w:t>Facilities Manager/Finance</w:t>
            </w:r>
            <w:r w:rsidRPr="00BD393F">
              <w:t xml:space="preserve"> / </w:t>
            </w:r>
            <w:r w:rsidRPr="00BD393F">
              <w:rPr>
                <w:sz w:val="22"/>
                <w:szCs w:val="22"/>
              </w:rPr>
              <w:t>Legal Representative</w:t>
            </w:r>
          </w:p>
        </w:tc>
      </w:tr>
      <w:tr w:rsidR="004154F4" w:rsidRPr="00ED6C0A" w:rsidTr="000E29E0">
        <w:tc>
          <w:tcPr>
            <w:tcW w:w="7488" w:type="dxa"/>
            <w:shd w:val="clear" w:color="auto" w:fill="auto"/>
          </w:tcPr>
          <w:p w:rsidR="004154F4" w:rsidRPr="00BD393F" w:rsidRDefault="004154F4" w:rsidP="004273FF">
            <w:pPr>
              <w:numPr>
                <w:ilvl w:val="0"/>
                <w:numId w:val="12"/>
              </w:numPr>
              <w:tabs>
                <w:tab w:val="clear" w:pos="720"/>
                <w:tab w:val="num" w:pos="180"/>
              </w:tabs>
              <w:spacing w:before="120" w:after="120"/>
              <w:ind w:left="181" w:hanging="181"/>
              <w:rPr>
                <w:sz w:val="22"/>
                <w:szCs w:val="22"/>
              </w:rPr>
            </w:pPr>
            <w:r w:rsidRPr="00BD393F">
              <w:rPr>
                <w:sz w:val="22"/>
                <w:szCs w:val="22"/>
              </w:rPr>
              <w:t xml:space="preserve">Options appraisal presented to Executive team, with a view to approval of recommendation. </w:t>
            </w:r>
          </w:p>
        </w:tc>
        <w:tc>
          <w:tcPr>
            <w:tcW w:w="3060" w:type="dxa"/>
            <w:shd w:val="clear" w:color="auto" w:fill="auto"/>
            <w:vAlign w:val="center"/>
          </w:tcPr>
          <w:p w:rsidR="004154F4" w:rsidRPr="00BD393F" w:rsidRDefault="004154F4" w:rsidP="000E29E0">
            <w:pPr>
              <w:spacing w:before="120" w:after="120"/>
              <w:jc w:val="center"/>
              <w:rPr>
                <w:sz w:val="22"/>
                <w:szCs w:val="22"/>
              </w:rPr>
            </w:pPr>
            <w:r w:rsidRPr="00BD393F">
              <w:rPr>
                <w:sz w:val="22"/>
                <w:szCs w:val="22"/>
              </w:rPr>
              <w:t>Client/ Facilities Manager/ Finance/ Director of Corporate Services and Accounts</w:t>
            </w:r>
          </w:p>
        </w:tc>
      </w:tr>
      <w:tr w:rsidR="004154F4" w:rsidRPr="00ED6C0A" w:rsidTr="000E29E0">
        <w:tc>
          <w:tcPr>
            <w:tcW w:w="7488" w:type="dxa"/>
            <w:shd w:val="clear" w:color="auto" w:fill="auto"/>
          </w:tcPr>
          <w:p w:rsidR="004154F4" w:rsidRPr="00BD393F" w:rsidRDefault="00F75C37" w:rsidP="000E29E0">
            <w:pPr>
              <w:spacing w:before="120" w:after="120"/>
              <w:rPr>
                <w:sz w:val="22"/>
                <w:szCs w:val="22"/>
              </w:rPr>
            </w:pPr>
            <w:r w:rsidRPr="00BD393F">
              <w:rPr>
                <w:sz w:val="22"/>
                <w:szCs w:val="22"/>
              </w:rPr>
              <w:t>• Present</w:t>
            </w:r>
            <w:r w:rsidR="004154F4" w:rsidRPr="00BD393F">
              <w:rPr>
                <w:sz w:val="22"/>
                <w:szCs w:val="22"/>
              </w:rPr>
              <w:t xml:space="preserve"> a business case to the sponsor team and liaise over securing from the Justice Secretary/Cabinet Secretary for Finance, Economy and Fair Work approval.</w:t>
            </w:r>
          </w:p>
        </w:tc>
        <w:tc>
          <w:tcPr>
            <w:tcW w:w="3060" w:type="dxa"/>
            <w:shd w:val="clear" w:color="auto" w:fill="auto"/>
            <w:vAlign w:val="center"/>
          </w:tcPr>
          <w:p w:rsidR="004154F4" w:rsidRPr="00BD393F" w:rsidRDefault="004154F4" w:rsidP="000E29E0">
            <w:pPr>
              <w:spacing w:before="120" w:after="120"/>
              <w:jc w:val="center"/>
              <w:rPr>
                <w:sz w:val="22"/>
                <w:szCs w:val="22"/>
              </w:rPr>
            </w:pPr>
            <w:r w:rsidRPr="00BD393F">
              <w:rPr>
                <w:sz w:val="22"/>
                <w:szCs w:val="22"/>
              </w:rPr>
              <w:t>Facilities Manager/Director of Corporate Services and Accounts</w:t>
            </w:r>
          </w:p>
        </w:tc>
      </w:tr>
      <w:tr w:rsidR="004154F4" w:rsidRPr="00ED6C0A" w:rsidTr="000E29E0">
        <w:tc>
          <w:tcPr>
            <w:tcW w:w="7488" w:type="dxa"/>
            <w:shd w:val="clear" w:color="auto" w:fill="auto"/>
          </w:tcPr>
          <w:p w:rsidR="004154F4" w:rsidRPr="00BD393F" w:rsidRDefault="004154F4" w:rsidP="004273FF">
            <w:pPr>
              <w:numPr>
                <w:ilvl w:val="0"/>
                <w:numId w:val="12"/>
              </w:numPr>
              <w:tabs>
                <w:tab w:val="clear" w:pos="720"/>
                <w:tab w:val="num" w:pos="180"/>
              </w:tabs>
              <w:spacing w:before="120" w:after="120"/>
              <w:ind w:left="181" w:hanging="181"/>
              <w:rPr>
                <w:sz w:val="22"/>
                <w:szCs w:val="22"/>
              </w:rPr>
            </w:pPr>
            <w:r w:rsidRPr="00BD393F">
              <w:rPr>
                <w:sz w:val="22"/>
                <w:szCs w:val="22"/>
              </w:rPr>
              <w:t>Negotiate lease with landlord.</w:t>
            </w:r>
          </w:p>
        </w:tc>
        <w:tc>
          <w:tcPr>
            <w:tcW w:w="3060" w:type="dxa"/>
            <w:shd w:val="clear" w:color="auto" w:fill="auto"/>
            <w:vAlign w:val="center"/>
          </w:tcPr>
          <w:p w:rsidR="004154F4" w:rsidRPr="00BD393F" w:rsidRDefault="004154F4" w:rsidP="000E29E0">
            <w:pPr>
              <w:spacing w:before="120" w:after="120"/>
              <w:jc w:val="center"/>
              <w:rPr>
                <w:sz w:val="22"/>
                <w:szCs w:val="22"/>
              </w:rPr>
            </w:pPr>
            <w:r w:rsidRPr="00BD393F">
              <w:rPr>
                <w:sz w:val="22"/>
                <w:szCs w:val="22"/>
              </w:rPr>
              <w:t>Facilities Manager/Legal Representative/Director of Corporate Services and Accounts</w:t>
            </w:r>
          </w:p>
        </w:tc>
      </w:tr>
      <w:tr w:rsidR="004154F4" w:rsidRPr="00ED6C0A" w:rsidTr="000E29E0">
        <w:tc>
          <w:tcPr>
            <w:tcW w:w="7488" w:type="dxa"/>
            <w:shd w:val="clear" w:color="auto" w:fill="auto"/>
          </w:tcPr>
          <w:p w:rsidR="004154F4" w:rsidRPr="00BD393F" w:rsidRDefault="004154F4" w:rsidP="004273FF">
            <w:pPr>
              <w:numPr>
                <w:ilvl w:val="0"/>
                <w:numId w:val="12"/>
              </w:numPr>
              <w:tabs>
                <w:tab w:val="clear" w:pos="720"/>
                <w:tab w:val="num" w:pos="180"/>
              </w:tabs>
              <w:spacing w:before="120"/>
              <w:ind w:left="181" w:hanging="181"/>
              <w:rPr>
                <w:sz w:val="22"/>
                <w:szCs w:val="22"/>
              </w:rPr>
            </w:pPr>
            <w:r w:rsidRPr="00BD393F">
              <w:rPr>
                <w:sz w:val="22"/>
                <w:szCs w:val="22"/>
              </w:rPr>
              <w:t>SLAB responsible officer / Chief Executive to sign lease after:</w:t>
            </w:r>
          </w:p>
          <w:p w:rsidR="004154F4" w:rsidRPr="00BD393F" w:rsidRDefault="004154F4" w:rsidP="004273FF">
            <w:pPr>
              <w:numPr>
                <w:ilvl w:val="0"/>
                <w:numId w:val="12"/>
              </w:numPr>
              <w:tabs>
                <w:tab w:val="clear" w:pos="720"/>
                <w:tab w:val="num" w:pos="540"/>
              </w:tabs>
              <w:ind w:left="538" w:hanging="181"/>
              <w:rPr>
                <w:sz w:val="22"/>
                <w:szCs w:val="22"/>
              </w:rPr>
            </w:pPr>
            <w:r w:rsidRPr="00BD393F">
              <w:rPr>
                <w:sz w:val="22"/>
                <w:szCs w:val="22"/>
              </w:rPr>
              <w:t xml:space="preserve">Executive team </w:t>
            </w:r>
            <w:r w:rsidR="00885456">
              <w:rPr>
                <w:sz w:val="22"/>
                <w:szCs w:val="22"/>
              </w:rPr>
              <w:t xml:space="preserve">to </w:t>
            </w:r>
            <w:r w:rsidR="00F75C37">
              <w:rPr>
                <w:sz w:val="22"/>
                <w:szCs w:val="22"/>
              </w:rPr>
              <w:t>advise on</w:t>
            </w:r>
            <w:r w:rsidRPr="00BD393F">
              <w:rPr>
                <w:sz w:val="22"/>
                <w:szCs w:val="22"/>
              </w:rPr>
              <w:t xml:space="preserve"> a course of action.</w:t>
            </w:r>
          </w:p>
          <w:p w:rsidR="004154F4" w:rsidRPr="00BD393F" w:rsidRDefault="004154F4" w:rsidP="004273FF">
            <w:pPr>
              <w:numPr>
                <w:ilvl w:val="0"/>
                <w:numId w:val="12"/>
              </w:numPr>
              <w:tabs>
                <w:tab w:val="clear" w:pos="720"/>
                <w:tab w:val="num" w:pos="540"/>
              </w:tabs>
              <w:ind w:left="538" w:hanging="181"/>
              <w:rPr>
                <w:sz w:val="22"/>
                <w:szCs w:val="22"/>
              </w:rPr>
            </w:pPr>
            <w:r w:rsidRPr="00BD393F">
              <w:rPr>
                <w:sz w:val="22"/>
                <w:szCs w:val="22"/>
              </w:rPr>
              <w:t>Legal clearance of lease.</w:t>
            </w:r>
          </w:p>
          <w:p w:rsidR="004154F4" w:rsidRPr="00BD393F" w:rsidRDefault="004154F4" w:rsidP="004273FF">
            <w:pPr>
              <w:numPr>
                <w:ilvl w:val="0"/>
                <w:numId w:val="12"/>
              </w:numPr>
              <w:tabs>
                <w:tab w:val="clear" w:pos="720"/>
                <w:tab w:val="num" w:pos="540"/>
              </w:tabs>
              <w:ind w:left="538" w:hanging="181"/>
              <w:rPr>
                <w:sz w:val="22"/>
                <w:szCs w:val="22"/>
              </w:rPr>
            </w:pPr>
            <w:r w:rsidRPr="00BD393F">
              <w:rPr>
                <w:sz w:val="22"/>
                <w:szCs w:val="22"/>
              </w:rPr>
              <w:t>Legal clearance of property searches.</w:t>
            </w:r>
          </w:p>
          <w:p w:rsidR="004154F4" w:rsidRPr="00B12D33" w:rsidRDefault="004154F4" w:rsidP="004273FF">
            <w:pPr>
              <w:numPr>
                <w:ilvl w:val="0"/>
                <w:numId w:val="12"/>
              </w:numPr>
              <w:tabs>
                <w:tab w:val="clear" w:pos="720"/>
                <w:tab w:val="num" w:pos="540"/>
              </w:tabs>
              <w:ind w:left="538" w:hanging="181"/>
              <w:rPr>
                <w:sz w:val="22"/>
                <w:szCs w:val="22"/>
              </w:rPr>
            </w:pPr>
            <w:r w:rsidRPr="00B12D33">
              <w:rPr>
                <w:sz w:val="22"/>
                <w:szCs w:val="22"/>
              </w:rPr>
              <w:t xml:space="preserve">Intimation from sponsor division of </w:t>
            </w:r>
            <w:r w:rsidR="00B12D33" w:rsidRPr="00B12D33">
              <w:rPr>
                <w:sz w:val="22"/>
                <w:szCs w:val="22"/>
              </w:rPr>
              <w:t xml:space="preserve">Minister for Public Finance, Planning and Community Wealth </w:t>
            </w:r>
            <w:r w:rsidRPr="00B12D33">
              <w:rPr>
                <w:sz w:val="22"/>
                <w:szCs w:val="22"/>
              </w:rPr>
              <w:t>approval</w:t>
            </w:r>
          </w:p>
        </w:tc>
        <w:tc>
          <w:tcPr>
            <w:tcW w:w="3060" w:type="dxa"/>
            <w:shd w:val="clear" w:color="auto" w:fill="auto"/>
            <w:vAlign w:val="center"/>
          </w:tcPr>
          <w:p w:rsidR="004154F4" w:rsidRPr="00BD393F" w:rsidRDefault="004154F4" w:rsidP="000E29E0">
            <w:pPr>
              <w:spacing w:before="120" w:after="120"/>
              <w:jc w:val="center"/>
              <w:rPr>
                <w:sz w:val="22"/>
                <w:szCs w:val="22"/>
              </w:rPr>
            </w:pPr>
            <w:r w:rsidRPr="00BD393F">
              <w:rPr>
                <w:sz w:val="22"/>
                <w:szCs w:val="22"/>
              </w:rPr>
              <w:t>SLAB responsible officer / Chief  Executive</w:t>
            </w:r>
          </w:p>
        </w:tc>
      </w:tr>
    </w:tbl>
    <w:p w:rsidR="004154F4" w:rsidRPr="00ED6C0A" w:rsidRDefault="004154F4" w:rsidP="004154F4">
      <w:pPr>
        <w:rPr>
          <w:sz w:val="22"/>
          <w:szCs w:val="22"/>
        </w:rPr>
      </w:pPr>
    </w:p>
    <w:bookmarkEnd w:id="2"/>
    <w:p w:rsidR="004154F4" w:rsidRPr="00ED6C0A" w:rsidRDefault="004154F4" w:rsidP="004154F4">
      <w:pPr>
        <w:rPr>
          <w:sz w:val="22"/>
          <w:szCs w:val="22"/>
        </w:rPr>
      </w:pPr>
    </w:p>
    <w:p w:rsidR="004154F4" w:rsidRDefault="004154F4" w:rsidP="004154F4">
      <w:pPr>
        <w:rPr>
          <w:sz w:val="22"/>
          <w:szCs w:val="22"/>
        </w:rPr>
      </w:pPr>
    </w:p>
    <w:p w:rsidR="004154F4" w:rsidRDefault="004154F4" w:rsidP="004154F4">
      <w:pPr>
        <w:rPr>
          <w:sz w:val="22"/>
          <w:szCs w:val="22"/>
        </w:rPr>
      </w:pPr>
    </w:p>
    <w:p w:rsidR="004154F4" w:rsidRDefault="004154F4" w:rsidP="004154F4">
      <w:pPr>
        <w:rPr>
          <w:sz w:val="22"/>
          <w:szCs w:val="22"/>
        </w:rPr>
      </w:pPr>
    </w:p>
    <w:p w:rsidR="004154F4" w:rsidRPr="00B7423D" w:rsidRDefault="004154F4" w:rsidP="004154F4">
      <w:pPr>
        <w:rPr>
          <w:b/>
          <w:sz w:val="22"/>
          <w:szCs w:val="22"/>
        </w:rPr>
      </w:pPr>
      <w:r w:rsidRPr="00B7423D">
        <w:rPr>
          <w:b/>
          <w:sz w:val="22"/>
          <w:szCs w:val="22"/>
        </w:rPr>
        <w:t>Full Cost Tables By Year</w:t>
      </w:r>
      <w:r w:rsidR="00E77CAA">
        <w:rPr>
          <w:b/>
          <w:sz w:val="22"/>
          <w:szCs w:val="22"/>
        </w:rPr>
        <w:t xml:space="preserve"> </w:t>
      </w:r>
      <w:r w:rsidR="00E77CAA">
        <w:rPr>
          <w:b/>
          <w:sz w:val="22"/>
          <w:szCs w:val="22"/>
        </w:rPr>
        <w:tab/>
      </w:r>
      <w:r w:rsidR="00E77CAA">
        <w:rPr>
          <w:b/>
          <w:sz w:val="22"/>
          <w:szCs w:val="22"/>
        </w:rPr>
        <w:tab/>
      </w:r>
      <w:r w:rsidR="00E77CAA">
        <w:rPr>
          <w:b/>
          <w:sz w:val="22"/>
          <w:szCs w:val="22"/>
        </w:rPr>
        <w:tab/>
      </w:r>
      <w:r w:rsidR="00E77CAA">
        <w:rPr>
          <w:b/>
          <w:sz w:val="22"/>
          <w:szCs w:val="22"/>
        </w:rPr>
        <w:tab/>
      </w:r>
      <w:r w:rsidR="00E77CAA">
        <w:rPr>
          <w:b/>
          <w:sz w:val="22"/>
          <w:szCs w:val="22"/>
        </w:rPr>
        <w:tab/>
      </w:r>
      <w:r w:rsidR="00E77CAA">
        <w:rPr>
          <w:b/>
          <w:sz w:val="22"/>
          <w:szCs w:val="22"/>
        </w:rPr>
        <w:tab/>
      </w:r>
      <w:r w:rsidR="00E77CAA">
        <w:rPr>
          <w:b/>
          <w:sz w:val="22"/>
          <w:szCs w:val="22"/>
        </w:rPr>
        <w:tab/>
      </w:r>
      <w:r w:rsidR="00E77CAA">
        <w:rPr>
          <w:b/>
          <w:sz w:val="22"/>
          <w:szCs w:val="22"/>
        </w:rPr>
        <w:tab/>
        <w:t>Appendix 2</w:t>
      </w:r>
    </w:p>
    <w:p w:rsidR="004154F4" w:rsidRDefault="004154F4" w:rsidP="004154F4">
      <w:pPr>
        <w:rPr>
          <w:sz w:val="22"/>
          <w:szCs w:val="22"/>
        </w:rPr>
      </w:pPr>
    </w:p>
    <w:tbl>
      <w:tblPr>
        <w:tblW w:w="0" w:type="auto"/>
        <w:tblCellMar>
          <w:left w:w="0" w:type="dxa"/>
          <w:right w:w="0" w:type="dxa"/>
        </w:tblCellMar>
        <w:tblLook w:val="04A0" w:firstRow="1" w:lastRow="0" w:firstColumn="1" w:lastColumn="0" w:noHBand="0" w:noVBand="1"/>
      </w:tblPr>
      <w:tblGrid>
        <w:gridCol w:w="3302"/>
        <w:gridCol w:w="1601"/>
        <w:gridCol w:w="1478"/>
        <w:gridCol w:w="1478"/>
        <w:gridCol w:w="1453"/>
      </w:tblGrid>
      <w:tr w:rsidR="004154F4" w:rsidRPr="00ED6C0A" w:rsidTr="000E29E0">
        <w:trPr>
          <w:trHeight w:val="677"/>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54F4" w:rsidRPr="00ED6C0A" w:rsidRDefault="004154F4" w:rsidP="000E29E0">
            <w:pPr>
              <w:spacing w:after="120"/>
              <w:jc w:val="both"/>
              <w:rPr>
                <w:sz w:val="22"/>
                <w:szCs w:val="22"/>
              </w:rPr>
            </w:pPr>
            <w:r w:rsidRPr="00ED6C0A">
              <w:rPr>
                <w:sz w:val="22"/>
                <w:szCs w:val="22"/>
              </w:rPr>
              <w:t>2014-15</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spacing w:after="120"/>
              <w:jc w:val="center"/>
              <w:rPr>
                <w:b/>
                <w:bCs/>
                <w:sz w:val="22"/>
                <w:szCs w:val="22"/>
              </w:rPr>
            </w:pPr>
            <w:r w:rsidRPr="00ED6C0A">
              <w:rPr>
                <w:b/>
                <w:bCs/>
                <w:sz w:val="22"/>
                <w:szCs w:val="22"/>
              </w:rPr>
              <w:t>SLAB</w:t>
            </w:r>
          </w:p>
          <w:p w:rsidR="004154F4" w:rsidRPr="00ED6C0A" w:rsidRDefault="004154F4" w:rsidP="000E29E0">
            <w:pPr>
              <w:spacing w:after="120"/>
              <w:jc w:val="center"/>
              <w:rPr>
                <w:b/>
                <w:bCs/>
                <w:sz w:val="22"/>
                <w:szCs w:val="22"/>
              </w:rPr>
            </w:pPr>
            <w:r w:rsidRPr="00ED6C0A">
              <w:rPr>
                <w:b/>
                <w:bCs/>
                <w:sz w:val="22"/>
                <w:szCs w:val="22"/>
              </w:rPr>
              <w:t>£000</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spacing w:after="120"/>
              <w:jc w:val="center"/>
              <w:rPr>
                <w:b/>
                <w:bCs/>
                <w:sz w:val="22"/>
                <w:szCs w:val="22"/>
              </w:rPr>
            </w:pPr>
            <w:r w:rsidRPr="00ED6C0A">
              <w:rPr>
                <w:b/>
                <w:bCs/>
                <w:sz w:val="22"/>
                <w:szCs w:val="22"/>
              </w:rPr>
              <w:t>PDSO</w:t>
            </w:r>
          </w:p>
          <w:p w:rsidR="004154F4" w:rsidRPr="00ED6C0A" w:rsidRDefault="004154F4" w:rsidP="000E29E0">
            <w:pPr>
              <w:spacing w:after="120"/>
              <w:jc w:val="center"/>
              <w:rPr>
                <w:b/>
                <w:bCs/>
                <w:sz w:val="22"/>
                <w:szCs w:val="22"/>
              </w:rPr>
            </w:pPr>
            <w:r w:rsidRPr="00ED6C0A">
              <w:rPr>
                <w:b/>
                <w:bCs/>
                <w:sz w:val="22"/>
                <w:szCs w:val="22"/>
              </w:rPr>
              <w:t>£000</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spacing w:after="120"/>
              <w:jc w:val="center"/>
              <w:rPr>
                <w:b/>
                <w:bCs/>
                <w:sz w:val="22"/>
                <w:szCs w:val="22"/>
              </w:rPr>
            </w:pPr>
            <w:r w:rsidRPr="00ED6C0A">
              <w:rPr>
                <w:b/>
                <w:bCs/>
                <w:sz w:val="22"/>
                <w:szCs w:val="22"/>
              </w:rPr>
              <w:t>CLAO</w:t>
            </w:r>
          </w:p>
          <w:p w:rsidR="004154F4" w:rsidRPr="00ED6C0A" w:rsidRDefault="004154F4" w:rsidP="000E29E0">
            <w:pPr>
              <w:spacing w:after="120"/>
              <w:jc w:val="center"/>
              <w:rPr>
                <w:b/>
                <w:bCs/>
                <w:sz w:val="22"/>
                <w:szCs w:val="22"/>
              </w:rPr>
            </w:pPr>
            <w:r w:rsidRPr="00ED6C0A">
              <w:rPr>
                <w:b/>
                <w:bCs/>
                <w:sz w:val="22"/>
                <w:szCs w:val="22"/>
              </w:rPr>
              <w:t>£000</w:t>
            </w:r>
          </w:p>
        </w:tc>
        <w:tc>
          <w:tcPr>
            <w:tcW w:w="1559" w:type="dxa"/>
            <w:tcBorders>
              <w:top w:val="single" w:sz="8" w:space="0" w:color="auto"/>
              <w:left w:val="nil"/>
              <w:bottom w:val="single" w:sz="8" w:space="0" w:color="auto"/>
              <w:right w:val="single" w:sz="8" w:space="0" w:color="auto"/>
            </w:tcBorders>
            <w:vAlign w:val="bottom"/>
          </w:tcPr>
          <w:p w:rsidR="004154F4" w:rsidRPr="00ED6C0A" w:rsidRDefault="004154F4" w:rsidP="000E29E0">
            <w:pPr>
              <w:spacing w:after="120"/>
              <w:jc w:val="center"/>
              <w:rPr>
                <w:b/>
                <w:bCs/>
                <w:sz w:val="22"/>
                <w:szCs w:val="22"/>
              </w:rPr>
            </w:pPr>
            <w:r w:rsidRPr="00ED6C0A">
              <w:rPr>
                <w:b/>
                <w:bCs/>
                <w:sz w:val="22"/>
                <w:szCs w:val="22"/>
              </w:rPr>
              <w:t>SCL</w:t>
            </w:r>
          </w:p>
          <w:p w:rsidR="004154F4" w:rsidRPr="00ED6C0A" w:rsidRDefault="004154F4" w:rsidP="000E29E0">
            <w:pPr>
              <w:spacing w:after="120"/>
              <w:jc w:val="center"/>
              <w:rPr>
                <w:b/>
                <w:bCs/>
                <w:sz w:val="22"/>
                <w:szCs w:val="22"/>
              </w:rPr>
            </w:pPr>
            <w:r w:rsidRPr="00ED6C0A">
              <w:rPr>
                <w:b/>
                <w:bCs/>
                <w:sz w:val="22"/>
                <w:szCs w:val="22"/>
              </w:rPr>
              <w:t>£000</w:t>
            </w:r>
          </w:p>
        </w:tc>
      </w:tr>
      <w:tr w:rsidR="004154F4" w:rsidRPr="00ED6C0A"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both"/>
              <w:rPr>
                <w:sz w:val="22"/>
                <w:szCs w:val="22"/>
              </w:rPr>
            </w:pPr>
            <w:r w:rsidRPr="00ED6C0A">
              <w:rPr>
                <w:sz w:val="22"/>
                <w:szCs w:val="22"/>
              </w:rPr>
              <w:t>Rent</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590</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71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93</w:t>
            </w:r>
          </w:p>
        </w:tc>
        <w:tc>
          <w:tcPr>
            <w:tcW w:w="1559" w:type="dxa"/>
            <w:tcBorders>
              <w:top w:val="nil"/>
              <w:left w:val="nil"/>
              <w:bottom w:val="single" w:sz="8" w:space="0" w:color="auto"/>
              <w:right w:val="single" w:sz="8" w:space="0" w:color="auto"/>
            </w:tcBorders>
            <w:vAlign w:val="bottom"/>
          </w:tcPr>
          <w:p w:rsidR="004154F4" w:rsidRPr="00ED6C0A" w:rsidRDefault="004154F4" w:rsidP="000E29E0">
            <w:pPr>
              <w:jc w:val="center"/>
              <w:rPr>
                <w:sz w:val="22"/>
                <w:szCs w:val="22"/>
              </w:rPr>
            </w:pPr>
            <w:r w:rsidRPr="00ED6C0A">
              <w:rPr>
                <w:sz w:val="22"/>
                <w:szCs w:val="22"/>
              </w:rPr>
              <w:t>13</w:t>
            </w:r>
          </w:p>
        </w:tc>
      </w:tr>
      <w:tr w:rsidR="004154F4" w:rsidRPr="00ED6C0A"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both"/>
              <w:rPr>
                <w:sz w:val="22"/>
                <w:szCs w:val="22"/>
              </w:rPr>
            </w:pPr>
            <w:r w:rsidRPr="00ED6C0A">
              <w:rPr>
                <w:sz w:val="22"/>
                <w:szCs w:val="22"/>
              </w:rPr>
              <w:t>Rent recovery from sub-let</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(367)</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(11)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w:t>
            </w:r>
          </w:p>
        </w:tc>
        <w:tc>
          <w:tcPr>
            <w:tcW w:w="1559" w:type="dxa"/>
            <w:tcBorders>
              <w:top w:val="nil"/>
              <w:left w:val="nil"/>
              <w:bottom w:val="single" w:sz="8" w:space="0" w:color="auto"/>
              <w:right w:val="single" w:sz="8" w:space="0" w:color="auto"/>
            </w:tcBorders>
            <w:vAlign w:val="bottom"/>
          </w:tcPr>
          <w:p w:rsidR="004154F4" w:rsidRPr="00ED6C0A" w:rsidRDefault="004154F4" w:rsidP="000E29E0">
            <w:pPr>
              <w:jc w:val="center"/>
              <w:rPr>
                <w:sz w:val="22"/>
                <w:szCs w:val="22"/>
              </w:rPr>
            </w:pPr>
            <w:r w:rsidRPr="00ED6C0A">
              <w:rPr>
                <w:sz w:val="22"/>
                <w:szCs w:val="22"/>
              </w:rPr>
              <w:t>-</w:t>
            </w:r>
          </w:p>
        </w:tc>
      </w:tr>
      <w:tr w:rsidR="004154F4" w:rsidRPr="00ED6C0A"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both"/>
              <w:rPr>
                <w:sz w:val="22"/>
                <w:szCs w:val="22"/>
              </w:rPr>
            </w:pPr>
            <w:r w:rsidRPr="00ED6C0A">
              <w:rPr>
                <w:sz w:val="22"/>
                <w:szCs w:val="22"/>
              </w:rPr>
              <w:t>Rates</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483</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18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26</w:t>
            </w:r>
          </w:p>
        </w:tc>
        <w:tc>
          <w:tcPr>
            <w:tcW w:w="1559" w:type="dxa"/>
            <w:tcBorders>
              <w:top w:val="nil"/>
              <w:left w:val="nil"/>
              <w:bottom w:val="single" w:sz="8" w:space="0" w:color="auto"/>
              <w:right w:val="single" w:sz="8" w:space="0" w:color="auto"/>
            </w:tcBorders>
            <w:vAlign w:val="bottom"/>
          </w:tcPr>
          <w:p w:rsidR="004154F4" w:rsidRPr="00ED6C0A" w:rsidRDefault="004154F4" w:rsidP="000E29E0">
            <w:pPr>
              <w:jc w:val="center"/>
              <w:rPr>
                <w:sz w:val="22"/>
                <w:szCs w:val="22"/>
              </w:rPr>
            </w:pPr>
            <w:r w:rsidRPr="00ED6C0A">
              <w:rPr>
                <w:sz w:val="22"/>
                <w:szCs w:val="22"/>
              </w:rPr>
              <w:t>-</w:t>
            </w:r>
          </w:p>
        </w:tc>
      </w:tr>
      <w:tr w:rsidR="004154F4" w:rsidRPr="00ED6C0A"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both"/>
              <w:rPr>
                <w:sz w:val="22"/>
                <w:szCs w:val="22"/>
              </w:rPr>
            </w:pPr>
            <w:r w:rsidRPr="00ED6C0A">
              <w:rPr>
                <w:sz w:val="22"/>
                <w:szCs w:val="22"/>
              </w:rPr>
              <w:t>Heat &amp; light</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98</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16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11</w:t>
            </w:r>
          </w:p>
        </w:tc>
        <w:tc>
          <w:tcPr>
            <w:tcW w:w="1559" w:type="dxa"/>
            <w:tcBorders>
              <w:top w:val="nil"/>
              <w:left w:val="nil"/>
              <w:bottom w:val="single" w:sz="8" w:space="0" w:color="auto"/>
              <w:right w:val="single" w:sz="8" w:space="0" w:color="auto"/>
            </w:tcBorders>
            <w:vAlign w:val="bottom"/>
          </w:tcPr>
          <w:p w:rsidR="004154F4" w:rsidRPr="00ED6C0A" w:rsidRDefault="004154F4" w:rsidP="000E29E0">
            <w:pPr>
              <w:jc w:val="center"/>
              <w:rPr>
                <w:sz w:val="22"/>
                <w:szCs w:val="22"/>
              </w:rPr>
            </w:pPr>
            <w:r w:rsidRPr="00ED6C0A">
              <w:rPr>
                <w:sz w:val="22"/>
                <w:szCs w:val="22"/>
              </w:rPr>
              <w:t>-</w:t>
            </w:r>
          </w:p>
        </w:tc>
      </w:tr>
      <w:tr w:rsidR="004154F4" w:rsidRPr="00ED6C0A"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both"/>
              <w:rPr>
                <w:sz w:val="22"/>
                <w:szCs w:val="22"/>
              </w:rPr>
            </w:pPr>
            <w:r w:rsidRPr="00ED6C0A">
              <w:rPr>
                <w:sz w:val="22"/>
                <w:szCs w:val="22"/>
              </w:rPr>
              <w:t>Maintenance and repairs</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108</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11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7</w:t>
            </w:r>
          </w:p>
        </w:tc>
        <w:tc>
          <w:tcPr>
            <w:tcW w:w="1559" w:type="dxa"/>
            <w:tcBorders>
              <w:top w:val="nil"/>
              <w:left w:val="nil"/>
              <w:bottom w:val="single" w:sz="8" w:space="0" w:color="auto"/>
              <w:right w:val="single" w:sz="8" w:space="0" w:color="auto"/>
            </w:tcBorders>
            <w:vAlign w:val="bottom"/>
          </w:tcPr>
          <w:p w:rsidR="004154F4" w:rsidRPr="00ED6C0A" w:rsidRDefault="004154F4" w:rsidP="000E29E0">
            <w:pPr>
              <w:jc w:val="center"/>
              <w:rPr>
                <w:sz w:val="22"/>
                <w:szCs w:val="22"/>
              </w:rPr>
            </w:pPr>
            <w:r w:rsidRPr="00ED6C0A">
              <w:rPr>
                <w:sz w:val="22"/>
                <w:szCs w:val="22"/>
              </w:rPr>
              <w:t>-</w:t>
            </w:r>
          </w:p>
        </w:tc>
      </w:tr>
      <w:tr w:rsidR="004154F4" w:rsidRPr="00ED6C0A"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both"/>
              <w:rPr>
                <w:sz w:val="22"/>
                <w:szCs w:val="22"/>
              </w:rPr>
            </w:pPr>
            <w:r w:rsidRPr="00ED6C0A">
              <w:rPr>
                <w:sz w:val="22"/>
                <w:szCs w:val="22"/>
              </w:rPr>
              <w:t>Cleaning and office Consumables</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140</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26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13</w:t>
            </w:r>
          </w:p>
        </w:tc>
        <w:tc>
          <w:tcPr>
            <w:tcW w:w="1559" w:type="dxa"/>
            <w:tcBorders>
              <w:top w:val="nil"/>
              <w:left w:val="nil"/>
              <w:bottom w:val="single" w:sz="8" w:space="0" w:color="auto"/>
              <w:right w:val="single" w:sz="8" w:space="0" w:color="auto"/>
            </w:tcBorders>
            <w:vAlign w:val="bottom"/>
          </w:tcPr>
          <w:p w:rsidR="004154F4" w:rsidRPr="00ED6C0A" w:rsidRDefault="004154F4" w:rsidP="000E29E0">
            <w:pPr>
              <w:jc w:val="center"/>
              <w:rPr>
                <w:sz w:val="22"/>
                <w:szCs w:val="22"/>
              </w:rPr>
            </w:pPr>
            <w:r w:rsidRPr="00ED6C0A">
              <w:rPr>
                <w:sz w:val="22"/>
                <w:szCs w:val="22"/>
              </w:rPr>
              <w:t>-</w:t>
            </w:r>
          </w:p>
        </w:tc>
      </w:tr>
      <w:tr w:rsidR="004154F4" w:rsidRPr="00ED6C0A"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both"/>
              <w:rPr>
                <w:sz w:val="22"/>
                <w:szCs w:val="22"/>
              </w:rPr>
            </w:pPr>
            <w:r w:rsidRPr="00ED6C0A">
              <w:rPr>
                <w:sz w:val="22"/>
                <w:szCs w:val="22"/>
              </w:rPr>
              <w:t>Other</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7</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21</w:t>
            </w:r>
          </w:p>
        </w:tc>
        <w:tc>
          <w:tcPr>
            <w:tcW w:w="1559" w:type="dxa"/>
            <w:tcBorders>
              <w:top w:val="nil"/>
              <w:left w:val="nil"/>
              <w:bottom w:val="single" w:sz="8" w:space="0" w:color="auto"/>
              <w:right w:val="single" w:sz="8" w:space="0" w:color="auto"/>
            </w:tcBorders>
            <w:vAlign w:val="bottom"/>
          </w:tcPr>
          <w:p w:rsidR="004154F4" w:rsidRPr="00ED6C0A" w:rsidRDefault="004154F4" w:rsidP="000E29E0">
            <w:pPr>
              <w:jc w:val="center"/>
              <w:rPr>
                <w:sz w:val="22"/>
                <w:szCs w:val="22"/>
              </w:rPr>
            </w:pPr>
            <w:r w:rsidRPr="00ED6C0A">
              <w:rPr>
                <w:sz w:val="22"/>
                <w:szCs w:val="22"/>
              </w:rPr>
              <w:t>-</w:t>
            </w:r>
          </w:p>
        </w:tc>
      </w:tr>
      <w:tr w:rsidR="004154F4" w:rsidRPr="00ED6C0A"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both"/>
              <w:rPr>
                <w:b/>
                <w:bCs/>
                <w:sz w:val="22"/>
                <w:szCs w:val="22"/>
              </w:rPr>
            </w:pPr>
            <w:r w:rsidRPr="00ED6C0A">
              <w:rPr>
                <w:b/>
                <w:bCs/>
                <w:sz w:val="22"/>
                <w:szCs w:val="22"/>
              </w:rPr>
              <w:t>TOTAL</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b/>
                <w:bCs/>
                <w:sz w:val="22"/>
                <w:szCs w:val="22"/>
              </w:rPr>
            </w:pPr>
            <w:r w:rsidRPr="00ED6C0A">
              <w:rPr>
                <w:b/>
                <w:bCs/>
                <w:sz w:val="22"/>
                <w:szCs w:val="22"/>
              </w:rPr>
              <w:t>1059</w:t>
            </w:r>
          </w:p>
        </w:tc>
        <w:tc>
          <w:tcPr>
            <w:tcW w:w="156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b/>
                <w:bCs/>
                <w:sz w:val="22"/>
                <w:szCs w:val="22"/>
              </w:rPr>
            </w:pPr>
            <w:r w:rsidRPr="00ED6C0A">
              <w:rPr>
                <w:b/>
                <w:bCs/>
                <w:sz w:val="22"/>
                <w:szCs w:val="22"/>
              </w:rPr>
              <w:t>132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b/>
                <w:bCs/>
                <w:sz w:val="22"/>
                <w:szCs w:val="22"/>
              </w:rPr>
            </w:pPr>
            <w:r w:rsidRPr="00ED6C0A">
              <w:rPr>
                <w:b/>
                <w:bCs/>
                <w:sz w:val="22"/>
                <w:szCs w:val="22"/>
              </w:rPr>
              <w:t>171</w:t>
            </w:r>
          </w:p>
        </w:tc>
        <w:tc>
          <w:tcPr>
            <w:tcW w:w="1559" w:type="dxa"/>
            <w:tcBorders>
              <w:top w:val="nil"/>
              <w:left w:val="nil"/>
              <w:bottom w:val="single" w:sz="8" w:space="0" w:color="auto"/>
              <w:right w:val="single" w:sz="8" w:space="0" w:color="auto"/>
            </w:tcBorders>
            <w:vAlign w:val="bottom"/>
          </w:tcPr>
          <w:p w:rsidR="004154F4" w:rsidRPr="00ED6C0A" w:rsidRDefault="004154F4" w:rsidP="000E29E0">
            <w:pPr>
              <w:jc w:val="center"/>
              <w:rPr>
                <w:b/>
                <w:bCs/>
                <w:sz w:val="22"/>
                <w:szCs w:val="22"/>
              </w:rPr>
            </w:pPr>
            <w:r w:rsidRPr="00ED6C0A">
              <w:rPr>
                <w:b/>
                <w:bCs/>
                <w:sz w:val="22"/>
                <w:szCs w:val="22"/>
              </w:rPr>
              <w:t>13</w:t>
            </w:r>
          </w:p>
        </w:tc>
      </w:tr>
    </w:tbl>
    <w:p w:rsidR="004154F4" w:rsidRDefault="004154F4" w:rsidP="004154F4">
      <w:pPr>
        <w:rPr>
          <w:sz w:val="22"/>
          <w:szCs w:val="22"/>
        </w:rPr>
      </w:pPr>
    </w:p>
    <w:tbl>
      <w:tblPr>
        <w:tblW w:w="0" w:type="auto"/>
        <w:tblCellMar>
          <w:left w:w="0" w:type="dxa"/>
          <w:right w:w="0" w:type="dxa"/>
        </w:tblCellMar>
        <w:tblLook w:val="04A0" w:firstRow="1" w:lastRow="0" w:firstColumn="1" w:lastColumn="0" w:noHBand="0" w:noVBand="1"/>
      </w:tblPr>
      <w:tblGrid>
        <w:gridCol w:w="3303"/>
        <w:gridCol w:w="1600"/>
        <w:gridCol w:w="1478"/>
        <w:gridCol w:w="1478"/>
        <w:gridCol w:w="1453"/>
      </w:tblGrid>
      <w:tr w:rsidR="004154F4" w:rsidRPr="00ED6C0A" w:rsidTr="000E29E0">
        <w:trPr>
          <w:trHeight w:val="396"/>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54F4" w:rsidRPr="00ED6C0A" w:rsidRDefault="004154F4" w:rsidP="000E29E0">
            <w:pPr>
              <w:jc w:val="both"/>
              <w:rPr>
                <w:sz w:val="22"/>
                <w:szCs w:val="22"/>
              </w:rPr>
            </w:pPr>
            <w:r w:rsidRPr="00ED6C0A">
              <w:rPr>
                <w:sz w:val="22"/>
                <w:szCs w:val="22"/>
              </w:rPr>
              <w:t>2015-16</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spacing w:after="120"/>
              <w:jc w:val="center"/>
              <w:rPr>
                <w:b/>
                <w:bCs/>
                <w:sz w:val="22"/>
                <w:szCs w:val="22"/>
              </w:rPr>
            </w:pPr>
            <w:r w:rsidRPr="00ED6C0A">
              <w:rPr>
                <w:b/>
                <w:bCs/>
                <w:sz w:val="22"/>
                <w:szCs w:val="22"/>
              </w:rPr>
              <w:t>SLAB</w:t>
            </w:r>
          </w:p>
          <w:p w:rsidR="004154F4" w:rsidRPr="00ED6C0A" w:rsidRDefault="004154F4" w:rsidP="000E29E0">
            <w:pPr>
              <w:spacing w:after="120"/>
              <w:jc w:val="center"/>
              <w:rPr>
                <w:b/>
                <w:bCs/>
                <w:sz w:val="22"/>
                <w:szCs w:val="22"/>
              </w:rPr>
            </w:pPr>
            <w:r w:rsidRPr="00ED6C0A">
              <w:rPr>
                <w:b/>
                <w:bCs/>
                <w:sz w:val="22"/>
                <w:szCs w:val="22"/>
              </w:rPr>
              <w:t>£000</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spacing w:after="120"/>
              <w:jc w:val="center"/>
              <w:rPr>
                <w:b/>
                <w:bCs/>
                <w:sz w:val="22"/>
                <w:szCs w:val="22"/>
              </w:rPr>
            </w:pPr>
            <w:r w:rsidRPr="00ED6C0A">
              <w:rPr>
                <w:b/>
                <w:bCs/>
                <w:sz w:val="22"/>
                <w:szCs w:val="22"/>
              </w:rPr>
              <w:t>PDSO</w:t>
            </w:r>
          </w:p>
          <w:p w:rsidR="004154F4" w:rsidRPr="00ED6C0A" w:rsidRDefault="004154F4" w:rsidP="000E29E0">
            <w:pPr>
              <w:spacing w:after="120"/>
              <w:jc w:val="center"/>
              <w:rPr>
                <w:b/>
                <w:bCs/>
                <w:sz w:val="22"/>
                <w:szCs w:val="22"/>
              </w:rPr>
            </w:pPr>
            <w:r w:rsidRPr="00ED6C0A">
              <w:rPr>
                <w:b/>
                <w:bCs/>
                <w:sz w:val="22"/>
                <w:szCs w:val="22"/>
              </w:rPr>
              <w:t>£000</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spacing w:after="120"/>
              <w:jc w:val="center"/>
              <w:rPr>
                <w:b/>
                <w:bCs/>
                <w:sz w:val="22"/>
                <w:szCs w:val="22"/>
              </w:rPr>
            </w:pPr>
            <w:r w:rsidRPr="00ED6C0A">
              <w:rPr>
                <w:b/>
                <w:bCs/>
                <w:sz w:val="22"/>
                <w:szCs w:val="22"/>
              </w:rPr>
              <w:t>CLAO</w:t>
            </w:r>
          </w:p>
          <w:p w:rsidR="004154F4" w:rsidRPr="00ED6C0A" w:rsidRDefault="004154F4" w:rsidP="000E29E0">
            <w:pPr>
              <w:spacing w:after="120"/>
              <w:jc w:val="center"/>
              <w:rPr>
                <w:b/>
                <w:bCs/>
                <w:sz w:val="22"/>
                <w:szCs w:val="22"/>
              </w:rPr>
            </w:pPr>
            <w:r w:rsidRPr="00ED6C0A">
              <w:rPr>
                <w:b/>
                <w:bCs/>
                <w:sz w:val="22"/>
                <w:szCs w:val="22"/>
              </w:rPr>
              <w:t>£000</w:t>
            </w:r>
          </w:p>
        </w:tc>
        <w:tc>
          <w:tcPr>
            <w:tcW w:w="1559" w:type="dxa"/>
            <w:tcBorders>
              <w:top w:val="single" w:sz="8" w:space="0" w:color="auto"/>
              <w:left w:val="nil"/>
              <w:bottom w:val="single" w:sz="8" w:space="0" w:color="auto"/>
              <w:right w:val="single" w:sz="8" w:space="0" w:color="auto"/>
            </w:tcBorders>
            <w:vAlign w:val="bottom"/>
          </w:tcPr>
          <w:p w:rsidR="004154F4" w:rsidRPr="00ED6C0A" w:rsidRDefault="004154F4" w:rsidP="000E29E0">
            <w:pPr>
              <w:spacing w:after="120"/>
              <w:jc w:val="center"/>
              <w:rPr>
                <w:b/>
                <w:bCs/>
                <w:sz w:val="22"/>
                <w:szCs w:val="22"/>
              </w:rPr>
            </w:pPr>
            <w:r w:rsidRPr="00ED6C0A">
              <w:rPr>
                <w:b/>
                <w:bCs/>
                <w:sz w:val="22"/>
                <w:szCs w:val="22"/>
              </w:rPr>
              <w:t>SCL</w:t>
            </w:r>
          </w:p>
          <w:p w:rsidR="004154F4" w:rsidRPr="00ED6C0A" w:rsidRDefault="004154F4" w:rsidP="000E29E0">
            <w:pPr>
              <w:spacing w:after="120"/>
              <w:jc w:val="center"/>
              <w:rPr>
                <w:b/>
                <w:bCs/>
                <w:sz w:val="22"/>
                <w:szCs w:val="22"/>
              </w:rPr>
            </w:pPr>
            <w:r w:rsidRPr="00ED6C0A">
              <w:rPr>
                <w:b/>
                <w:bCs/>
                <w:sz w:val="22"/>
                <w:szCs w:val="22"/>
              </w:rPr>
              <w:t>£000</w:t>
            </w:r>
          </w:p>
        </w:tc>
      </w:tr>
      <w:tr w:rsidR="004154F4" w:rsidRPr="00ED6C0A"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both"/>
              <w:rPr>
                <w:sz w:val="22"/>
                <w:szCs w:val="22"/>
              </w:rPr>
            </w:pPr>
            <w:r w:rsidRPr="00ED6C0A">
              <w:rPr>
                <w:sz w:val="22"/>
                <w:szCs w:val="22"/>
              </w:rPr>
              <w:t>Rent</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5</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70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73</w:t>
            </w:r>
          </w:p>
        </w:tc>
        <w:tc>
          <w:tcPr>
            <w:tcW w:w="1559" w:type="dxa"/>
            <w:tcBorders>
              <w:top w:val="nil"/>
              <w:left w:val="nil"/>
              <w:bottom w:val="single" w:sz="8" w:space="0" w:color="auto"/>
              <w:right w:val="single" w:sz="8" w:space="0" w:color="auto"/>
            </w:tcBorders>
            <w:vAlign w:val="bottom"/>
          </w:tcPr>
          <w:p w:rsidR="004154F4" w:rsidRPr="00ED6C0A" w:rsidRDefault="004154F4" w:rsidP="000E29E0">
            <w:pPr>
              <w:jc w:val="center"/>
              <w:rPr>
                <w:sz w:val="22"/>
                <w:szCs w:val="22"/>
              </w:rPr>
            </w:pPr>
            <w:r w:rsidRPr="00ED6C0A">
              <w:rPr>
                <w:sz w:val="22"/>
                <w:szCs w:val="22"/>
              </w:rPr>
              <w:t>9</w:t>
            </w:r>
          </w:p>
        </w:tc>
      </w:tr>
      <w:tr w:rsidR="004154F4" w:rsidRPr="00ED6C0A"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both"/>
              <w:rPr>
                <w:sz w:val="22"/>
                <w:szCs w:val="22"/>
              </w:rPr>
            </w:pPr>
            <w:r w:rsidRPr="00ED6C0A">
              <w:rPr>
                <w:sz w:val="22"/>
                <w:szCs w:val="22"/>
              </w:rPr>
              <w:t>Rent recovery from sub-let</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(360)</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w:t>
            </w:r>
          </w:p>
        </w:tc>
        <w:tc>
          <w:tcPr>
            <w:tcW w:w="1559" w:type="dxa"/>
            <w:tcBorders>
              <w:top w:val="nil"/>
              <w:left w:val="nil"/>
              <w:bottom w:val="single" w:sz="8" w:space="0" w:color="auto"/>
              <w:right w:val="single" w:sz="8" w:space="0" w:color="auto"/>
            </w:tcBorders>
            <w:vAlign w:val="bottom"/>
          </w:tcPr>
          <w:p w:rsidR="004154F4" w:rsidRPr="00ED6C0A" w:rsidRDefault="004154F4" w:rsidP="000E29E0">
            <w:pPr>
              <w:jc w:val="center"/>
              <w:rPr>
                <w:sz w:val="22"/>
                <w:szCs w:val="22"/>
              </w:rPr>
            </w:pPr>
            <w:r w:rsidRPr="00ED6C0A">
              <w:rPr>
                <w:sz w:val="22"/>
                <w:szCs w:val="22"/>
              </w:rPr>
              <w:t>-</w:t>
            </w:r>
          </w:p>
        </w:tc>
      </w:tr>
      <w:tr w:rsidR="004154F4" w:rsidRPr="00ED6C0A"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both"/>
              <w:rPr>
                <w:sz w:val="22"/>
                <w:szCs w:val="22"/>
              </w:rPr>
            </w:pPr>
            <w:r w:rsidRPr="00ED6C0A">
              <w:rPr>
                <w:sz w:val="22"/>
                <w:szCs w:val="22"/>
              </w:rPr>
              <w:t>Rates</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335</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23</w:t>
            </w:r>
          </w:p>
        </w:tc>
        <w:tc>
          <w:tcPr>
            <w:tcW w:w="1559" w:type="dxa"/>
            <w:tcBorders>
              <w:top w:val="nil"/>
              <w:left w:val="nil"/>
              <w:bottom w:val="single" w:sz="8" w:space="0" w:color="auto"/>
              <w:right w:val="single" w:sz="8" w:space="0" w:color="auto"/>
            </w:tcBorders>
            <w:vAlign w:val="bottom"/>
          </w:tcPr>
          <w:p w:rsidR="004154F4" w:rsidRPr="00ED6C0A" w:rsidRDefault="004154F4" w:rsidP="000E29E0">
            <w:pPr>
              <w:jc w:val="center"/>
              <w:rPr>
                <w:sz w:val="22"/>
                <w:szCs w:val="22"/>
              </w:rPr>
            </w:pPr>
            <w:r w:rsidRPr="00ED6C0A">
              <w:rPr>
                <w:sz w:val="22"/>
                <w:szCs w:val="22"/>
              </w:rPr>
              <w:t>-</w:t>
            </w:r>
          </w:p>
        </w:tc>
      </w:tr>
      <w:tr w:rsidR="004154F4" w:rsidRPr="00ED6C0A"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both"/>
              <w:rPr>
                <w:sz w:val="22"/>
                <w:szCs w:val="22"/>
              </w:rPr>
            </w:pPr>
            <w:r w:rsidRPr="00ED6C0A">
              <w:rPr>
                <w:sz w:val="22"/>
                <w:szCs w:val="22"/>
              </w:rPr>
              <w:t>Heat &amp; light</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96</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10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8</w:t>
            </w:r>
          </w:p>
        </w:tc>
        <w:tc>
          <w:tcPr>
            <w:tcW w:w="1559" w:type="dxa"/>
            <w:tcBorders>
              <w:top w:val="nil"/>
              <w:left w:val="nil"/>
              <w:bottom w:val="single" w:sz="8" w:space="0" w:color="auto"/>
              <w:right w:val="single" w:sz="8" w:space="0" w:color="auto"/>
            </w:tcBorders>
            <w:vAlign w:val="bottom"/>
          </w:tcPr>
          <w:p w:rsidR="004154F4" w:rsidRPr="00ED6C0A" w:rsidRDefault="004154F4" w:rsidP="000E29E0">
            <w:pPr>
              <w:jc w:val="center"/>
              <w:rPr>
                <w:sz w:val="22"/>
                <w:szCs w:val="22"/>
              </w:rPr>
            </w:pPr>
            <w:r w:rsidRPr="00ED6C0A">
              <w:rPr>
                <w:sz w:val="22"/>
                <w:szCs w:val="22"/>
              </w:rPr>
              <w:t>-</w:t>
            </w:r>
          </w:p>
        </w:tc>
      </w:tr>
      <w:tr w:rsidR="004154F4" w:rsidRPr="00ED6C0A"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both"/>
              <w:rPr>
                <w:sz w:val="22"/>
                <w:szCs w:val="22"/>
              </w:rPr>
            </w:pPr>
            <w:r w:rsidRPr="00ED6C0A">
              <w:rPr>
                <w:sz w:val="22"/>
                <w:szCs w:val="22"/>
              </w:rPr>
              <w:t>Maintenance and repairs</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117</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18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8</w:t>
            </w:r>
          </w:p>
        </w:tc>
        <w:tc>
          <w:tcPr>
            <w:tcW w:w="1559" w:type="dxa"/>
            <w:tcBorders>
              <w:top w:val="nil"/>
              <w:left w:val="nil"/>
              <w:bottom w:val="single" w:sz="8" w:space="0" w:color="auto"/>
              <w:right w:val="single" w:sz="8" w:space="0" w:color="auto"/>
            </w:tcBorders>
            <w:vAlign w:val="bottom"/>
          </w:tcPr>
          <w:p w:rsidR="004154F4" w:rsidRPr="00ED6C0A" w:rsidRDefault="004154F4" w:rsidP="000E29E0">
            <w:pPr>
              <w:jc w:val="center"/>
              <w:rPr>
                <w:sz w:val="22"/>
                <w:szCs w:val="22"/>
              </w:rPr>
            </w:pPr>
            <w:r w:rsidRPr="00ED6C0A">
              <w:rPr>
                <w:sz w:val="22"/>
                <w:szCs w:val="22"/>
              </w:rPr>
              <w:t>-</w:t>
            </w:r>
          </w:p>
        </w:tc>
      </w:tr>
      <w:tr w:rsidR="004154F4" w:rsidRPr="00ED6C0A"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both"/>
              <w:rPr>
                <w:sz w:val="22"/>
                <w:szCs w:val="22"/>
              </w:rPr>
            </w:pPr>
            <w:r w:rsidRPr="00ED6C0A">
              <w:rPr>
                <w:sz w:val="22"/>
                <w:szCs w:val="22"/>
              </w:rPr>
              <w:t>Cleaning and office Consumables</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96</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23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16</w:t>
            </w:r>
          </w:p>
        </w:tc>
        <w:tc>
          <w:tcPr>
            <w:tcW w:w="1559" w:type="dxa"/>
            <w:tcBorders>
              <w:top w:val="nil"/>
              <w:left w:val="nil"/>
              <w:bottom w:val="single" w:sz="8" w:space="0" w:color="auto"/>
              <w:right w:val="single" w:sz="8" w:space="0" w:color="auto"/>
            </w:tcBorders>
            <w:vAlign w:val="bottom"/>
          </w:tcPr>
          <w:p w:rsidR="004154F4" w:rsidRPr="00ED6C0A" w:rsidRDefault="004154F4" w:rsidP="000E29E0">
            <w:pPr>
              <w:jc w:val="center"/>
              <w:rPr>
                <w:sz w:val="22"/>
                <w:szCs w:val="22"/>
              </w:rPr>
            </w:pPr>
            <w:r w:rsidRPr="00ED6C0A">
              <w:rPr>
                <w:sz w:val="22"/>
                <w:szCs w:val="22"/>
              </w:rPr>
              <w:t>-</w:t>
            </w:r>
          </w:p>
        </w:tc>
      </w:tr>
      <w:tr w:rsidR="004154F4" w:rsidRPr="00ED6C0A"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both"/>
              <w:rPr>
                <w:sz w:val="22"/>
                <w:szCs w:val="22"/>
              </w:rPr>
            </w:pPr>
            <w:r w:rsidRPr="00ED6C0A">
              <w:rPr>
                <w:sz w:val="22"/>
                <w:szCs w:val="22"/>
              </w:rPr>
              <w:t>Other</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7</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sz w:val="22"/>
                <w:szCs w:val="22"/>
              </w:rPr>
            </w:pPr>
            <w:r w:rsidRPr="00ED6C0A">
              <w:rPr>
                <w:sz w:val="22"/>
                <w:szCs w:val="22"/>
              </w:rPr>
              <w:t>53</w:t>
            </w:r>
          </w:p>
        </w:tc>
        <w:tc>
          <w:tcPr>
            <w:tcW w:w="1559" w:type="dxa"/>
            <w:tcBorders>
              <w:top w:val="nil"/>
              <w:left w:val="nil"/>
              <w:bottom w:val="single" w:sz="8" w:space="0" w:color="auto"/>
              <w:right w:val="single" w:sz="8" w:space="0" w:color="auto"/>
            </w:tcBorders>
            <w:vAlign w:val="bottom"/>
          </w:tcPr>
          <w:p w:rsidR="004154F4" w:rsidRPr="00ED6C0A" w:rsidRDefault="004154F4" w:rsidP="000E29E0">
            <w:pPr>
              <w:jc w:val="center"/>
              <w:rPr>
                <w:sz w:val="22"/>
                <w:szCs w:val="22"/>
              </w:rPr>
            </w:pPr>
            <w:r w:rsidRPr="00ED6C0A">
              <w:rPr>
                <w:sz w:val="22"/>
                <w:szCs w:val="22"/>
              </w:rPr>
              <w:t>-</w:t>
            </w:r>
          </w:p>
        </w:tc>
      </w:tr>
      <w:tr w:rsidR="004154F4" w:rsidRPr="00ED6C0A" w:rsidTr="000E29E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both"/>
              <w:rPr>
                <w:b/>
                <w:bCs/>
                <w:sz w:val="22"/>
                <w:szCs w:val="22"/>
              </w:rPr>
            </w:pPr>
            <w:r w:rsidRPr="00ED6C0A">
              <w:rPr>
                <w:b/>
                <w:bCs/>
                <w:sz w:val="22"/>
                <w:szCs w:val="22"/>
              </w:rPr>
              <w:t>TOTAL</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b/>
                <w:bCs/>
                <w:sz w:val="22"/>
                <w:szCs w:val="22"/>
              </w:rPr>
            </w:pPr>
            <w:r w:rsidRPr="00ED6C0A">
              <w:rPr>
                <w:b/>
                <w:bCs/>
                <w:sz w:val="22"/>
                <w:szCs w:val="22"/>
              </w:rPr>
              <w:t>296</w:t>
            </w:r>
          </w:p>
        </w:tc>
        <w:tc>
          <w:tcPr>
            <w:tcW w:w="156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b/>
                <w:bCs/>
                <w:sz w:val="22"/>
                <w:szCs w:val="22"/>
              </w:rPr>
            </w:pPr>
            <w:r w:rsidRPr="00ED6C0A">
              <w:rPr>
                <w:b/>
                <w:bCs/>
                <w:sz w:val="22"/>
                <w:szCs w:val="22"/>
              </w:rPr>
              <w:t>133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154F4" w:rsidRPr="00ED6C0A" w:rsidRDefault="004154F4" w:rsidP="000E29E0">
            <w:pPr>
              <w:jc w:val="center"/>
              <w:rPr>
                <w:b/>
                <w:bCs/>
                <w:sz w:val="22"/>
                <w:szCs w:val="22"/>
              </w:rPr>
            </w:pPr>
            <w:r w:rsidRPr="00ED6C0A">
              <w:rPr>
                <w:b/>
                <w:bCs/>
                <w:sz w:val="22"/>
                <w:szCs w:val="22"/>
              </w:rPr>
              <w:t>183</w:t>
            </w:r>
          </w:p>
        </w:tc>
        <w:tc>
          <w:tcPr>
            <w:tcW w:w="1559" w:type="dxa"/>
            <w:tcBorders>
              <w:top w:val="nil"/>
              <w:left w:val="nil"/>
              <w:bottom w:val="single" w:sz="8" w:space="0" w:color="auto"/>
              <w:right w:val="single" w:sz="8" w:space="0" w:color="auto"/>
            </w:tcBorders>
            <w:vAlign w:val="bottom"/>
          </w:tcPr>
          <w:p w:rsidR="004154F4" w:rsidRPr="00ED6C0A" w:rsidRDefault="004154F4" w:rsidP="000E29E0">
            <w:pPr>
              <w:jc w:val="center"/>
              <w:rPr>
                <w:b/>
                <w:bCs/>
                <w:sz w:val="22"/>
                <w:szCs w:val="22"/>
              </w:rPr>
            </w:pPr>
            <w:r w:rsidRPr="00ED6C0A">
              <w:rPr>
                <w:b/>
                <w:bCs/>
                <w:sz w:val="22"/>
                <w:szCs w:val="22"/>
              </w:rPr>
              <w:t>9</w:t>
            </w:r>
          </w:p>
        </w:tc>
      </w:tr>
    </w:tbl>
    <w:p w:rsidR="004154F4" w:rsidRDefault="004154F4" w:rsidP="004154F4">
      <w:pPr>
        <w:rPr>
          <w:sz w:val="22"/>
          <w:szCs w:val="22"/>
        </w:rPr>
      </w:pPr>
    </w:p>
    <w:tbl>
      <w:tblPr>
        <w:tblW w:w="9364" w:type="dxa"/>
        <w:tblInd w:w="-18" w:type="dxa"/>
        <w:tblCellMar>
          <w:left w:w="0" w:type="dxa"/>
          <w:right w:w="0" w:type="dxa"/>
        </w:tblCellMar>
        <w:tblLook w:val="04A0" w:firstRow="1" w:lastRow="0" w:firstColumn="1" w:lastColumn="0" w:noHBand="0" w:noVBand="1"/>
      </w:tblPr>
      <w:tblGrid>
        <w:gridCol w:w="3269"/>
        <w:gridCol w:w="1701"/>
        <w:gridCol w:w="1417"/>
        <w:gridCol w:w="1559"/>
        <w:gridCol w:w="1418"/>
      </w:tblGrid>
      <w:tr w:rsidR="004154F4" w:rsidRPr="00ED6C0A" w:rsidTr="00885456">
        <w:trPr>
          <w:trHeight w:val="342"/>
        </w:trPr>
        <w:tc>
          <w:tcPr>
            <w:tcW w:w="3269"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4154F4" w:rsidRPr="00ED6C0A" w:rsidRDefault="004154F4" w:rsidP="000E29E0">
            <w:pPr>
              <w:jc w:val="both"/>
              <w:rPr>
                <w:sz w:val="22"/>
                <w:szCs w:val="22"/>
              </w:rPr>
            </w:pPr>
            <w:r w:rsidRPr="00ED6C0A">
              <w:rPr>
                <w:sz w:val="22"/>
                <w:szCs w:val="22"/>
              </w:rPr>
              <w:t>2016-17</w:t>
            </w:r>
          </w:p>
        </w:tc>
        <w:tc>
          <w:tcPr>
            <w:tcW w:w="1701" w:type="dxa"/>
            <w:tcBorders>
              <w:top w:val="single" w:sz="8" w:space="0" w:color="auto"/>
              <w:left w:val="nil"/>
              <w:bottom w:val="nil"/>
              <w:right w:val="single" w:sz="8" w:space="0" w:color="auto"/>
            </w:tcBorders>
            <w:tcMar>
              <w:top w:w="0" w:type="dxa"/>
              <w:left w:w="108" w:type="dxa"/>
              <w:bottom w:w="0" w:type="dxa"/>
              <w:right w:w="108" w:type="dxa"/>
            </w:tcMar>
          </w:tcPr>
          <w:p w:rsidR="004154F4" w:rsidRPr="00ED6C0A" w:rsidRDefault="004154F4" w:rsidP="000E29E0">
            <w:pPr>
              <w:spacing w:after="120"/>
              <w:jc w:val="center"/>
              <w:rPr>
                <w:b/>
                <w:bCs/>
                <w:sz w:val="22"/>
                <w:szCs w:val="22"/>
              </w:rPr>
            </w:pPr>
            <w:r w:rsidRPr="00ED6C0A">
              <w:rPr>
                <w:b/>
                <w:bCs/>
                <w:sz w:val="22"/>
                <w:szCs w:val="22"/>
              </w:rPr>
              <w:t>SLAB</w:t>
            </w:r>
          </w:p>
          <w:p w:rsidR="004154F4" w:rsidRPr="00ED6C0A" w:rsidRDefault="004154F4" w:rsidP="000E29E0">
            <w:pPr>
              <w:jc w:val="center"/>
              <w:rPr>
                <w:b/>
                <w:bCs/>
                <w:sz w:val="22"/>
                <w:szCs w:val="22"/>
              </w:rPr>
            </w:pPr>
            <w:r w:rsidRPr="00ED6C0A">
              <w:rPr>
                <w:b/>
                <w:bCs/>
                <w:sz w:val="22"/>
                <w:szCs w:val="22"/>
              </w:rPr>
              <w:t>£000</w:t>
            </w:r>
          </w:p>
        </w:tc>
        <w:tc>
          <w:tcPr>
            <w:tcW w:w="1417" w:type="dxa"/>
            <w:tcBorders>
              <w:top w:val="single" w:sz="8" w:space="0" w:color="auto"/>
              <w:left w:val="nil"/>
              <w:bottom w:val="nil"/>
              <w:right w:val="single" w:sz="8" w:space="0" w:color="auto"/>
            </w:tcBorders>
            <w:tcMar>
              <w:top w:w="0" w:type="dxa"/>
              <w:left w:w="108" w:type="dxa"/>
              <w:bottom w:w="0" w:type="dxa"/>
              <w:right w:w="108" w:type="dxa"/>
            </w:tcMar>
          </w:tcPr>
          <w:p w:rsidR="004154F4" w:rsidRPr="00ED6C0A" w:rsidRDefault="004154F4" w:rsidP="000E29E0">
            <w:pPr>
              <w:spacing w:after="120"/>
              <w:jc w:val="center"/>
              <w:rPr>
                <w:b/>
                <w:bCs/>
                <w:sz w:val="22"/>
                <w:szCs w:val="22"/>
              </w:rPr>
            </w:pPr>
            <w:r w:rsidRPr="00ED6C0A">
              <w:rPr>
                <w:b/>
                <w:bCs/>
                <w:sz w:val="22"/>
                <w:szCs w:val="22"/>
              </w:rPr>
              <w:t>PDSO</w:t>
            </w:r>
          </w:p>
          <w:p w:rsidR="004154F4" w:rsidRPr="00ED6C0A" w:rsidRDefault="004154F4" w:rsidP="000E29E0">
            <w:pPr>
              <w:jc w:val="center"/>
              <w:rPr>
                <w:b/>
                <w:bCs/>
                <w:sz w:val="22"/>
                <w:szCs w:val="22"/>
              </w:rPr>
            </w:pPr>
            <w:r w:rsidRPr="00ED6C0A">
              <w:rPr>
                <w:b/>
                <w:bCs/>
                <w:sz w:val="22"/>
                <w:szCs w:val="22"/>
              </w:rPr>
              <w:t>£000</w:t>
            </w:r>
          </w:p>
        </w:tc>
        <w:tc>
          <w:tcPr>
            <w:tcW w:w="1559" w:type="dxa"/>
            <w:tcBorders>
              <w:top w:val="single" w:sz="8" w:space="0" w:color="auto"/>
              <w:left w:val="nil"/>
              <w:bottom w:val="nil"/>
              <w:right w:val="single" w:sz="8" w:space="0" w:color="auto"/>
            </w:tcBorders>
            <w:tcMar>
              <w:top w:w="0" w:type="dxa"/>
              <w:left w:w="108" w:type="dxa"/>
              <w:bottom w:w="0" w:type="dxa"/>
              <w:right w:w="108" w:type="dxa"/>
            </w:tcMar>
          </w:tcPr>
          <w:p w:rsidR="004154F4" w:rsidRPr="00ED6C0A" w:rsidRDefault="004154F4" w:rsidP="000E29E0">
            <w:pPr>
              <w:spacing w:after="120"/>
              <w:jc w:val="center"/>
              <w:rPr>
                <w:b/>
                <w:bCs/>
                <w:sz w:val="22"/>
                <w:szCs w:val="22"/>
              </w:rPr>
            </w:pPr>
            <w:r w:rsidRPr="00ED6C0A">
              <w:rPr>
                <w:b/>
                <w:bCs/>
                <w:sz w:val="22"/>
                <w:szCs w:val="22"/>
              </w:rPr>
              <w:t>CLAO</w:t>
            </w:r>
          </w:p>
          <w:p w:rsidR="004154F4" w:rsidRPr="00ED6C0A" w:rsidRDefault="004154F4" w:rsidP="000E29E0">
            <w:pPr>
              <w:jc w:val="center"/>
              <w:rPr>
                <w:b/>
                <w:bCs/>
                <w:sz w:val="22"/>
                <w:szCs w:val="22"/>
              </w:rPr>
            </w:pPr>
            <w:r w:rsidRPr="00ED6C0A">
              <w:rPr>
                <w:b/>
                <w:bCs/>
                <w:sz w:val="22"/>
                <w:szCs w:val="22"/>
              </w:rPr>
              <w:t>£000</w:t>
            </w:r>
          </w:p>
        </w:tc>
        <w:tc>
          <w:tcPr>
            <w:tcW w:w="1418" w:type="dxa"/>
            <w:tcBorders>
              <w:top w:val="single" w:sz="8" w:space="0" w:color="auto"/>
              <w:left w:val="nil"/>
              <w:bottom w:val="nil"/>
              <w:right w:val="single" w:sz="8" w:space="0" w:color="auto"/>
            </w:tcBorders>
            <w:tcMar>
              <w:top w:w="0" w:type="dxa"/>
              <w:left w:w="108" w:type="dxa"/>
              <w:bottom w:w="0" w:type="dxa"/>
              <w:right w:w="108" w:type="dxa"/>
            </w:tcMar>
          </w:tcPr>
          <w:p w:rsidR="004154F4" w:rsidRPr="00ED6C0A" w:rsidRDefault="004154F4" w:rsidP="000E29E0">
            <w:pPr>
              <w:spacing w:after="120"/>
              <w:jc w:val="center"/>
              <w:rPr>
                <w:b/>
                <w:bCs/>
                <w:sz w:val="22"/>
                <w:szCs w:val="22"/>
              </w:rPr>
            </w:pPr>
            <w:r w:rsidRPr="00ED6C0A">
              <w:rPr>
                <w:b/>
                <w:bCs/>
                <w:sz w:val="22"/>
                <w:szCs w:val="22"/>
              </w:rPr>
              <w:t>SCL</w:t>
            </w:r>
          </w:p>
          <w:p w:rsidR="004154F4" w:rsidRPr="00ED6C0A" w:rsidRDefault="004154F4" w:rsidP="000E29E0">
            <w:pPr>
              <w:jc w:val="center"/>
              <w:rPr>
                <w:b/>
                <w:bCs/>
                <w:sz w:val="22"/>
                <w:szCs w:val="22"/>
              </w:rPr>
            </w:pPr>
            <w:r w:rsidRPr="00ED6C0A">
              <w:rPr>
                <w:b/>
                <w:bCs/>
                <w:sz w:val="22"/>
                <w:szCs w:val="22"/>
              </w:rPr>
              <w:t>£000</w:t>
            </w:r>
          </w:p>
        </w:tc>
      </w:tr>
      <w:tr w:rsidR="004154F4" w:rsidRPr="00ED6C0A" w:rsidTr="00885456">
        <w:trPr>
          <w:trHeight w:val="80"/>
        </w:trPr>
        <w:tc>
          <w:tcPr>
            <w:tcW w:w="3269" w:type="dxa"/>
            <w:vMerge/>
            <w:tcBorders>
              <w:top w:val="single" w:sz="8" w:space="0" w:color="auto"/>
              <w:left w:val="single" w:sz="8" w:space="0" w:color="auto"/>
              <w:bottom w:val="single" w:sz="8" w:space="0" w:color="000000"/>
              <w:right w:val="single" w:sz="8" w:space="0" w:color="auto"/>
            </w:tcBorders>
            <w:vAlign w:val="center"/>
            <w:hideMark/>
          </w:tcPr>
          <w:p w:rsidR="004154F4" w:rsidRPr="00ED6C0A" w:rsidRDefault="004154F4" w:rsidP="000E29E0">
            <w:pPr>
              <w:jc w:val="both"/>
              <w:rPr>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154F4" w:rsidRPr="00ED6C0A" w:rsidRDefault="004154F4" w:rsidP="000E29E0">
            <w:pPr>
              <w:rPr>
                <w:b/>
                <w:bCs/>
                <w:sz w:val="22"/>
                <w:szCs w:val="2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54F4" w:rsidRPr="00ED6C0A" w:rsidRDefault="004154F4" w:rsidP="000E29E0">
            <w:pPr>
              <w:rPr>
                <w:b/>
                <w:bCs/>
                <w:sz w:val="22"/>
                <w:szCs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154F4" w:rsidRPr="00ED6C0A" w:rsidRDefault="004154F4" w:rsidP="000E29E0">
            <w:pPr>
              <w:rPr>
                <w:b/>
                <w:bCs/>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154F4" w:rsidRPr="00ED6C0A" w:rsidRDefault="004154F4" w:rsidP="000E29E0">
            <w:pPr>
              <w:rPr>
                <w:b/>
                <w:bCs/>
                <w:sz w:val="22"/>
                <w:szCs w:val="22"/>
              </w:rPr>
            </w:pPr>
          </w:p>
        </w:tc>
      </w:tr>
      <w:tr w:rsidR="004154F4" w:rsidRPr="00ED6C0A" w:rsidTr="00885456">
        <w:trPr>
          <w:trHeight w:val="356"/>
        </w:trPr>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ED6C0A" w:rsidRDefault="004154F4" w:rsidP="000E29E0">
            <w:pPr>
              <w:jc w:val="both"/>
              <w:rPr>
                <w:sz w:val="22"/>
                <w:szCs w:val="22"/>
              </w:rPr>
            </w:pPr>
            <w:r w:rsidRPr="00ED6C0A">
              <w:rPr>
                <w:sz w:val="22"/>
                <w:szCs w:val="22"/>
              </w:rPr>
              <w:t>Rent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71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79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10</w:t>
            </w:r>
          </w:p>
        </w:tc>
      </w:tr>
      <w:tr w:rsidR="004154F4" w:rsidRPr="00ED6C0A" w:rsidTr="00885456">
        <w:trPr>
          <w:trHeight w:val="356"/>
        </w:trPr>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ED6C0A" w:rsidRDefault="004154F4" w:rsidP="000E29E0">
            <w:pPr>
              <w:jc w:val="both"/>
              <w:rPr>
                <w:sz w:val="22"/>
                <w:szCs w:val="22"/>
              </w:rPr>
            </w:pPr>
            <w:r w:rsidRPr="00ED6C0A">
              <w:rPr>
                <w:sz w:val="22"/>
                <w:szCs w:val="22"/>
              </w:rPr>
              <w:t>Rent recovery from sub-let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(419)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w:t>
            </w:r>
          </w:p>
        </w:tc>
      </w:tr>
      <w:tr w:rsidR="004154F4" w:rsidRPr="00ED6C0A" w:rsidTr="00885456">
        <w:trPr>
          <w:trHeight w:val="356"/>
        </w:trPr>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ED6C0A" w:rsidRDefault="004154F4" w:rsidP="000E29E0">
            <w:pPr>
              <w:jc w:val="both"/>
              <w:rPr>
                <w:sz w:val="22"/>
                <w:szCs w:val="22"/>
              </w:rPr>
            </w:pPr>
            <w:r w:rsidRPr="00ED6C0A">
              <w:rPr>
                <w:sz w:val="22"/>
                <w:szCs w:val="22"/>
              </w:rPr>
              <w:t>Rates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367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21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w:t>
            </w:r>
          </w:p>
        </w:tc>
      </w:tr>
      <w:tr w:rsidR="004154F4" w:rsidRPr="00ED6C0A" w:rsidTr="00885456">
        <w:trPr>
          <w:trHeight w:val="356"/>
        </w:trPr>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ED6C0A" w:rsidRDefault="004154F4" w:rsidP="000E29E0">
            <w:pPr>
              <w:jc w:val="both"/>
              <w:rPr>
                <w:sz w:val="22"/>
                <w:szCs w:val="22"/>
              </w:rPr>
            </w:pPr>
            <w:r w:rsidRPr="00ED6C0A">
              <w:rPr>
                <w:sz w:val="22"/>
                <w:szCs w:val="22"/>
              </w:rPr>
              <w:t>Heat &amp; light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97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12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w:t>
            </w:r>
          </w:p>
        </w:tc>
      </w:tr>
      <w:tr w:rsidR="004154F4" w:rsidRPr="00ED6C0A" w:rsidTr="00885456">
        <w:trPr>
          <w:trHeight w:val="356"/>
        </w:trPr>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ED6C0A" w:rsidRDefault="004154F4" w:rsidP="000E29E0">
            <w:pPr>
              <w:jc w:val="both"/>
              <w:rPr>
                <w:sz w:val="22"/>
                <w:szCs w:val="22"/>
              </w:rPr>
            </w:pPr>
            <w:r w:rsidRPr="00ED6C0A">
              <w:rPr>
                <w:sz w:val="22"/>
                <w:szCs w:val="22"/>
              </w:rPr>
              <w:t>Maintenance and repairs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140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27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ED6C0A" w:rsidRDefault="004154F4" w:rsidP="000E29E0">
            <w:pPr>
              <w:jc w:val="center"/>
              <w:rPr>
                <w:sz w:val="22"/>
                <w:szCs w:val="22"/>
              </w:rPr>
            </w:pPr>
            <w:r w:rsidRPr="00ED6C0A">
              <w:rPr>
                <w:sz w:val="22"/>
                <w:szCs w:val="22"/>
              </w:rPr>
              <w:t>-</w:t>
            </w:r>
          </w:p>
        </w:tc>
      </w:tr>
      <w:tr w:rsidR="004154F4" w:rsidRPr="00BD393F" w:rsidTr="00885456">
        <w:trPr>
          <w:trHeight w:val="356"/>
        </w:trPr>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sz w:val="22"/>
                <w:szCs w:val="22"/>
              </w:rPr>
            </w:pPr>
            <w:r w:rsidRPr="00BD393F">
              <w:rPr>
                <w:sz w:val="22"/>
                <w:szCs w:val="22"/>
              </w:rPr>
              <w:t>Cleaning and office Consumables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94</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24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w:t>
            </w:r>
          </w:p>
        </w:tc>
      </w:tr>
      <w:tr w:rsidR="004154F4" w:rsidRPr="00BD393F" w:rsidTr="00885456">
        <w:trPr>
          <w:trHeight w:val="356"/>
        </w:trPr>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sz w:val="22"/>
                <w:szCs w:val="22"/>
              </w:rPr>
            </w:pPr>
            <w:r w:rsidRPr="00BD393F">
              <w:rPr>
                <w:sz w:val="22"/>
                <w:szCs w:val="22"/>
              </w:rPr>
              <w:t>Other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w:t>
            </w:r>
          </w:p>
        </w:tc>
      </w:tr>
      <w:tr w:rsidR="004154F4" w:rsidRPr="00BD393F" w:rsidTr="00885456">
        <w:trPr>
          <w:trHeight w:val="356"/>
        </w:trPr>
        <w:tc>
          <w:tcPr>
            <w:tcW w:w="3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b/>
                <w:bCs/>
                <w:sz w:val="22"/>
                <w:szCs w:val="22"/>
              </w:rPr>
            </w:pPr>
            <w:r w:rsidRPr="00BD393F">
              <w:rPr>
                <w:b/>
                <w:bCs/>
                <w:sz w:val="22"/>
                <w:szCs w:val="22"/>
              </w:rPr>
              <w:t>TOTAL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b/>
                <w:bCs/>
                <w:sz w:val="22"/>
                <w:szCs w:val="22"/>
              </w:rPr>
            </w:pPr>
            <w:r w:rsidRPr="00BD393F">
              <w:rPr>
                <w:b/>
                <w:bCs/>
                <w:sz w:val="22"/>
                <w:szCs w:val="22"/>
              </w:rPr>
              <w:t>286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b/>
                <w:bCs/>
                <w:sz w:val="22"/>
                <w:szCs w:val="22"/>
              </w:rPr>
            </w:pPr>
            <w:r w:rsidRPr="00BD393F">
              <w:rPr>
                <w:b/>
                <w:bCs/>
                <w:sz w:val="22"/>
                <w:szCs w:val="22"/>
              </w:rPr>
              <w:t>147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b/>
                <w:bCs/>
                <w:sz w:val="22"/>
                <w:szCs w:val="22"/>
              </w:rPr>
            </w:pPr>
            <w:r w:rsidRPr="00BD393F">
              <w:rPr>
                <w:b/>
                <w:bCs/>
                <w:sz w:val="22"/>
                <w:szCs w:val="22"/>
              </w:rPr>
              <w:t>130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b/>
                <w:bCs/>
                <w:sz w:val="22"/>
                <w:szCs w:val="22"/>
              </w:rPr>
            </w:pPr>
            <w:r w:rsidRPr="00BD393F">
              <w:rPr>
                <w:b/>
                <w:bCs/>
                <w:sz w:val="22"/>
                <w:szCs w:val="22"/>
              </w:rPr>
              <w:t>10</w:t>
            </w:r>
          </w:p>
        </w:tc>
      </w:tr>
    </w:tbl>
    <w:p w:rsidR="004154F4" w:rsidRDefault="004154F4" w:rsidP="004154F4">
      <w:pPr>
        <w:rPr>
          <w:sz w:val="22"/>
          <w:szCs w:val="22"/>
        </w:rPr>
      </w:pPr>
    </w:p>
    <w:p w:rsidR="004154F4" w:rsidRDefault="004154F4" w:rsidP="004154F4">
      <w:pPr>
        <w:rPr>
          <w:sz w:val="22"/>
          <w:szCs w:val="22"/>
        </w:rPr>
      </w:pPr>
    </w:p>
    <w:p w:rsidR="004154F4" w:rsidRDefault="004154F4" w:rsidP="004154F4">
      <w:pPr>
        <w:rPr>
          <w:sz w:val="22"/>
          <w:szCs w:val="22"/>
        </w:rPr>
      </w:pPr>
    </w:p>
    <w:p w:rsidR="004154F4" w:rsidRDefault="004154F4" w:rsidP="004154F4">
      <w:pPr>
        <w:rPr>
          <w:sz w:val="22"/>
          <w:szCs w:val="22"/>
        </w:rPr>
      </w:pPr>
    </w:p>
    <w:p w:rsidR="004154F4" w:rsidRDefault="004154F4" w:rsidP="004154F4">
      <w:pPr>
        <w:rPr>
          <w:sz w:val="22"/>
          <w:szCs w:val="22"/>
        </w:rPr>
      </w:pPr>
    </w:p>
    <w:p w:rsidR="004154F4" w:rsidRDefault="004154F4" w:rsidP="004154F4">
      <w:pPr>
        <w:rPr>
          <w:sz w:val="22"/>
          <w:szCs w:val="22"/>
        </w:rPr>
      </w:pPr>
    </w:p>
    <w:p w:rsidR="004154F4" w:rsidRDefault="004154F4" w:rsidP="004154F4">
      <w:pPr>
        <w:rPr>
          <w:sz w:val="22"/>
          <w:szCs w:val="22"/>
        </w:rPr>
      </w:pPr>
    </w:p>
    <w:p w:rsidR="004154F4" w:rsidRDefault="004154F4" w:rsidP="004154F4">
      <w:pPr>
        <w:rPr>
          <w:sz w:val="22"/>
          <w:szCs w:val="22"/>
        </w:rPr>
      </w:pPr>
    </w:p>
    <w:p w:rsidR="004154F4" w:rsidRDefault="004154F4" w:rsidP="004154F4">
      <w:pPr>
        <w:rPr>
          <w:sz w:val="22"/>
          <w:szCs w:val="22"/>
        </w:rPr>
      </w:pPr>
    </w:p>
    <w:p w:rsidR="004154F4" w:rsidRDefault="004154F4" w:rsidP="004154F4">
      <w:pPr>
        <w:rPr>
          <w:sz w:val="22"/>
          <w:szCs w:val="22"/>
        </w:rPr>
      </w:pPr>
    </w:p>
    <w:p w:rsidR="004154F4" w:rsidRDefault="004154F4" w:rsidP="004154F4">
      <w:pPr>
        <w:rPr>
          <w:sz w:val="22"/>
          <w:szCs w:val="22"/>
        </w:rPr>
      </w:pPr>
    </w:p>
    <w:p w:rsidR="004154F4" w:rsidRDefault="004154F4" w:rsidP="004154F4">
      <w:pPr>
        <w:rPr>
          <w:sz w:val="22"/>
          <w:szCs w:val="22"/>
        </w:rPr>
      </w:pPr>
    </w:p>
    <w:p w:rsidR="004154F4" w:rsidRDefault="004154F4" w:rsidP="004154F4">
      <w:pPr>
        <w:rPr>
          <w:sz w:val="22"/>
          <w:szCs w:val="22"/>
        </w:rPr>
      </w:pPr>
    </w:p>
    <w:tbl>
      <w:tblPr>
        <w:tblW w:w="9907" w:type="dxa"/>
        <w:tblInd w:w="-18" w:type="dxa"/>
        <w:tblCellMar>
          <w:left w:w="0" w:type="dxa"/>
          <w:right w:w="0" w:type="dxa"/>
        </w:tblCellMar>
        <w:tblLook w:val="04A0" w:firstRow="1" w:lastRow="0" w:firstColumn="1" w:lastColumn="0" w:noHBand="0" w:noVBand="1"/>
      </w:tblPr>
      <w:tblGrid>
        <w:gridCol w:w="3528"/>
        <w:gridCol w:w="1701"/>
        <w:gridCol w:w="1560"/>
        <w:gridCol w:w="1559"/>
        <w:gridCol w:w="1559"/>
      </w:tblGrid>
      <w:tr w:rsidR="004154F4" w:rsidRPr="00BD393F" w:rsidTr="000E29E0">
        <w:trPr>
          <w:trHeight w:val="342"/>
        </w:trPr>
        <w:tc>
          <w:tcPr>
            <w:tcW w:w="3528"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sz w:val="22"/>
                <w:szCs w:val="22"/>
              </w:rPr>
            </w:pPr>
            <w:r w:rsidRPr="00BD393F">
              <w:rPr>
                <w:sz w:val="22"/>
                <w:szCs w:val="22"/>
              </w:rPr>
              <w:t>2017-18</w:t>
            </w:r>
          </w:p>
        </w:tc>
        <w:tc>
          <w:tcPr>
            <w:tcW w:w="1701" w:type="dxa"/>
            <w:tcBorders>
              <w:top w:val="single" w:sz="8" w:space="0" w:color="auto"/>
              <w:left w:val="nil"/>
              <w:bottom w:val="nil"/>
              <w:right w:val="single" w:sz="8" w:space="0" w:color="auto"/>
            </w:tcBorders>
            <w:tcMar>
              <w:top w:w="0" w:type="dxa"/>
              <w:left w:w="108" w:type="dxa"/>
              <w:bottom w:w="0" w:type="dxa"/>
              <w:right w:w="108" w:type="dxa"/>
            </w:tcMar>
          </w:tcPr>
          <w:p w:rsidR="004154F4" w:rsidRPr="00BD393F" w:rsidRDefault="004154F4" w:rsidP="000E29E0">
            <w:pPr>
              <w:spacing w:after="120"/>
              <w:jc w:val="center"/>
              <w:rPr>
                <w:b/>
                <w:bCs/>
                <w:sz w:val="22"/>
                <w:szCs w:val="22"/>
              </w:rPr>
            </w:pPr>
            <w:r w:rsidRPr="00BD393F">
              <w:rPr>
                <w:b/>
                <w:bCs/>
                <w:sz w:val="22"/>
                <w:szCs w:val="22"/>
              </w:rPr>
              <w:t>SLAB</w:t>
            </w:r>
          </w:p>
          <w:p w:rsidR="004154F4" w:rsidRPr="00BD393F" w:rsidRDefault="004154F4" w:rsidP="000E29E0">
            <w:pPr>
              <w:jc w:val="center"/>
              <w:rPr>
                <w:b/>
                <w:bCs/>
                <w:sz w:val="22"/>
                <w:szCs w:val="22"/>
              </w:rPr>
            </w:pPr>
            <w:r w:rsidRPr="00BD393F">
              <w:rPr>
                <w:b/>
                <w:bCs/>
                <w:sz w:val="22"/>
                <w:szCs w:val="22"/>
              </w:rPr>
              <w:t>£000</w:t>
            </w:r>
          </w:p>
        </w:tc>
        <w:tc>
          <w:tcPr>
            <w:tcW w:w="1560" w:type="dxa"/>
            <w:tcBorders>
              <w:top w:val="single" w:sz="8" w:space="0" w:color="auto"/>
              <w:left w:val="nil"/>
              <w:bottom w:val="nil"/>
              <w:right w:val="single" w:sz="8" w:space="0" w:color="auto"/>
            </w:tcBorders>
            <w:tcMar>
              <w:top w:w="0" w:type="dxa"/>
              <w:left w:w="108" w:type="dxa"/>
              <w:bottom w:w="0" w:type="dxa"/>
              <w:right w:w="108" w:type="dxa"/>
            </w:tcMar>
          </w:tcPr>
          <w:p w:rsidR="004154F4" w:rsidRPr="00BD393F" w:rsidRDefault="004154F4" w:rsidP="000E29E0">
            <w:pPr>
              <w:spacing w:after="120"/>
              <w:jc w:val="center"/>
              <w:rPr>
                <w:b/>
                <w:bCs/>
                <w:sz w:val="22"/>
                <w:szCs w:val="22"/>
              </w:rPr>
            </w:pPr>
            <w:r w:rsidRPr="00BD393F">
              <w:rPr>
                <w:b/>
                <w:bCs/>
                <w:sz w:val="22"/>
                <w:szCs w:val="22"/>
              </w:rPr>
              <w:t>PDSO</w:t>
            </w:r>
          </w:p>
          <w:p w:rsidR="004154F4" w:rsidRPr="00BD393F" w:rsidRDefault="004154F4" w:rsidP="000E29E0">
            <w:pPr>
              <w:jc w:val="center"/>
              <w:rPr>
                <w:b/>
                <w:bCs/>
                <w:sz w:val="22"/>
                <w:szCs w:val="22"/>
              </w:rPr>
            </w:pPr>
            <w:r w:rsidRPr="00BD393F">
              <w:rPr>
                <w:b/>
                <w:bCs/>
                <w:sz w:val="22"/>
                <w:szCs w:val="22"/>
              </w:rPr>
              <w:t>£000</w:t>
            </w:r>
          </w:p>
        </w:tc>
        <w:tc>
          <w:tcPr>
            <w:tcW w:w="1559" w:type="dxa"/>
            <w:tcBorders>
              <w:top w:val="single" w:sz="8" w:space="0" w:color="auto"/>
              <w:left w:val="nil"/>
              <w:bottom w:val="nil"/>
              <w:right w:val="single" w:sz="8" w:space="0" w:color="auto"/>
            </w:tcBorders>
            <w:tcMar>
              <w:top w:w="0" w:type="dxa"/>
              <w:left w:w="108" w:type="dxa"/>
              <w:bottom w:w="0" w:type="dxa"/>
              <w:right w:w="108" w:type="dxa"/>
            </w:tcMar>
          </w:tcPr>
          <w:p w:rsidR="004154F4" w:rsidRPr="00BD393F" w:rsidRDefault="004154F4" w:rsidP="000E29E0">
            <w:pPr>
              <w:spacing w:after="120"/>
              <w:jc w:val="center"/>
              <w:rPr>
                <w:b/>
                <w:bCs/>
                <w:sz w:val="22"/>
                <w:szCs w:val="22"/>
              </w:rPr>
            </w:pPr>
            <w:r w:rsidRPr="00BD393F">
              <w:rPr>
                <w:b/>
                <w:bCs/>
                <w:sz w:val="22"/>
                <w:szCs w:val="22"/>
              </w:rPr>
              <w:t>CLAO</w:t>
            </w:r>
          </w:p>
          <w:p w:rsidR="004154F4" w:rsidRPr="00BD393F" w:rsidRDefault="004154F4" w:rsidP="000E29E0">
            <w:pPr>
              <w:jc w:val="center"/>
              <w:rPr>
                <w:b/>
                <w:bCs/>
                <w:sz w:val="22"/>
                <w:szCs w:val="22"/>
              </w:rPr>
            </w:pPr>
            <w:r w:rsidRPr="00BD393F">
              <w:rPr>
                <w:b/>
                <w:bCs/>
                <w:sz w:val="22"/>
                <w:szCs w:val="22"/>
              </w:rPr>
              <w:t>£000</w:t>
            </w:r>
          </w:p>
        </w:tc>
        <w:tc>
          <w:tcPr>
            <w:tcW w:w="1559" w:type="dxa"/>
            <w:tcBorders>
              <w:top w:val="single" w:sz="8" w:space="0" w:color="auto"/>
              <w:left w:val="nil"/>
              <w:bottom w:val="nil"/>
              <w:right w:val="single" w:sz="8" w:space="0" w:color="auto"/>
            </w:tcBorders>
            <w:tcMar>
              <w:top w:w="0" w:type="dxa"/>
              <w:left w:w="108" w:type="dxa"/>
              <w:bottom w:w="0" w:type="dxa"/>
              <w:right w:w="108" w:type="dxa"/>
            </w:tcMar>
          </w:tcPr>
          <w:p w:rsidR="004154F4" w:rsidRPr="00BD393F" w:rsidRDefault="004154F4" w:rsidP="000E29E0">
            <w:pPr>
              <w:spacing w:after="120"/>
              <w:jc w:val="center"/>
              <w:rPr>
                <w:b/>
                <w:bCs/>
                <w:sz w:val="22"/>
                <w:szCs w:val="22"/>
              </w:rPr>
            </w:pPr>
            <w:r w:rsidRPr="00BD393F">
              <w:rPr>
                <w:b/>
                <w:bCs/>
                <w:sz w:val="22"/>
                <w:szCs w:val="22"/>
              </w:rPr>
              <w:t>SCL</w:t>
            </w:r>
          </w:p>
          <w:p w:rsidR="004154F4" w:rsidRPr="00BD393F" w:rsidRDefault="004154F4" w:rsidP="000E29E0">
            <w:pPr>
              <w:jc w:val="center"/>
              <w:rPr>
                <w:b/>
                <w:bCs/>
                <w:sz w:val="22"/>
                <w:szCs w:val="22"/>
              </w:rPr>
            </w:pPr>
            <w:r w:rsidRPr="00BD393F">
              <w:rPr>
                <w:b/>
                <w:bCs/>
                <w:sz w:val="22"/>
                <w:szCs w:val="22"/>
              </w:rPr>
              <w:t>£000</w:t>
            </w:r>
          </w:p>
        </w:tc>
      </w:tr>
      <w:tr w:rsidR="004154F4" w:rsidRPr="00BD393F" w:rsidTr="000E29E0">
        <w:trPr>
          <w:trHeight w:val="117"/>
        </w:trPr>
        <w:tc>
          <w:tcPr>
            <w:tcW w:w="3528" w:type="dxa"/>
            <w:vMerge/>
            <w:tcBorders>
              <w:top w:val="single" w:sz="8" w:space="0" w:color="auto"/>
              <w:left w:val="single" w:sz="8" w:space="0" w:color="auto"/>
              <w:bottom w:val="single" w:sz="8" w:space="0" w:color="000000"/>
              <w:right w:val="single" w:sz="8" w:space="0" w:color="auto"/>
            </w:tcBorders>
            <w:vAlign w:val="center"/>
            <w:hideMark/>
          </w:tcPr>
          <w:p w:rsidR="004154F4" w:rsidRPr="00BD393F" w:rsidRDefault="004154F4" w:rsidP="000E29E0">
            <w:pPr>
              <w:jc w:val="both"/>
              <w:rPr>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154F4" w:rsidRPr="00BD393F" w:rsidRDefault="004154F4" w:rsidP="000E29E0">
            <w:pPr>
              <w:jc w:val="center"/>
              <w:rPr>
                <w:b/>
                <w:bCs/>
                <w:sz w:val="22"/>
                <w:szCs w:val="22"/>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4154F4" w:rsidRPr="00BD393F" w:rsidRDefault="004154F4" w:rsidP="000E29E0">
            <w:pPr>
              <w:jc w:val="center"/>
              <w:rPr>
                <w:b/>
                <w:bCs/>
                <w:sz w:val="22"/>
                <w:szCs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154F4" w:rsidRPr="00BD393F" w:rsidRDefault="004154F4" w:rsidP="000E29E0">
            <w:pPr>
              <w:jc w:val="center"/>
              <w:rPr>
                <w:b/>
                <w:bCs/>
                <w:sz w:val="22"/>
                <w:szCs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154F4" w:rsidRPr="00BD393F" w:rsidRDefault="004154F4" w:rsidP="000E29E0">
            <w:pPr>
              <w:jc w:val="center"/>
              <w:rPr>
                <w:b/>
                <w:bCs/>
                <w:sz w:val="22"/>
                <w:szCs w:val="22"/>
              </w:rPr>
            </w:pPr>
          </w:p>
        </w:tc>
      </w:tr>
      <w:tr w:rsidR="004154F4" w:rsidRPr="00BD393F" w:rsidTr="000E29E0">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sz w:val="22"/>
                <w:szCs w:val="22"/>
              </w:rPr>
            </w:pPr>
            <w:r w:rsidRPr="00BD393F">
              <w:rPr>
                <w:sz w:val="22"/>
                <w:szCs w:val="22"/>
              </w:rPr>
              <w:t>Rent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79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83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10</w:t>
            </w:r>
          </w:p>
        </w:tc>
      </w:tr>
      <w:tr w:rsidR="004154F4" w:rsidRPr="00BD393F" w:rsidTr="000E29E0">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sz w:val="22"/>
                <w:szCs w:val="22"/>
              </w:rPr>
            </w:pPr>
            <w:r w:rsidRPr="00BD393F">
              <w:rPr>
                <w:sz w:val="22"/>
                <w:szCs w:val="22"/>
              </w:rPr>
              <w:t>Rent recovery from sub-let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(425)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w:t>
            </w:r>
          </w:p>
        </w:tc>
      </w:tr>
      <w:tr w:rsidR="004154F4" w:rsidRPr="00BD393F" w:rsidTr="000E29E0">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sz w:val="22"/>
                <w:szCs w:val="22"/>
              </w:rPr>
            </w:pPr>
            <w:r w:rsidRPr="00BD393F">
              <w:rPr>
                <w:sz w:val="22"/>
                <w:szCs w:val="22"/>
              </w:rPr>
              <w:t>Rates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384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24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w:t>
            </w:r>
          </w:p>
        </w:tc>
      </w:tr>
      <w:tr w:rsidR="004154F4" w:rsidRPr="00BD393F" w:rsidTr="000E29E0">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sz w:val="22"/>
                <w:szCs w:val="22"/>
              </w:rPr>
            </w:pPr>
            <w:r w:rsidRPr="00BD393F">
              <w:rPr>
                <w:sz w:val="22"/>
                <w:szCs w:val="22"/>
              </w:rPr>
              <w:t>Heat &amp; light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70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12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w:t>
            </w:r>
          </w:p>
        </w:tc>
      </w:tr>
      <w:tr w:rsidR="004154F4" w:rsidRPr="00BD393F" w:rsidTr="000E29E0">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sz w:val="22"/>
                <w:szCs w:val="22"/>
              </w:rPr>
            </w:pPr>
            <w:r w:rsidRPr="00BD393F">
              <w:rPr>
                <w:sz w:val="22"/>
                <w:szCs w:val="22"/>
              </w:rPr>
              <w:t>Maintenance and repairs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334*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22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w:t>
            </w:r>
          </w:p>
        </w:tc>
      </w:tr>
      <w:tr w:rsidR="004154F4" w:rsidRPr="00BD393F" w:rsidTr="000E29E0">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sz w:val="22"/>
                <w:szCs w:val="22"/>
              </w:rPr>
            </w:pPr>
            <w:r w:rsidRPr="00BD393F">
              <w:rPr>
                <w:sz w:val="22"/>
                <w:szCs w:val="22"/>
              </w:rPr>
              <w:t>Cleaning and office Consumables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94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28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12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w:t>
            </w:r>
          </w:p>
        </w:tc>
      </w:tr>
      <w:tr w:rsidR="004154F4" w:rsidRPr="00BD393F" w:rsidTr="000E29E0">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sz w:val="22"/>
                <w:szCs w:val="22"/>
              </w:rPr>
            </w:pPr>
            <w:r w:rsidRPr="00BD393F">
              <w:rPr>
                <w:sz w:val="22"/>
                <w:szCs w:val="22"/>
              </w:rPr>
              <w:t>Other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7</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w:t>
            </w:r>
          </w:p>
        </w:tc>
      </w:tr>
      <w:tr w:rsidR="004154F4" w:rsidRPr="00BD393F" w:rsidTr="000E29E0">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b/>
                <w:bCs/>
                <w:sz w:val="22"/>
                <w:szCs w:val="22"/>
              </w:rPr>
            </w:pPr>
            <w:r w:rsidRPr="00BD393F">
              <w:rPr>
                <w:b/>
                <w:bCs/>
                <w:sz w:val="22"/>
                <w:szCs w:val="22"/>
              </w:rPr>
              <w:t>TOTAL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b/>
                <w:bCs/>
                <w:sz w:val="22"/>
                <w:szCs w:val="22"/>
              </w:rPr>
            </w:pPr>
            <w:r w:rsidRPr="00BD393F">
              <w:rPr>
                <w:b/>
                <w:bCs/>
                <w:sz w:val="22"/>
                <w:szCs w:val="22"/>
              </w:rPr>
              <w:t>464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b/>
                <w:bCs/>
                <w:sz w:val="22"/>
                <w:szCs w:val="22"/>
                <w:lang w:eastAsia="en-GB"/>
              </w:rPr>
            </w:pPr>
            <w:r w:rsidRPr="00BD393F">
              <w:rPr>
                <w:b/>
                <w:bCs/>
                <w:sz w:val="22"/>
                <w:szCs w:val="22"/>
                <w:lang w:eastAsia="en-GB"/>
              </w:rPr>
              <w:t>168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b/>
                <w:bCs/>
                <w:sz w:val="22"/>
                <w:szCs w:val="22"/>
                <w:lang w:eastAsia="en-GB"/>
              </w:rPr>
            </w:pPr>
            <w:r w:rsidRPr="00BD393F">
              <w:rPr>
                <w:b/>
                <w:bCs/>
                <w:sz w:val="22"/>
                <w:szCs w:val="22"/>
                <w:lang w:eastAsia="en-GB"/>
              </w:rPr>
              <w:t>133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b/>
                <w:bCs/>
                <w:sz w:val="22"/>
                <w:szCs w:val="22"/>
                <w:lang w:eastAsia="en-GB"/>
              </w:rPr>
            </w:pPr>
            <w:r w:rsidRPr="00BD393F">
              <w:rPr>
                <w:b/>
                <w:bCs/>
                <w:sz w:val="22"/>
                <w:szCs w:val="22"/>
                <w:lang w:eastAsia="en-GB"/>
              </w:rPr>
              <w:t>10</w:t>
            </w:r>
          </w:p>
        </w:tc>
      </w:tr>
    </w:tbl>
    <w:p w:rsidR="004154F4" w:rsidRDefault="004154F4" w:rsidP="004154F4">
      <w:pPr>
        <w:rPr>
          <w:sz w:val="22"/>
          <w:szCs w:val="22"/>
        </w:rPr>
      </w:pPr>
    </w:p>
    <w:tbl>
      <w:tblPr>
        <w:tblW w:w="9907" w:type="dxa"/>
        <w:tblInd w:w="-18" w:type="dxa"/>
        <w:tblCellMar>
          <w:left w:w="0" w:type="dxa"/>
          <w:right w:w="0" w:type="dxa"/>
        </w:tblCellMar>
        <w:tblLook w:val="04A0" w:firstRow="1" w:lastRow="0" w:firstColumn="1" w:lastColumn="0" w:noHBand="0" w:noVBand="1"/>
      </w:tblPr>
      <w:tblGrid>
        <w:gridCol w:w="3528"/>
        <w:gridCol w:w="1701"/>
        <w:gridCol w:w="1560"/>
        <w:gridCol w:w="1559"/>
        <w:gridCol w:w="1559"/>
      </w:tblGrid>
      <w:tr w:rsidR="004154F4" w:rsidRPr="00BD393F" w:rsidTr="000E29E0">
        <w:trPr>
          <w:trHeight w:val="342"/>
        </w:trPr>
        <w:tc>
          <w:tcPr>
            <w:tcW w:w="3528"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sz w:val="22"/>
                <w:szCs w:val="22"/>
              </w:rPr>
            </w:pPr>
            <w:r w:rsidRPr="00BD393F">
              <w:rPr>
                <w:sz w:val="22"/>
                <w:szCs w:val="22"/>
              </w:rPr>
              <w:t>2018-19</w:t>
            </w:r>
          </w:p>
        </w:tc>
        <w:tc>
          <w:tcPr>
            <w:tcW w:w="1701" w:type="dxa"/>
            <w:tcBorders>
              <w:top w:val="single" w:sz="8" w:space="0" w:color="auto"/>
              <w:left w:val="nil"/>
              <w:bottom w:val="nil"/>
              <w:right w:val="single" w:sz="8" w:space="0" w:color="auto"/>
            </w:tcBorders>
            <w:tcMar>
              <w:top w:w="0" w:type="dxa"/>
              <w:left w:w="108" w:type="dxa"/>
              <w:bottom w:w="0" w:type="dxa"/>
              <w:right w:w="108" w:type="dxa"/>
            </w:tcMar>
          </w:tcPr>
          <w:p w:rsidR="004154F4" w:rsidRPr="00BD393F" w:rsidRDefault="004154F4" w:rsidP="000E29E0">
            <w:pPr>
              <w:spacing w:after="120"/>
              <w:jc w:val="center"/>
              <w:rPr>
                <w:b/>
                <w:bCs/>
                <w:sz w:val="22"/>
                <w:szCs w:val="22"/>
              </w:rPr>
            </w:pPr>
            <w:r w:rsidRPr="00BD393F">
              <w:rPr>
                <w:b/>
                <w:bCs/>
                <w:sz w:val="22"/>
                <w:szCs w:val="22"/>
              </w:rPr>
              <w:t>SLAB</w:t>
            </w:r>
          </w:p>
          <w:p w:rsidR="004154F4" w:rsidRPr="00BD393F" w:rsidRDefault="004154F4" w:rsidP="000E29E0">
            <w:pPr>
              <w:jc w:val="center"/>
              <w:rPr>
                <w:b/>
                <w:bCs/>
                <w:sz w:val="22"/>
                <w:szCs w:val="22"/>
              </w:rPr>
            </w:pPr>
            <w:r w:rsidRPr="00BD393F">
              <w:rPr>
                <w:b/>
                <w:bCs/>
                <w:sz w:val="22"/>
                <w:szCs w:val="22"/>
              </w:rPr>
              <w:t>£000</w:t>
            </w:r>
          </w:p>
        </w:tc>
        <w:tc>
          <w:tcPr>
            <w:tcW w:w="1560" w:type="dxa"/>
            <w:tcBorders>
              <w:top w:val="single" w:sz="8" w:space="0" w:color="auto"/>
              <w:left w:val="nil"/>
              <w:bottom w:val="nil"/>
              <w:right w:val="single" w:sz="8" w:space="0" w:color="auto"/>
            </w:tcBorders>
            <w:tcMar>
              <w:top w:w="0" w:type="dxa"/>
              <w:left w:w="108" w:type="dxa"/>
              <w:bottom w:w="0" w:type="dxa"/>
              <w:right w:w="108" w:type="dxa"/>
            </w:tcMar>
          </w:tcPr>
          <w:p w:rsidR="004154F4" w:rsidRPr="00BD393F" w:rsidRDefault="004154F4" w:rsidP="000E29E0">
            <w:pPr>
              <w:spacing w:after="120"/>
              <w:jc w:val="center"/>
              <w:rPr>
                <w:b/>
                <w:bCs/>
                <w:sz w:val="22"/>
                <w:szCs w:val="22"/>
              </w:rPr>
            </w:pPr>
            <w:r w:rsidRPr="00BD393F">
              <w:rPr>
                <w:b/>
                <w:bCs/>
                <w:sz w:val="22"/>
                <w:szCs w:val="22"/>
              </w:rPr>
              <w:t>PDSO</w:t>
            </w:r>
          </w:p>
          <w:p w:rsidR="004154F4" w:rsidRPr="00BD393F" w:rsidRDefault="004154F4" w:rsidP="000E29E0">
            <w:pPr>
              <w:jc w:val="center"/>
              <w:rPr>
                <w:b/>
                <w:bCs/>
                <w:sz w:val="22"/>
                <w:szCs w:val="22"/>
              </w:rPr>
            </w:pPr>
            <w:r w:rsidRPr="00BD393F">
              <w:rPr>
                <w:b/>
                <w:bCs/>
                <w:sz w:val="22"/>
                <w:szCs w:val="22"/>
              </w:rPr>
              <w:t>£000</w:t>
            </w:r>
          </w:p>
        </w:tc>
        <w:tc>
          <w:tcPr>
            <w:tcW w:w="1559" w:type="dxa"/>
            <w:tcBorders>
              <w:top w:val="single" w:sz="8" w:space="0" w:color="auto"/>
              <w:left w:val="nil"/>
              <w:bottom w:val="nil"/>
              <w:right w:val="single" w:sz="8" w:space="0" w:color="auto"/>
            </w:tcBorders>
            <w:tcMar>
              <w:top w:w="0" w:type="dxa"/>
              <w:left w:w="108" w:type="dxa"/>
              <w:bottom w:w="0" w:type="dxa"/>
              <w:right w:w="108" w:type="dxa"/>
            </w:tcMar>
          </w:tcPr>
          <w:p w:rsidR="004154F4" w:rsidRPr="00BD393F" w:rsidRDefault="004154F4" w:rsidP="000E29E0">
            <w:pPr>
              <w:spacing w:after="120"/>
              <w:jc w:val="center"/>
              <w:rPr>
                <w:b/>
                <w:bCs/>
                <w:sz w:val="22"/>
                <w:szCs w:val="22"/>
              </w:rPr>
            </w:pPr>
            <w:r w:rsidRPr="00BD393F">
              <w:rPr>
                <w:b/>
                <w:bCs/>
                <w:sz w:val="22"/>
                <w:szCs w:val="22"/>
              </w:rPr>
              <w:t>CLAO</w:t>
            </w:r>
          </w:p>
          <w:p w:rsidR="004154F4" w:rsidRPr="00BD393F" w:rsidRDefault="004154F4" w:rsidP="000E29E0">
            <w:pPr>
              <w:jc w:val="center"/>
              <w:rPr>
                <w:b/>
                <w:bCs/>
                <w:sz w:val="22"/>
                <w:szCs w:val="22"/>
              </w:rPr>
            </w:pPr>
            <w:r w:rsidRPr="00BD393F">
              <w:rPr>
                <w:b/>
                <w:bCs/>
                <w:sz w:val="22"/>
                <w:szCs w:val="22"/>
              </w:rPr>
              <w:t>£000</w:t>
            </w:r>
          </w:p>
        </w:tc>
        <w:tc>
          <w:tcPr>
            <w:tcW w:w="1559" w:type="dxa"/>
            <w:tcBorders>
              <w:top w:val="single" w:sz="8" w:space="0" w:color="auto"/>
              <w:left w:val="nil"/>
              <w:bottom w:val="nil"/>
              <w:right w:val="single" w:sz="8" w:space="0" w:color="auto"/>
            </w:tcBorders>
            <w:tcMar>
              <w:top w:w="0" w:type="dxa"/>
              <w:left w:w="108" w:type="dxa"/>
              <w:bottom w:w="0" w:type="dxa"/>
              <w:right w:w="108" w:type="dxa"/>
            </w:tcMar>
          </w:tcPr>
          <w:p w:rsidR="004154F4" w:rsidRPr="00BD393F" w:rsidRDefault="004154F4" w:rsidP="000E29E0">
            <w:pPr>
              <w:spacing w:after="120"/>
              <w:jc w:val="center"/>
              <w:rPr>
                <w:b/>
                <w:bCs/>
                <w:sz w:val="22"/>
                <w:szCs w:val="22"/>
              </w:rPr>
            </w:pPr>
            <w:r w:rsidRPr="00BD393F">
              <w:rPr>
                <w:b/>
                <w:bCs/>
                <w:sz w:val="22"/>
                <w:szCs w:val="22"/>
              </w:rPr>
              <w:t>SCL</w:t>
            </w:r>
          </w:p>
          <w:p w:rsidR="004154F4" w:rsidRPr="00BD393F" w:rsidRDefault="004154F4" w:rsidP="000E29E0">
            <w:pPr>
              <w:jc w:val="center"/>
              <w:rPr>
                <w:b/>
                <w:bCs/>
                <w:sz w:val="22"/>
                <w:szCs w:val="22"/>
              </w:rPr>
            </w:pPr>
            <w:r w:rsidRPr="00BD393F">
              <w:rPr>
                <w:b/>
                <w:bCs/>
                <w:sz w:val="22"/>
                <w:szCs w:val="22"/>
              </w:rPr>
              <w:t>£000</w:t>
            </w:r>
          </w:p>
        </w:tc>
      </w:tr>
      <w:tr w:rsidR="004154F4" w:rsidRPr="00BD393F" w:rsidTr="000E29E0">
        <w:trPr>
          <w:trHeight w:val="117"/>
        </w:trPr>
        <w:tc>
          <w:tcPr>
            <w:tcW w:w="3528" w:type="dxa"/>
            <w:vMerge/>
            <w:tcBorders>
              <w:top w:val="single" w:sz="8" w:space="0" w:color="auto"/>
              <w:left w:val="single" w:sz="8" w:space="0" w:color="auto"/>
              <w:bottom w:val="single" w:sz="8" w:space="0" w:color="000000"/>
              <w:right w:val="single" w:sz="8" w:space="0" w:color="auto"/>
            </w:tcBorders>
            <w:vAlign w:val="center"/>
            <w:hideMark/>
          </w:tcPr>
          <w:p w:rsidR="004154F4" w:rsidRPr="00BD393F" w:rsidRDefault="004154F4" w:rsidP="000E29E0">
            <w:pPr>
              <w:jc w:val="both"/>
              <w:rPr>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154F4" w:rsidRPr="00BD393F" w:rsidRDefault="004154F4" w:rsidP="000E29E0">
            <w:pPr>
              <w:jc w:val="center"/>
              <w:rPr>
                <w:b/>
                <w:bCs/>
                <w:sz w:val="22"/>
                <w:szCs w:val="22"/>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4154F4" w:rsidRPr="00BD393F" w:rsidRDefault="004154F4" w:rsidP="000E29E0">
            <w:pPr>
              <w:jc w:val="center"/>
              <w:rPr>
                <w:b/>
                <w:bCs/>
                <w:sz w:val="22"/>
                <w:szCs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154F4" w:rsidRPr="00BD393F" w:rsidRDefault="004154F4" w:rsidP="000E29E0">
            <w:pPr>
              <w:jc w:val="center"/>
              <w:rPr>
                <w:b/>
                <w:bCs/>
                <w:sz w:val="22"/>
                <w:szCs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154F4" w:rsidRPr="00BD393F" w:rsidRDefault="004154F4" w:rsidP="000E29E0">
            <w:pPr>
              <w:jc w:val="center"/>
              <w:rPr>
                <w:b/>
                <w:bCs/>
                <w:sz w:val="22"/>
                <w:szCs w:val="22"/>
              </w:rPr>
            </w:pPr>
          </w:p>
        </w:tc>
      </w:tr>
      <w:tr w:rsidR="004154F4" w:rsidRPr="00BD393F" w:rsidTr="000E29E0">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sz w:val="22"/>
                <w:szCs w:val="22"/>
              </w:rPr>
            </w:pPr>
            <w:r w:rsidRPr="00BD393F">
              <w:rPr>
                <w:sz w:val="22"/>
                <w:szCs w:val="22"/>
              </w:rPr>
              <w:t>Rent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68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89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13</w:t>
            </w:r>
          </w:p>
        </w:tc>
      </w:tr>
      <w:tr w:rsidR="004154F4" w:rsidRPr="00BD393F" w:rsidTr="000E29E0">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sz w:val="22"/>
                <w:szCs w:val="22"/>
              </w:rPr>
            </w:pPr>
            <w:r w:rsidRPr="00BD393F">
              <w:rPr>
                <w:sz w:val="22"/>
                <w:szCs w:val="22"/>
              </w:rPr>
              <w:t>Rent recovery from sub-let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(499)</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w:t>
            </w:r>
          </w:p>
        </w:tc>
      </w:tr>
      <w:tr w:rsidR="004154F4" w:rsidRPr="00BD393F" w:rsidTr="000E29E0">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sz w:val="22"/>
                <w:szCs w:val="22"/>
              </w:rPr>
            </w:pPr>
            <w:r w:rsidRPr="00BD393F">
              <w:rPr>
                <w:sz w:val="22"/>
                <w:szCs w:val="22"/>
              </w:rPr>
              <w:t>Rates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332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23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w:t>
            </w:r>
          </w:p>
        </w:tc>
      </w:tr>
      <w:tr w:rsidR="004154F4" w:rsidRPr="00BD393F" w:rsidTr="000E29E0">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sz w:val="22"/>
                <w:szCs w:val="22"/>
              </w:rPr>
            </w:pPr>
            <w:r w:rsidRPr="00BD393F">
              <w:rPr>
                <w:sz w:val="22"/>
                <w:szCs w:val="22"/>
              </w:rPr>
              <w:t>Heat &amp; light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74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w:t>
            </w:r>
          </w:p>
        </w:tc>
      </w:tr>
      <w:tr w:rsidR="004154F4" w:rsidRPr="00BD393F" w:rsidTr="000E29E0">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sz w:val="22"/>
                <w:szCs w:val="22"/>
              </w:rPr>
            </w:pPr>
            <w:r w:rsidRPr="00BD393F">
              <w:rPr>
                <w:sz w:val="22"/>
                <w:szCs w:val="22"/>
              </w:rPr>
              <w:t>Maintenance and repairs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362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26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w:t>
            </w:r>
          </w:p>
        </w:tc>
      </w:tr>
      <w:tr w:rsidR="004154F4" w:rsidRPr="00BD393F" w:rsidTr="000E29E0">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sz w:val="22"/>
                <w:szCs w:val="22"/>
              </w:rPr>
            </w:pPr>
            <w:r w:rsidRPr="00BD393F">
              <w:rPr>
                <w:sz w:val="22"/>
                <w:szCs w:val="22"/>
              </w:rPr>
              <w:t>Cleaning and office Consumables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108</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28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16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w:t>
            </w:r>
          </w:p>
        </w:tc>
      </w:tr>
      <w:tr w:rsidR="004154F4" w:rsidRPr="00BD393F" w:rsidTr="000E29E0">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sz w:val="22"/>
                <w:szCs w:val="22"/>
              </w:rPr>
            </w:pPr>
            <w:r w:rsidRPr="00BD393F">
              <w:rPr>
                <w:sz w:val="22"/>
                <w:szCs w:val="22"/>
              </w:rPr>
              <w:t>Other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rPr>
            </w:pPr>
            <w:r w:rsidRPr="00BD393F">
              <w:rPr>
                <w:sz w:val="22"/>
                <w:szCs w:val="22"/>
              </w:rPr>
              <w:t>9</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sz w:val="22"/>
                <w:szCs w:val="22"/>
                <w:lang w:eastAsia="en-GB"/>
              </w:rPr>
            </w:pPr>
            <w:r w:rsidRPr="00BD393F">
              <w:rPr>
                <w:sz w:val="22"/>
                <w:szCs w:val="22"/>
                <w:lang w:eastAsia="en-GB"/>
              </w:rPr>
              <w:t>-</w:t>
            </w:r>
          </w:p>
        </w:tc>
      </w:tr>
      <w:tr w:rsidR="004154F4" w:rsidRPr="00BD393F" w:rsidTr="000E29E0">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4F4" w:rsidRPr="00BD393F" w:rsidRDefault="004154F4" w:rsidP="000E29E0">
            <w:pPr>
              <w:jc w:val="both"/>
              <w:rPr>
                <w:b/>
                <w:bCs/>
                <w:sz w:val="22"/>
                <w:szCs w:val="22"/>
              </w:rPr>
            </w:pPr>
            <w:r w:rsidRPr="00BD393F">
              <w:rPr>
                <w:b/>
                <w:bCs/>
                <w:sz w:val="22"/>
                <w:szCs w:val="22"/>
              </w:rPr>
              <w:t>TOTAL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b/>
                <w:bCs/>
                <w:sz w:val="22"/>
                <w:szCs w:val="22"/>
              </w:rPr>
            </w:pPr>
            <w:r w:rsidRPr="00BD393F">
              <w:rPr>
                <w:b/>
                <w:bCs/>
                <w:sz w:val="22"/>
                <w:szCs w:val="22"/>
              </w:rPr>
              <w:t>386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b/>
                <w:bCs/>
                <w:sz w:val="22"/>
                <w:szCs w:val="22"/>
                <w:lang w:eastAsia="en-GB"/>
              </w:rPr>
            </w:pPr>
            <w:r w:rsidRPr="00BD393F">
              <w:rPr>
                <w:b/>
                <w:bCs/>
                <w:sz w:val="22"/>
                <w:szCs w:val="22"/>
                <w:lang w:eastAsia="en-GB"/>
              </w:rPr>
              <w:t>162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b/>
                <w:bCs/>
                <w:sz w:val="22"/>
                <w:szCs w:val="22"/>
                <w:lang w:eastAsia="en-GB"/>
              </w:rPr>
            </w:pPr>
            <w:r w:rsidRPr="00BD393F">
              <w:rPr>
                <w:b/>
                <w:bCs/>
                <w:sz w:val="22"/>
                <w:szCs w:val="22"/>
                <w:lang w:eastAsia="en-GB"/>
              </w:rPr>
              <w:t>143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54F4" w:rsidRPr="00BD393F" w:rsidRDefault="004154F4" w:rsidP="000E29E0">
            <w:pPr>
              <w:jc w:val="center"/>
              <w:rPr>
                <w:b/>
                <w:bCs/>
                <w:sz w:val="22"/>
                <w:szCs w:val="22"/>
                <w:lang w:eastAsia="en-GB"/>
              </w:rPr>
            </w:pPr>
            <w:r w:rsidRPr="00BD393F">
              <w:rPr>
                <w:b/>
                <w:bCs/>
                <w:sz w:val="22"/>
                <w:szCs w:val="22"/>
                <w:lang w:eastAsia="en-GB"/>
              </w:rPr>
              <w:t>13</w:t>
            </w:r>
          </w:p>
        </w:tc>
      </w:tr>
    </w:tbl>
    <w:p w:rsidR="004154F4" w:rsidRDefault="004154F4" w:rsidP="004154F4">
      <w:pPr>
        <w:rPr>
          <w:sz w:val="22"/>
          <w:szCs w:val="22"/>
        </w:rPr>
      </w:pPr>
    </w:p>
    <w:tbl>
      <w:tblPr>
        <w:tblW w:w="9907" w:type="dxa"/>
        <w:tblInd w:w="-18" w:type="dxa"/>
        <w:tblCellMar>
          <w:left w:w="0" w:type="dxa"/>
          <w:right w:w="0" w:type="dxa"/>
        </w:tblCellMar>
        <w:tblLook w:val="04A0" w:firstRow="1" w:lastRow="0" w:firstColumn="1" w:lastColumn="0" w:noHBand="0" w:noVBand="1"/>
      </w:tblPr>
      <w:tblGrid>
        <w:gridCol w:w="3528"/>
        <w:gridCol w:w="1701"/>
        <w:gridCol w:w="1560"/>
        <w:gridCol w:w="1559"/>
        <w:gridCol w:w="1559"/>
      </w:tblGrid>
      <w:tr w:rsidR="00672A76" w:rsidTr="00672A76">
        <w:trPr>
          <w:trHeight w:val="342"/>
        </w:trPr>
        <w:tc>
          <w:tcPr>
            <w:tcW w:w="3528"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72A76" w:rsidRPr="00672A76" w:rsidRDefault="00672A76">
            <w:pPr>
              <w:jc w:val="both"/>
              <w:rPr>
                <w:sz w:val="22"/>
                <w:szCs w:val="22"/>
              </w:rPr>
            </w:pPr>
            <w:r w:rsidRPr="00672A76">
              <w:rPr>
                <w:sz w:val="22"/>
                <w:szCs w:val="22"/>
              </w:rPr>
              <w:t>2019-20</w:t>
            </w:r>
          </w:p>
        </w:tc>
        <w:tc>
          <w:tcPr>
            <w:tcW w:w="1701" w:type="dxa"/>
            <w:tcBorders>
              <w:top w:val="single" w:sz="8" w:space="0" w:color="auto"/>
              <w:left w:val="nil"/>
              <w:bottom w:val="nil"/>
              <w:right w:val="single" w:sz="8" w:space="0" w:color="auto"/>
            </w:tcBorders>
            <w:tcMar>
              <w:top w:w="0" w:type="dxa"/>
              <w:left w:w="108" w:type="dxa"/>
              <w:bottom w:w="0" w:type="dxa"/>
              <w:right w:w="108" w:type="dxa"/>
            </w:tcMar>
            <w:hideMark/>
          </w:tcPr>
          <w:p w:rsidR="00672A76" w:rsidRPr="00672A76" w:rsidRDefault="00672A76">
            <w:pPr>
              <w:spacing w:after="120"/>
              <w:jc w:val="center"/>
              <w:rPr>
                <w:b/>
                <w:bCs/>
                <w:sz w:val="22"/>
                <w:szCs w:val="22"/>
              </w:rPr>
            </w:pPr>
            <w:r w:rsidRPr="00672A76">
              <w:rPr>
                <w:b/>
                <w:bCs/>
                <w:sz w:val="22"/>
                <w:szCs w:val="22"/>
              </w:rPr>
              <w:t>SLAB</w:t>
            </w:r>
          </w:p>
          <w:p w:rsidR="00672A76" w:rsidRPr="00672A76" w:rsidRDefault="00672A76">
            <w:pPr>
              <w:jc w:val="center"/>
              <w:rPr>
                <w:b/>
                <w:bCs/>
                <w:sz w:val="22"/>
                <w:szCs w:val="22"/>
              </w:rPr>
            </w:pPr>
            <w:r w:rsidRPr="00672A76">
              <w:rPr>
                <w:b/>
                <w:bCs/>
                <w:sz w:val="22"/>
                <w:szCs w:val="22"/>
              </w:rPr>
              <w:t>£000</w:t>
            </w:r>
          </w:p>
        </w:tc>
        <w:tc>
          <w:tcPr>
            <w:tcW w:w="1560" w:type="dxa"/>
            <w:tcBorders>
              <w:top w:val="single" w:sz="8" w:space="0" w:color="auto"/>
              <w:left w:val="nil"/>
              <w:bottom w:val="nil"/>
              <w:right w:val="single" w:sz="8" w:space="0" w:color="auto"/>
            </w:tcBorders>
            <w:tcMar>
              <w:top w:w="0" w:type="dxa"/>
              <w:left w:w="108" w:type="dxa"/>
              <w:bottom w:w="0" w:type="dxa"/>
              <w:right w:w="108" w:type="dxa"/>
            </w:tcMar>
            <w:hideMark/>
          </w:tcPr>
          <w:p w:rsidR="00672A76" w:rsidRPr="00672A76" w:rsidRDefault="00672A76">
            <w:pPr>
              <w:spacing w:after="120"/>
              <w:jc w:val="center"/>
              <w:rPr>
                <w:b/>
                <w:bCs/>
                <w:sz w:val="22"/>
                <w:szCs w:val="22"/>
              </w:rPr>
            </w:pPr>
            <w:r w:rsidRPr="00672A76">
              <w:rPr>
                <w:b/>
                <w:bCs/>
                <w:sz w:val="22"/>
                <w:szCs w:val="22"/>
              </w:rPr>
              <w:t>PDSO</w:t>
            </w:r>
          </w:p>
          <w:p w:rsidR="00672A76" w:rsidRPr="00672A76" w:rsidRDefault="00672A76">
            <w:pPr>
              <w:jc w:val="center"/>
              <w:rPr>
                <w:b/>
                <w:bCs/>
                <w:sz w:val="22"/>
                <w:szCs w:val="22"/>
              </w:rPr>
            </w:pPr>
            <w:r w:rsidRPr="00672A76">
              <w:rPr>
                <w:b/>
                <w:bCs/>
                <w:sz w:val="22"/>
                <w:szCs w:val="22"/>
              </w:rPr>
              <w:t>£000</w:t>
            </w:r>
          </w:p>
        </w:tc>
        <w:tc>
          <w:tcPr>
            <w:tcW w:w="1559" w:type="dxa"/>
            <w:tcBorders>
              <w:top w:val="single" w:sz="8" w:space="0" w:color="auto"/>
              <w:left w:val="nil"/>
              <w:bottom w:val="nil"/>
              <w:right w:val="single" w:sz="8" w:space="0" w:color="auto"/>
            </w:tcBorders>
            <w:tcMar>
              <w:top w:w="0" w:type="dxa"/>
              <w:left w:w="108" w:type="dxa"/>
              <w:bottom w:w="0" w:type="dxa"/>
              <w:right w:w="108" w:type="dxa"/>
            </w:tcMar>
            <w:hideMark/>
          </w:tcPr>
          <w:p w:rsidR="00672A76" w:rsidRPr="00672A76" w:rsidRDefault="00672A76">
            <w:pPr>
              <w:spacing w:after="120"/>
              <w:jc w:val="center"/>
              <w:rPr>
                <w:b/>
                <w:bCs/>
                <w:sz w:val="22"/>
                <w:szCs w:val="22"/>
              </w:rPr>
            </w:pPr>
            <w:r w:rsidRPr="00672A76">
              <w:rPr>
                <w:b/>
                <w:bCs/>
                <w:sz w:val="22"/>
                <w:szCs w:val="22"/>
              </w:rPr>
              <w:t>CLAO</w:t>
            </w:r>
          </w:p>
          <w:p w:rsidR="00672A76" w:rsidRPr="00672A76" w:rsidRDefault="00672A76">
            <w:pPr>
              <w:jc w:val="center"/>
              <w:rPr>
                <w:b/>
                <w:bCs/>
                <w:sz w:val="22"/>
                <w:szCs w:val="22"/>
              </w:rPr>
            </w:pPr>
            <w:r w:rsidRPr="00672A76">
              <w:rPr>
                <w:b/>
                <w:bCs/>
                <w:sz w:val="22"/>
                <w:szCs w:val="22"/>
              </w:rPr>
              <w:t>£000</w:t>
            </w:r>
          </w:p>
        </w:tc>
        <w:tc>
          <w:tcPr>
            <w:tcW w:w="1559" w:type="dxa"/>
            <w:tcBorders>
              <w:top w:val="single" w:sz="8" w:space="0" w:color="auto"/>
              <w:left w:val="nil"/>
              <w:bottom w:val="nil"/>
              <w:right w:val="single" w:sz="8" w:space="0" w:color="auto"/>
            </w:tcBorders>
            <w:tcMar>
              <w:top w:w="0" w:type="dxa"/>
              <w:left w:w="108" w:type="dxa"/>
              <w:bottom w:w="0" w:type="dxa"/>
              <w:right w:w="108" w:type="dxa"/>
            </w:tcMar>
            <w:hideMark/>
          </w:tcPr>
          <w:p w:rsidR="00672A76" w:rsidRPr="00672A76" w:rsidRDefault="00672A76">
            <w:pPr>
              <w:spacing w:after="120"/>
              <w:jc w:val="center"/>
              <w:rPr>
                <w:b/>
                <w:bCs/>
                <w:sz w:val="22"/>
                <w:szCs w:val="22"/>
              </w:rPr>
            </w:pPr>
            <w:r w:rsidRPr="00672A76">
              <w:rPr>
                <w:b/>
                <w:bCs/>
                <w:sz w:val="22"/>
                <w:szCs w:val="22"/>
              </w:rPr>
              <w:t>SCL</w:t>
            </w:r>
          </w:p>
          <w:p w:rsidR="00672A76" w:rsidRPr="00672A76" w:rsidRDefault="00672A76">
            <w:pPr>
              <w:jc w:val="center"/>
              <w:rPr>
                <w:b/>
                <w:bCs/>
                <w:sz w:val="22"/>
                <w:szCs w:val="22"/>
              </w:rPr>
            </w:pPr>
            <w:r w:rsidRPr="00672A76">
              <w:rPr>
                <w:b/>
                <w:bCs/>
                <w:sz w:val="22"/>
                <w:szCs w:val="22"/>
              </w:rPr>
              <w:t>£000</w:t>
            </w:r>
          </w:p>
        </w:tc>
      </w:tr>
      <w:tr w:rsidR="00672A76" w:rsidTr="00672A76">
        <w:trPr>
          <w:trHeight w:val="11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72A76" w:rsidRPr="00672A76" w:rsidRDefault="00672A76">
            <w:pPr>
              <w:rPr>
                <w:rFonts w:cs="Calibri"/>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72A76" w:rsidRPr="00672A76" w:rsidRDefault="00672A76">
            <w:pPr>
              <w:jc w:val="center"/>
              <w:rPr>
                <w:b/>
                <w:bCs/>
                <w:sz w:val="22"/>
                <w:szCs w:val="22"/>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672A76" w:rsidRPr="00672A76" w:rsidRDefault="00672A76">
            <w:pPr>
              <w:jc w:val="center"/>
              <w:rPr>
                <w:b/>
                <w:bCs/>
                <w:sz w:val="22"/>
                <w:szCs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72A76" w:rsidRPr="00672A76" w:rsidRDefault="00672A76">
            <w:pPr>
              <w:jc w:val="center"/>
              <w:rPr>
                <w:b/>
                <w:bCs/>
                <w:sz w:val="22"/>
                <w:szCs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72A76" w:rsidRPr="00672A76" w:rsidRDefault="00672A76">
            <w:pPr>
              <w:jc w:val="center"/>
              <w:rPr>
                <w:b/>
                <w:bCs/>
                <w:sz w:val="22"/>
                <w:szCs w:val="22"/>
              </w:rPr>
            </w:pPr>
          </w:p>
        </w:tc>
      </w:tr>
      <w:tr w:rsidR="00672A76" w:rsidTr="00672A76">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A76" w:rsidRPr="00672A76" w:rsidRDefault="00672A76">
            <w:pPr>
              <w:jc w:val="both"/>
              <w:rPr>
                <w:sz w:val="22"/>
                <w:szCs w:val="22"/>
              </w:rPr>
            </w:pPr>
            <w:r w:rsidRPr="00672A76">
              <w:rPr>
                <w:sz w:val="22"/>
                <w:szCs w:val="22"/>
              </w:rPr>
              <w:t>Rent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rPr>
            </w:pPr>
            <w:r w:rsidRPr="00672A76">
              <w:rPr>
                <w:sz w:val="22"/>
                <w:szCs w:val="22"/>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82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92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13</w:t>
            </w:r>
          </w:p>
        </w:tc>
      </w:tr>
      <w:tr w:rsidR="00672A76" w:rsidTr="00672A76">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A76" w:rsidRPr="00672A76" w:rsidRDefault="00672A76">
            <w:pPr>
              <w:jc w:val="both"/>
              <w:rPr>
                <w:sz w:val="22"/>
                <w:szCs w:val="22"/>
              </w:rPr>
            </w:pPr>
            <w:r w:rsidRPr="00672A76">
              <w:rPr>
                <w:sz w:val="22"/>
                <w:szCs w:val="22"/>
              </w:rPr>
              <w:t>Rent recovery from sub-let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rPr>
            </w:pPr>
            <w:r w:rsidRPr="00672A76">
              <w:rPr>
                <w:sz w:val="22"/>
                <w:szCs w:val="22"/>
              </w:rPr>
              <w:t>(518)</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w:t>
            </w:r>
          </w:p>
        </w:tc>
      </w:tr>
      <w:tr w:rsidR="00672A76" w:rsidTr="00672A76">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A76" w:rsidRPr="00672A76" w:rsidRDefault="00672A76">
            <w:pPr>
              <w:jc w:val="both"/>
              <w:rPr>
                <w:sz w:val="22"/>
                <w:szCs w:val="22"/>
              </w:rPr>
            </w:pPr>
            <w:r w:rsidRPr="00672A76">
              <w:rPr>
                <w:sz w:val="22"/>
                <w:szCs w:val="22"/>
              </w:rPr>
              <w:t>Rates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rPr>
            </w:pPr>
            <w:r w:rsidRPr="00672A76">
              <w:rPr>
                <w:sz w:val="22"/>
                <w:szCs w:val="22"/>
              </w:rPr>
              <w:t>316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23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17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w:t>
            </w:r>
          </w:p>
        </w:tc>
      </w:tr>
      <w:tr w:rsidR="00672A76" w:rsidTr="00672A76">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A76" w:rsidRPr="00672A76" w:rsidRDefault="00672A76">
            <w:pPr>
              <w:jc w:val="both"/>
              <w:rPr>
                <w:sz w:val="22"/>
                <w:szCs w:val="22"/>
              </w:rPr>
            </w:pPr>
            <w:r w:rsidRPr="00672A76">
              <w:rPr>
                <w:sz w:val="22"/>
                <w:szCs w:val="22"/>
              </w:rPr>
              <w:t>Heat &amp; light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rPr>
            </w:pPr>
            <w:r w:rsidRPr="00672A76">
              <w:rPr>
                <w:sz w:val="22"/>
                <w:szCs w:val="22"/>
              </w:rPr>
              <w:t>103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12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w:t>
            </w:r>
          </w:p>
        </w:tc>
      </w:tr>
      <w:tr w:rsidR="00672A76" w:rsidTr="00672A76">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A76" w:rsidRPr="00672A76" w:rsidRDefault="00672A76">
            <w:pPr>
              <w:jc w:val="both"/>
              <w:rPr>
                <w:sz w:val="22"/>
                <w:szCs w:val="22"/>
              </w:rPr>
            </w:pPr>
            <w:r w:rsidRPr="00672A76">
              <w:rPr>
                <w:sz w:val="22"/>
                <w:szCs w:val="22"/>
              </w:rPr>
              <w:t>Maintenance and repairs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rPr>
            </w:pPr>
            <w:r w:rsidRPr="00672A76">
              <w:rPr>
                <w:sz w:val="22"/>
                <w:szCs w:val="22"/>
              </w:rPr>
              <w:t>428</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21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w:t>
            </w:r>
          </w:p>
        </w:tc>
      </w:tr>
      <w:tr w:rsidR="00672A76" w:rsidTr="00672A76">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A76" w:rsidRPr="00672A76" w:rsidRDefault="00672A76">
            <w:pPr>
              <w:jc w:val="both"/>
              <w:rPr>
                <w:sz w:val="22"/>
                <w:szCs w:val="22"/>
              </w:rPr>
            </w:pPr>
            <w:r w:rsidRPr="00672A76">
              <w:rPr>
                <w:sz w:val="22"/>
                <w:szCs w:val="22"/>
              </w:rPr>
              <w:t>Cleaning and office Consumables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rPr>
            </w:pPr>
            <w:r w:rsidRPr="00672A76">
              <w:rPr>
                <w:sz w:val="22"/>
                <w:szCs w:val="22"/>
              </w:rPr>
              <w:t>106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29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17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w:t>
            </w:r>
          </w:p>
        </w:tc>
      </w:tr>
      <w:tr w:rsidR="00672A76" w:rsidTr="00672A76">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A76" w:rsidRPr="00672A76" w:rsidRDefault="00672A76">
            <w:pPr>
              <w:jc w:val="both"/>
              <w:rPr>
                <w:sz w:val="22"/>
                <w:szCs w:val="22"/>
              </w:rPr>
            </w:pPr>
            <w:r w:rsidRPr="00672A76">
              <w:rPr>
                <w:sz w:val="22"/>
                <w:szCs w:val="22"/>
              </w:rPr>
              <w:t>Other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rPr>
            </w:pPr>
            <w:r w:rsidRPr="00672A76">
              <w:rPr>
                <w:sz w:val="22"/>
                <w:szCs w:val="22"/>
              </w:rPr>
              <w:t>9</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35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12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w:t>
            </w:r>
          </w:p>
        </w:tc>
      </w:tr>
      <w:tr w:rsidR="00672A76" w:rsidTr="00672A76">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A76" w:rsidRPr="00672A76" w:rsidRDefault="00672A76">
            <w:pPr>
              <w:jc w:val="both"/>
              <w:rPr>
                <w:b/>
                <w:bCs/>
                <w:sz w:val="22"/>
                <w:szCs w:val="22"/>
              </w:rPr>
            </w:pPr>
            <w:r w:rsidRPr="00672A76">
              <w:rPr>
                <w:b/>
                <w:bCs/>
                <w:sz w:val="22"/>
                <w:szCs w:val="22"/>
              </w:rPr>
              <w:t>TOTAL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b/>
                <w:bCs/>
                <w:sz w:val="22"/>
                <w:szCs w:val="22"/>
              </w:rPr>
            </w:pPr>
            <w:r w:rsidRPr="00672A76">
              <w:rPr>
                <w:b/>
                <w:bCs/>
                <w:sz w:val="22"/>
                <w:szCs w:val="22"/>
              </w:rPr>
              <w:t>444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b/>
                <w:bCs/>
                <w:sz w:val="22"/>
                <w:szCs w:val="22"/>
                <w:lang w:eastAsia="en-GB"/>
              </w:rPr>
            </w:pPr>
            <w:r w:rsidRPr="00672A76">
              <w:rPr>
                <w:b/>
                <w:bCs/>
                <w:sz w:val="22"/>
                <w:szCs w:val="22"/>
                <w:lang w:eastAsia="en-GB"/>
              </w:rPr>
              <w:t>205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b/>
                <w:bCs/>
                <w:sz w:val="22"/>
                <w:szCs w:val="22"/>
                <w:lang w:eastAsia="en-GB"/>
              </w:rPr>
            </w:pPr>
            <w:r w:rsidRPr="00672A76">
              <w:rPr>
                <w:b/>
                <w:bCs/>
                <w:sz w:val="22"/>
                <w:szCs w:val="22"/>
                <w:lang w:eastAsia="en-GB"/>
              </w:rPr>
              <w:t>152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b/>
                <w:bCs/>
                <w:sz w:val="22"/>
                <w:szCs w:val="22"/>
                <w:lang w:eastAsia="en-GB"/>
              </w:rPr>
            </w:pPr>
            <w:r w:rsidRPr="00672A76">
              <w:rPr>
                <w:b/>
                <w:bCs/>
                <w:sz w:val="22"/>
                <w:szCs w:val="22"/>
                <w:lang w:eastAsia="en-GB"/>
              </w:rPr>
              <w:t>13</w:t>
            </w:r>
          </w:p>
        </w:tc>
      </w:tr>
    </w:tbl>
    <w:p w:rsidR="00672A76" w:rsidRDefault="00672A76" w:rsidP="00672A76">
      <w:pPr>
        <w:rPr>
          <w:rFonts w:ascii="Calibri" w:hAnsi="Calibri" w:cs="Calibri"/>
          <w:color w:val="1F497D"/>
          <w:sz w:val="22"/>
          <w:szCs w:val="22"/>
        </w:rPr>
      </w:pPr>
    </w:p>
    <w:p w:rsidR="00672A76" w:rsidRDefault="00672A76" w:rsidP="00672A76">
      <w:pPr>
        <w:rPr>
          <w:color w:val="1F497D"/>
        </w:rPr>
      </w:pPr>
    </w:p>
    <w:tbl>
      <w:tblPr>
        <w:tblW w:w="9907" w:type="dxa"/>
        <w:tblInd w:w="-18" w:type="dxa"/>
        <w:tblCellMar>
          <w:left w:w="0" w:type="dxa"/>
          <w:right w:w="0" w:type="dxa"/>
        </w:tblCellMar>
        <w:tblLook w:val="04A0" w:firstRow="1" w:lastRow="0" w:firstColumn="1" w:lastColumn="0" w:noHBand="0" w:noVBand="1"/>
      </w:tblPr>
      <w:tblGrid>
        <w:gridCol w:w="3528"/>
        <w:gridCol w:w="1701"/>
        <w:gridCol w:w="1560"/>
        <w:gridCol w:w="1559"/>
        <w:gridCol w:w="1559"/>
      </w:tblGrid>
      <w:tr w:rsidR="00672A76" w:rsidTr="00672A76">
        <w:trPr>
          <w:trHeight w:val="342"/>
        </w:trPr>
        <w:tc>
          <w:tcPr>
            <w:tcW w:w="3528"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72A76" w:rsidRPr="00672A76" w:rsidRDefault="00672A76">
            <w:pPr>
              <w:jc w:val="both"/>
              <w:rPr>
                <w:sz w:val="22"/>
                <w:szCs w:val="22"/>
              </w:rPr>
            </w:pPr>
            <w:r w:rsidRPr="00672A76">
              <w:rPr>
                <w:sz w:val="22"/>
                <w:szCs w:val="22"/>
              </w:rPr>
              <w:t>2020-21</w:t>
            </w:r>
          </w:p>
        </w:tc>
        <w:tc>
          <w:tcPr>
            <w:tcW w:w="1701" w:type="dxa"/>
            <w:tcBorders>
              <w:top w:val="single" w:sz="8" w:space="0" w:color="auto"/>
              <w:left w:val="nil"/>
              <w:bottom w:val="nil"/>
              <w:right w:val="single" w:sz="8" w:space="0" w:color="auto"/>
            </w:tcBorders>
            <w:tcMar>
              <w:top w:w="0" w:type="dxa"/>
              <w:left w:w="108" w:type="dxa"/>
              <w:bottom w:w="0" w:type="dxa"/>
              <w:right w:w="108" w:type="dxa"/>
            </w:tcMar>
            <w:hideMark/>
          </w:tcPr>
          <w:p w:rsidR="00672A76" w:rsidRPr="00672A76" w:rsidRDefault="00672A76">
            <w:pPr>
              <w:spacing w:after="120"/>
              <w:jc w:val="center"/>
              <w:rPr>
                <w:b/>
                <w:bCs/>
                <w:sz w:val="22"/>
                <w:szCs w:val="22"/>
              </w:rPr>
            </w:pPr>
            <w:r w:rsidRPr="00672A76">
              <w:rPr>
                <w:b/>
                <w:bCs/>
                <w:sz w:val="22"/>
                <w:szCs w:val="22"/>
              </w:rPr>
              <w:t>SLAB</w:t>
            </w:r>
          </w:p>
          <w:p w:rsidR="00672A76" w:rsidRPr="00672A76" w:rsidRDefault="00672A76">
            <w:pPr>
              <w:jc w:val="center"/>
              <w:rPr>
                <w:b/>
                <w:bCs/>
                <w:sz w:val="22"/>
                <w:szCs w:val="22"/>
              </w:rPr>
            </w:pPr>
            <w:r w:rsidRPr="00672A76">
              <w:rPr>
                <w:b/>
                <w:bCs/>
                <w:sz w:val="22"/>
                <w:szCs w:val="22"/>
              </w:rPr>
              <w:t>£000</w:t>
            </w:r>
          </w:p>
        </w:tc>
        <w:tc>
          <w:tcPr>
            <w:tcW w:w="1560" w:type="dxa"/>
            <w:tcBorders>
              <w:top w:val="single" w:sz="8" w:space="0" w:color="auto"/>
              <w:left w:val="nil"/>
              <w:bottom w:val="nil"/>
              <w:right w:val="single" w:sz="8" w:space="0" w:color="auto"/>
            </w:tcBorders>
            <w:tcMar>
              <w:top w:w="0" w:type="dxa"/>
              <w:left w:w="108" w:type="dxa"/>
              <w:bottom w:w="0" w:type="dxa"/>
              <w:right w:w="108" w:type="dxa"/>
            </w:tcMar>
            <w:hideMark/>
          </w:tcPr>
          <w:p w:rsidR="00672A76" w:rsidRPr="00672A76" w:rsidRDefault="00672A76">
            <w:pPr>
              <w:spacing w:after="120"/>
              <w:jc w:val="center"/>
              <w:rPr>
                <w:b/>
                <w:bCs/>
                <w:sz w:val="22"/>
                <w:szCs w:val="22"/>
              </w:rPr>
            </w:pPr>
            <w:r w:rsidRPr="00672A76">
              <w:rPr>
                <w:b/>
                <w:bCs/>
                <w:sz w:val="22"/>
                <w:szCs w:val="22"/>
              </w:rPr>
              <w:t>PDSO</w:t>
            </w:r>
          </w:p>
          <w:p w:rsidR="00672A76" w:rsidRPr="00672A76" w:rsidRDefault="00672A76">
            <w:pPr>
              <w:jc w:val="center"/>
              <w:rPr>
                <w:b/>
                <w:bCs/>
                <w:sz w:val="22"/>
                <w:szCs w:val="22"/>
              </w:rPr>
            </w:pPr>
            <w:r w:rsidRPr="00672A76">
              <w:rPr>
                <w:b/>
                <w:bCs/>
                <w:sz w:val="22"/>
                <w:szCs w:val="22"/>
              </w:rPr>
              <w:t>£000</w:t>
            </w:r>
          </w:p>
        </w:tc>
        <w:tc>
          <w:tcPr>
            <w:tcW w:w="1559" w:type="dxa"/>
            <w:tcBorders>
              <w:top w:val="single" w:sz="8" w:space="0" w:color="auto"/>
              <w:left w:val="nil"/>
              <w:bottom w:val="nil"/>
              <w:right w:val="single" w:sz="8" w:space="0" w:color="auto"/>
            </w:tcBorders>
            <w:tcMar>
              <w:top w:w="0" w:type="dxa"/>
              <w:left w:w="108" w:type="dxa"/>
              <w:bottom w:w="0" w:type="dxa"/>
              <w:right w:w="108" w:type="dxa"/>
            </w:tcMar>
            <w:hideMark/>
          </w:tcPr>
          <w:p w:rsidR="00672A76" w:rsidRPr="00672A76" w:rsidRDefault="00672A76">
            <w:pPr>
              <w:spacing w:after="120"/>
              <w:jc w:val="center"/>
              <w:rPr>
                <w:b/>
                <w:bCs/>
                <w:sz w:val="22"/>
                <w:szCs w:val="22"/>
              </w:rPr>
            </w:pPr>
            <w:r w:rsidRPr="00672A76">
              <w:rPr>
                <w:b/>
                <w:bCs/>
                <w:sz w:val="22"/>
                <w:szCs w:val="22"/>
              </w:rPr>
              <w:t>CLAO</w:t>
            </w:r>
          </w:p>
          <w:p w:rsidR="00672A76" w:rsidRPr="00672A76" w:rsidRDefault="00672A76">
            <w:pPr>
              <w:jc w:val="center"/>
              <w:rPr>
                <w:b/>
                <w:bCs/>
                <w:sz w:val="22"/>
                <w:szCs w:val="22"/>
              </w:rPr>
            </w:pPr>
            <w:r w:rsidRPr="00672A76">
              <w:rPr>
                <w:b/>
                <w:bCs/>
                <w:sz w:val="22"/>
                <w:szCs w:val="22"/>
              </w:rPr>
              <w:t>£000</w:t>
            </w:r>
          </w:p>
        </w:tc>
        <w:tc>
          <w:tcPr>
            <w:tcW w:w="1559" w:type="dxa"/>
            <w:tcBorders>
              <w:top w:val="single" w:sz="8" w:space="0" w:color="auto"/>
              <w:left w:val="nil"/>
              <w:bottom w:val="nil"/>
              <w:right w:val="single" w:sz="8" w:space="0" w:color="auto"/>
            </w:tcBorders>
            <w:tcMar>
              <w:top w:w="0" w:type="dxa"/>
              <w:left w:w="108" w:type="dxa"/>
              <w:bottom w:w="0" w:type="dxa"/>
              <w:right w:w="108" w:type="dxa"/>
            </w:tcMar>
            <w:hideMark/>
          </w:tcPr>
          <w:p w:rsidR="00672A76" w:rsidRPr="00672A76" w:rsidRDefault="00672A76">
            <w:pPr>
              <w:spacing w:after="120"/>
              <w:jc w:val="center"/>
              <w:rPr>
                <w:b/>
                <w:bCs/>
                <w:sz w:val="22"/>
                <w:szCs w:val="22"/>
              </w:rPr>
            </w:pPr>
            <w:r w:rsidRPr="00672A76">
              <w:rPr>
                <w:b/>
                <w:bCs/>
                <w:sz w:val="22"/>
                <w:szCs w:val="22"/>
              </w:rPr>
              <w:t>SCL</w:t>
            </w:r>
          </w:p>
          <w:p w:rsidR="00672A76" w:rsidRPr="00672A76" w:rsidRDefault="00672A76">
            <w:pPr>
              <w:jc w:val="center"/>
              <w:rPr>
                <w:b/>
                <w:bCs/>
                <w:sz w:val="22"/>
                <w:szCs w:val="22"/>
              </w:rPr>
            </w:pPr>
            <w:r w:rsidRPr="00672A76">
              <w:rPr>
                <w:b/>
                <w:bCs/>
                <w:sz w:val="22"/>
                <w:szCs w:val="22"/>
              </w:rPr>
              <w:t>£000</w:t>
            </w:r>
          </w:p>
        </w:tc>
      </w:tr>
      <w:tr w:rsidR="00672A76" w:rsidTr="00672A76">
        <w:trPr>
          <w:trHeight w:val="11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72A76" w:rsidRPr="00672A76" w:rsidRDefault="00672A76">
            <w:pPr>
              <w:rPr>
                <w:rFonts w:cs="Calibri"/>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72A76" w:rsidRPr="00672A76" w:rsidRDefault="00672A76">
            <w:pPr>
              <w:jc w:val="center"/>
              <w:rPr>
                <w:b/>
                <w:bCs/>
                <w:sz w:val="22"/>
                <w:szCs w:val="22"/>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672A76" w:rsidRPr="00672A76" w:rsidRDefault="00672A76">
            <w:pPr>
              <w:jc w:val="center"/>
              <w:rPr>
                <w:b/>
                <w:bCs/>
                <w:sz w:val="22"/>
                <w:szCs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72A76" w:rsidRPr="00672A76" w:rsidRDefault="00672A76">
            <w:pPr>
              <w:jc w:val="center"/>
              <w:rPr>
                <w:b/>
                <w:bCs/>
                <w:sz w:val="22"/>
                <w:szCs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72A76" w:rsidRPr="00672A76" w:rsidRDefault="00672A76">
            <w:pPr>
              <w:jc w:val="center"/>
              <w:rPr>
                <w:b/>
                <w:bCs/>
                <w:sz w:val="22"/>
                <w:szCs w:val="22"/>
              </w:rPr>
            </w:pPr>
          </w:p>
        </w:tc>
      </w:tr>
      <w:tr w:rsidR="00672A76" w:rsidTr="00672A76">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A76" w:rsidRPr="00672A76" w:rsidRDefault="00672A76">
            <w:pPr>
              <w:jc w:val="both"/>
              <w:rPr>
                <w:sz w:val="22"/>
                <w:szCs w:val="22"/>
              </w:rPr>
            </w:pPr>
            <w:r w:rsidRPr="00672A76">
              <w:rPr>
                <w:sz w:val="22"/>
                <w:szCs w:val="22"/>
              </w:rPr>
              <w:t>Rent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rPr>
            </w:pPr>
            <w:r w:rsidRPr="00672A76">
              <w:rPr>
                <w:sz w:val="22"/>
                <w:szCs w:val="22"/>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116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89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13</w:t>
            </w:r>
          </w:p>
        </w:tc>
      </w:tr>
      <w:tr w:rsidR="00672A76" w:rsidTr="00672A76">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A76" w:rsidRPr="00672A76" w:rsidRDefault="00672A76">
            <w:pPr>
              <w:jc w:val="both"/>
              <w:rPr>
                <w:sz w:val="22"/>
                <w:szCs w:val="22"/>
              </w:rPr>
            </w:pPr>
            <w:r w:rsidRPr="00672A76">
              <w:rPr>
                <w:sz w:val="22"/>
                <w:szCs w:val="22"/>
              </w:rPr>
              <w:t>Rent recovery from sub-let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rPr>
            </w:pPr>
            <w:r w:rsidRPr="00672A76">
              <w:rPr>
                <w:sz w:val="22"/>
                <w:szCs w:val="22"/>
              </w:rPr>
              <w:t>(541)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w:t>
            </w:r>
          </w:p>
        </w:tc>
      </w:tr>
      <w:tr w:rsidR="00672A76" w:rsidTr="00672A76">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A76" w:rsidRPr="00672A76" w:rsidRDefault="00672A76">
            <w:pPr>
              <w:jc w:val="both"/>
              <w:rPr>
                <w:sz w:val="22"/>
                <w:szCs w:val="22"/>
              </w:rPr>
            </w:pPr>
            <w:r w:rsidRPr="00672A76">
              <w:rPr>
                <w:sz w:val="22"/>
                <w:szCs w:val="22"/>
              </w:rPr>
              <w:t>Rates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rPr>
            </w:pPr>
            <w:r w:rsidRPr="00672A76">
              <w:rPr>
                <w:sz w:val="22"/>
                <w:szCs w:val="22"/>
              </w:rPr>
              <w:t>355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36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25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w:t>
            </w:r>
          </w:p>
        </w:tc>
      </w:tr>
      <w:tr w:rsidR="00672A76" w:rsidTr="00672A76">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A76" w:rsidRPr="00672A76" w:rsidRDefault="00672A76">
            <w:pPr>
              <w:jc w:val="both"/>
              <w:rPr>
                <w:sz w:val="22"/>
                <w:szCs w:val="22"/>
              </w:rPr>
            </w:pPr>
            <w:r w:rsidRPr="00672A76">
              <w:rPr>
                <w:sz w:val="22"/>
                <w:szCs w:val="22"/>
              </w:rPr>
              <w:t>Heat &amp; light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rPr>
            </w:pPr>
            <w:r w:rsidRPr="00672A76">
              <w:rPr>
                <w:sz w:val="22"/>
                <w:szCs w:val="22"/>
              </w:rPr>
              <w:t>57</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21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w:t>
            </w:r>
          </w:p>
        </w:tc>
      </w:tr>
      <w:tr w:rsidR="00672A76" w:rsidTr="00672A76">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A76" w:rsidRPr="00672A76" w:rsidRDefault="00672A76">
            <w:pPr>
              <w:jc w:val="both"/>
              <w:rPr>
                <w:sz w:val="22"/>
                <w:szCs w:val="22"/>
              </w:rPr>
            </w:pPr>
            <w:r w:rsidRPr="00672A76">
              <w:rPr>
                <w:sz w:val="22"/>
                <w:szCs w:val="22"/>
              </w:rPr>
              <w:t>Maintenance and repairs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rPr>
            </w:pPr>
            <w:r w:rsidRPr="00672A76">
              <w:rPr>
                <w:sz w:val="22"/>
                <w:szCs w:val="22"/>
              </w:rPr>
              <w:t>110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24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w:t>
            </w:r>
          </w:p>
        </w:tc>
      </w:tr>
      <w:tr w:rsidR="00672A76" w:rsidTr="00672A76">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A76" w:rsidRPr="00672A76" w:rsidRDefault="00672A76">
            <w:pPr>
              <w:jc w:val="both"/>
              <w:rPr>
                <w:sz w:val="22"/>
                <w:szCs w:val="22"/>
              </w:rPr>
            </w:pPr>
            <w:r w:rsidRPr="00672A76">
              <w:rPr>
                <w:sz w:val="22"/>
                <w:szCs w:val="22"/>
              </w:rPr>
              <w:t>Cleaning and office Consumables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rPr>
            </w:pPr>
            <w:r w:rsidRPr="00672A76">
              <w:rPr>
                <w:sz w:val="22"/>
                <w:szCs w:val="22"/>
              </w:rPr>
              <w:t>99</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33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w:t>
            </w:r>
          </w:p>
        </w:tc>
      </w:tr>
      <w:tr w:rsidR="00672A76" w:rsidTr="00672A76">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A76" w:rsidRPr="00672A76" w:rsidRDefault="00672A76">
            <w:pPr>
              <w:jc w:val="both"/>
              <w:rPr>
                <w:sz w:val="22"/>
                <w:szCs w:val="22"/>
              </w:rPr>
            </w:pPr>
            <w:r w:rsidRPr="00672A76">
              <w:rPr>
                <w:sz w:val="22"/>
                <w:szCs w:val="22"/>
              </w:rPr>
              <w:t>Other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rPr>
            </w:pPr>
            <w:r w:rsidRPr="00672A76">
              <w:rPr>
                <w:sz w:val="22"/>
                <w:szCs w:val="22"/>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sz w:val="22"/>
                <w:szCs w:val="22"/>
                <w:lang w:eastAsia="en-GB"/>
              </w:rPr>
            </w:pPr>
            <w:r w:rsidRPr="00672A76">
              <w:rPr>
                <w:sz w:val="22"/>
                <w:szCs w:val="22"/>
                <w:lang w:eastAsia="en-GB"/>
              </w:rPr>
              <w:t>-</w:t>
            </w:r>
          </w:p>
        </w:tc>
      </w:tr>
      <w:tr w:rsidR="00672A76" w:rsidTr="00672A76">
        <w:trPr>
          <w:trHeight w:val="356"/>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A76" w:rsidRPr="00672A76" w:rsidRDefault="00672A76">
            <w:pPr>
              <w:jc w:val="both"/>
              <w:rPr>
                <w:b/>
                <w:bCs/>
                <w:sz w:val="22"/>
                <w:szCs w:val="22"/>
              </w:rPr>
            </w:pPr>
            <w:r w:rsidRPr="00672A76">
              <w:rPr>
                <w:b/>
                <w:bCs/>
                <w:sz w:val="22"/>
                <w:szCs w:val="22"/>
              </w:rPr>
              <w:t>TOTAL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b/>
                <w:bCs/>
                <w:sz w:val="22"/>
                <w:szCs w:val="22"/>
              </w:rPr>
            </w:pPr>
            <w:r w:rsidRPr="00672A76">
              <w:rPr>
                <w:b/>
                <w:bCs/>
                <w:sz w:val="22"/>
                <w:szCs w:val="22"/>
              </w:rPr>
              <w:t>82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b/>
                <w:bCs/>
                <w:sz w:val="22"/>
                <w:szCs w:val="22"/>
                <w:lang w:eastAsia="en-GB"/>
              </w:rPr>
            </w:pPr>
            <w:r w:rsidRPr="00672A76">
              <w:rPr>
                <w:b/>
                <w:bCs/>
                <w:sz w:val="22"/>
                <w:szCs w:val="22"/>
                <w:lang w:eastAsia="en-GB"/>
              </w:rPr>
              <w:t>250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b/>
                <w:bCs/>
                <w:sz w:val="22"/>
                <w:szCs w:val="22"/>
                <w:lang w:eastAsia="en-GB"/>
              </w:rPr>
            </w:pPr>
            <w:r w:rsidRPr="00672A76">
              <w:rPr>
                <w:b/>
                <w:bCs/>
                <w:sz w:val="22"/>
                <w:szCs w:val="22"/>
                <w:lang w:eastAsia="en-GB"/>
              </w:rPr>
              <w:t>135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72A76" w:rsidRPr="00672A76" w:rsidRDefault="00672A76">
            <w:pPr>
              <w:jc w:val="center"/>
              <w:rPr>
                <w:b/>
                <w:bCs/>
                <w:sz w:val="22"/>
                <w:szCs w:val="22"/>
                <w:lang w:eastAsia="en-GB"/>
              </w:rPr>
            </w:pPr>
            <w:r w:rsidRPr="00672A76">
              <w:rPr>
                <w:b/>
                <w:bCs/>
                <w:sz w:val="22"/>
                <w:szCs w:val="22"/>
                <w:lang w:eastAsia="en-GB"/>
              </w:rPr>
              <w:t>13</w:t>
            </w:r>
          </w:p>
        </w:tc>
      </w:tr>
    </w:tbl>
    <w:p w:rsidR="004154F4" w:rsidRPr="0032358C" w:rsidRDefault="004154F4" w:rsidP="004154F4">
      <w:pPr>
        <w:rPr>
          <w:sz w:val="22"/>
          <w:szCs w:val="22"/>
        </w:rPr>
      </w:pPr>
    </w:p>
    <w:p w:rsidR="004154F4" w:rsidRPr="00387ACA" w:rsidRDefault="004154F4" w:rsidP="005903C0">
      <w:pPr>
        <w:pStyle w:val="ReportPara"/>
        <w:spacing w:before="0"/>
        <w:rPr>
          <w:rFonts w:ascii="Trebuchet MS" w:eastAsia="Arial Unicode MS" w:hAnsi="Trebuchet MS"/>
          <w:b/>
          <w:bCs/>
          <w:szCs w:val="22"/>
          <w:lang w:eastAsia="en-GB"/>
        </w:rPr>
      </w:pPr>
    </w:p>
    <w:sectPr w:rsidR="004154F4" w:rsidRPr="00387ACA" w:rsidSect="00F9377F">
      <w:headerReference w:type="first" r:id="rId18"/>
      <w:pgSz w:w="11906" w:h="16838"/>
      <w:pgMar w:top="1440" w:right="1440" w:bottom="1276" w:left="1134"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41" w:rsidRDefault="00612341" w:rsidP="00EB61A3">
      <w:r>
        <w:separator/>
      </w:r>
    </w:p>
  </w:endnote>
  <w:endnote w:type="continuationSeparator" w:id="0">
    <w:p w:rsidR="00612341" w:rsidRDefault="00612341" w:rsidP="00EB61A3">
      <w:r>
        <w:continuationSeparator/>
      </w:r>
    </w:p>
  </w:endnote>
  <w:endnote w:type="continuationNotice" w:id="1">
    <w:p w:rsidR="00612341" w:rsidRDefault="00612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Plus Bol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60" w:rsidRPr="00101A53" w:rsidRDefault="000B1D60"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A50A2B">
      <w:rPr>
        <w:b/>
        <w:noProof/>
        <w:color w:val="003978"/>
      </w:rPr>
      <w:t>2</w:t>
    </w:r>
    <w:r w:rsidRPr="00101A53">
      <w:rPr>
        <w:b/>
        <w:noProof/>
        <w:color w:val="003978"/>
      </w:rPr>
      <w:fldChar w:fldCharType="end"/>
    </w:r>
  </w:p>
  <w:p w:rsidR="000B1D60" w:rsidRDefault="000B1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60" w:rsidRPr="00101A53" w:rsidRDefault="000B1D60"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A50A2B">
      <w:rPr>
        <w:b/>
        <w:noProof/>
        <w:color w:val="003978"/>
      </w:rPr>
      <w:t>1</w:t>
    </w:r>
    <w:r w:rsidRPr="00101A53">
      <w:rPr>
        <w:b/>
        <w:noProof/>
        <w:color w:val="003978"/>
      </w:rPr>
      <w:fldChar w:fldCharType="end"/>
    </w:r>
  </w:p>
  <w:p w:rsidR="000B1D60" w:rsidRDefault="000B1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60" w:rsidRPr="00682094" w:rsidRDefault="000B1D60" w:rsidP="000E29E0">
    <w:pPr>
      <w:pStyle w:val="Header"/>
      <w:pBdr>
        <w:bottom w:val="single" w:sz="4" w:space="1" w:color="auto"/>
      </w:pBdr>
    </w:pPr>
    <w:r w:rsidRPr="00682094">
      <w:rPr>
        <w:lang w:val="en-US"/>
      </w:rPr>
      <w:tab/>
    </w:r>
  </w:p>
  <w:p w:rsidR="000B1D60" w:rsidRDefault="000B1D60" w:rsidP="000E29E0">
    <w:pPr>
      <w:pStyle w:val="Footer"/>
      <w:tabs>
        <w:tab w:val="left" w:pos="945"/>
        <w:tab w:val="center" w:pos="5040"/>
        <w:tab w:val="right" w:pos="7380"/>
      </w:tabs>
      <w:rPr>
        <w:rStyle w:val="PageNumber"/>
      </w:rPr>
    </w:pPr>
    <w:r w:rsidRPr="00682094">
      <w:rPr>
        <w:lang w:val="en-US"/>
      </w:rPr>
      <w:t>Scottish Legal Aid Board</w:t>
    </w:r>
    <w:r w:rsidRPr="00682094">
      <w:rPr>
        <w:lang w:val="en-US"/>
      </w:rPr>
      <w:tab/>
    </w:r>
    <w:r w:rsidRPr="00682094">
      <w:rPr>
        <w:rStyle w:val="PageNumber"/>
      </w:rPr>
      <w:tab/>
    </w:r>
    <w:r>
      <w:rPr>
        <w:rStyle w:val="PageNumber"/>
      </w:rPr>
      <w:t xml:space="preserve">                            Property Asset Management Plan</w:t>
    </w:r>
  </w:p>
  <w:p w:rsidR="000B1D60" w:rsidRDefault="000B1D60" w:rsidP="000E29E0">
    <w:pPr>
      <w:pStyle w:val="Footer"/>
      <w:tabs>
        <w:tab w:val="left" w:pos="945"/>
        <w:tab w:val="center" w:pos="5040"/>
        <w:tab w:val="right" w:pos="7380"/>
      </w:tabs>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60" w:rsidRPr="00682094" w:rsidRDefault="000B1D60" w:rsidP="000E29E0">
    <w:pPr>
      <w:pStyle w:val="Header"/>
      <w:pBdr>
        <w:bottom w:val="single" w:sz="4" w:space="1" w:color="auto"/>
      </w:pBdr>
    </w:pPr>
    <w:r w:rsidRPr="00682094">
      <w:rPr>
        <w:lang w:val="en-US"/>
      </w:rPr>
      <w:tab/>
    </w:r>
  </w:p>
  <w:p w:rsidR="000B1D60" w:rsidRDefault="000B1D60" w:rsidP="000E29E0">
    <w:pPr>
      <w:pStyle w:val="Footer"/>
      <w:tabs>
        <w:tab w:val="left" w:pos="945"/>
        <w:tab w:val="center" w:pos="5040"/>
        <w:tab w:val="right" w:pos="7380"/>
      </w:tabs>
      <w:rPr>
        <w:rStyle w:val="PageNumber"/>
      </w:rPr>
    </w:pPr>
    <w:r w:rsidRPr="00682094">
      <w:rPr>
        <w:lang w:val="en-US"/>
      </w:rPr>
      <w:t>Scottish Legal Aid Board</w:t>
    </w:r>
    <w:r w:rsidRPr="00682094">
      <w:rPr>
        <w:lang w:val="en-US"/>
      </w:rPr>
      <w:tab/>
    </w:r>
    <w:r>
      <w:rPr>
        <w:rStyle w:val="PageNumber"/>
      </w:rPr>
      <w:fldChar w:fldCharType="begin"/>
    </w:r>
    <w:r>
      <w:rPr>
        <w:rStyle w:val="PageNumber"/>
      </w:rPr>
      <w:instrText xml:space="preserve"> PAGE </w:instrText>
    </w:r>
    <w:r>
      <w:rPr>
        <w:rStyle w:val="PageNumber"/>
      </w:rPr>
      <w:fldChar w:fldCharType="separate"/>
    </w:r>
    <w:r w:rsidR="00A50A2B">
      <w:rPr>
        <w:rStyle w:val="PageNumber"/>
        <w:noProof/>
      </w:rPr>
      <w:t>19</w:t>
    </w:r>
    <w:r>
      <w:rPr>
        <w:rStyle w:val="PageNumber"/>
      </w:rPr>
      <w:fldChar w:fldCharType="end"/>
    </w:r>
    <w:r w:rsidRPr="00682094">
      <w:rPr>
        <w:rStyle w:val="PageNumber"/>
      </w:rPr>
      <w:tab/>
    </w:r>
    <w:r>
      <w:rPr>
        <w:rStyle w:val="PageNumber"/>
      </w:rPr>
      <w:t xml:space="preserve">                                   Property Asset Management Plan</w:t>
    </w:r>
  </w:p>
  <w:p w:rsidR="000B1D60" w:rsidRDefault="000B1D60" w:rsidP="000E29E0">
    <w:pPr>
      <w:pStyle w:val="Footer"/>
      <w:tabs>
        <w:tab w:val="left" w:pos="945"/>
        <w:tab w:val="center" w:pos="5040"/>
        <w:tab w:val="right" w:pos="7380"/>
      </w:tabs>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41" w:rsidRDefault="00612341" w:rsidP="00EB61A3">
      <w:r>
        <w:separator/>
      </w:r>
    </w:p>
  </w:footnote>
  <w:footnote w:type="continuationSeparator" w:id="0">
    <w:p w:rsidR="00612341" w:rsidRDefault="00612341" w:rsidP="00EB61A3">
      <w:r>
        <w:continuationSeparator/>
      </w:r>
    </w:p>
  </w:footnote>
  <w:footnote w:type="continuationNotice" w:id="1">
    <w:p w:rsidR="00612341" w:rsidRDefault="006123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60" w:rsidRDefault="000B1D60" w:rsidP="00AA6E92">
    <w:pPr>
      <w:pStyle w:val="Header"/>
    </w:pPr>
    <w:r>
      <w:rPr>
        <w:noProof/>
        <w:lang w:eastAsia="en-GB"/>
      </w:rPr>
      <w:drawing>
        <wp:anchor distT="0" distB="0" distL="114300" distR="114300" simplePos="0" relativeHeight="251664384" behindDoc="1" locked="0" layoutInCell="1" allowOverlap="1" wp14:anchorId="143D3023" wp14:editId="0A6C5C0D">
          <wp:simplePos x="0" y="0"/>
          <wp:positionH relativeFrom="page">
            <wp:posOffset>6282906</wp:posOffset>
          </wp:positionH>
          <wp:positionV relativeFrom="page">
            <wp:align>top</wp:align>
          </wp:positionV>
          <wp:extent cx="1466850" cy="1551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7A140E13" wp14:editId="6E6CE74F">
          <wp:simplePos x="0" y="0"/>
          <wp:positionH relativeFrom="page">
            <wp:posOffset>9229725</wp:posOffset>
          </wp:positionH>
          <wp:positionV relativeFrom="page">
            <wp:posOffset>0</wp:posOffset>
          </wp:positionV>
          <wp:extent cx="1466850" cy="1551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60" w:rsidRDefault="000B1D60">
    <w:pPr>
      <w:pStyle w:val="Header"/>
    </w:pPr>
    <w:r>
      <w:rPr>
        <w:noProof/>
        <w:lang w:eastAsia="en-GB"/>
      </w:rPr>
      <w:drawing>
        <wp:inline distT="0" distB="0" distL="0" distR="0">
          <wp:extent cx="895350" cy="1181100"/>
          <wp:effectExtent l="0" t="0" r="0" b="0"/>
          <wp:docPr id="2" name="Picture 2"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slab.slab.org.uk/wp-content/uploads/2019/09/SLAB-logo-changes-227x30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350" cy="1181100"/>
                  </a:xfrm>
                  <a:prstGeom prst="rect">
                    <a:avLst/>
                  </a:prstGeom>
                  <a:noFill/>
                  <a:ln>
                    <a:noFill/>
                  </a:ln>
                </pic:spPr>
              </pic:pic>
            </a:graphicData>
          </a:graphic>
        </wp:inline>
      </w:drawing>
    </w:r>
    <w:r>
      <w:rPr>
        <w:noProof/>
        <w:lang w:eastAsia="en-GB"/>
      </w:rPr>
      <w:drawing>
        <wp:anchor distT="0" distB="0" distL="114300" distR="114300" simplePos="0" relativeHeight="251667456" behindDoc="1" locked="0" layoutInCell="1" allowOverlap="1" wp14:anchorId="62F2BE01" wp14:editId="15701365">
          <wp:simplePos x="0" y="0"/>
          <wp:positionH relativeFrom="page">
            <wp:posOffset>6014689</wp:posOffset>
          </wp:positionH>
          <wp:positionV relativeFrom="page">
            <wp:posOffset>62462</wp:posOffset>
          </wp:positionV>
          <wp:extent cx="1466850" cy="1551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60" w:rsidRDefault="000B1D60" w:rsidP="000E29E0">
    <w:pPr>
      <w:pStyle w:val="Header"/>
      <w:pBdr>
        <w:bottom w:val="single" w:sz="4" w:space="1" w:color="auto"/>
      </w:pBdr>
    </w:pPr>
  </w:p>
  <w:p w:rsidR="000B1D60" w:rsidRDefault="000B1D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60" w:rsidRDefault="000B1D60">
    <w:pPr>
      <w:pStyle w:val="Header"/>
    </w:pPr>
    <w:r>
      <w:rPr>
        <w:noProof/>
        <w:lang w:eastAsia="en-GB"/>
      </w:rPr>
      <w:drawing>
        <wp:anchor distT="0" distB="0" distL="114300" distR="114300" simplePos="0" relativeHeight="251671552" behindDoc="1" locked="0" layoutInCell="1" allowOverlap="1" wp14:anchorId="17891E4E" wp14:editId="025C5C19">
          <wp:simplePos x="0" y="0"/>
          <wp:positionH relativeFrom="page">
            <wp:posOffset>6033962</wp:posOffset>
          </wp:positionH>
          <wp:positionV relativeFrom="page">
            <wp:posOffset>42977</wp:posOffset>
          </wp:positionV>
          <wp:extent cx="1466850" cy="15512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14:anchorId="2C45E2AE" wp14:editId="1015FE84">
          <wp:simplePos x="0" y="0"/>
          <wp:positionH relativeFrom="column">
            <wp:posOffset>0</wp:posOffset>
          </wp:positionH>
          <wp:positionV relativeFrom="paragraph">
            <wp:posOffset>-635</wp:posOffset>
          </wp:positionV>
          <wp:extent cx="772160" cy="1008380"/>
          <wp:effectExtent l="0" t="0" r="889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2">
                    <a:extLst>
                      <a:ext uri="{28A0092B-C50C-407E-A947-70E740481C1C}">
                        <a14:useLocalDpi xmlns:a14="http://schemas.microsoft.com/office/drawing/2010/main" val="0"/>
                      </a:ext>
                    </a:extLst>
                  </a:blip>
                  <a:stretch>
                    <a:fillRect/>
                  </a:stretch>
                </pic:blipFill>
                <pic:spPr>
                  <a:xfrm>
                    <a:off x="0" y="0"/>
                    <a:ext cx="772160" cy="1008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B6C"/>
    <w:multiLevelType w:val="hybridMultilevel"/>
    <w:tmpl w:val="9F5AA6A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F64CA"/>
    <w:multiLevelType w:val="multilevel"/>
    <w:tmpl w:val="9402B390"/>
    <w:lvl w:ilvl="0">
      <w:start w:val="1"/>
      <w:numFmt w:val="decimal"/>
      <w:pStyle w:val="BodyNumbered1"/>
      <w:lvlText w:val="%1"/>
      <w:lvlJc w:val="left"/>
      <w:pPr>
        <w:tabs>
          <w:tab w:val="num" w:pos="432"/>
        </w:tabs>
        <w:ind w:left="432" w:hanging="432"/>
      </w:pPr>
      <w:rPr>
        <w:rFonts w:hint="default"/>
      </w:rPr>
    </w:lvl>
    <w:lvl w:ilvl="1">
      <w:start w:val="1"/>
      <w:numFmt w:val="decimal"/>
      <w:pStyle w:val="BodyNumbered2"/>
      <w:lvlText w:val="%1.%2"/>
      <w:lvlJc w:val="left"/>
      <w:pPr>
        <w:tabs>
          <w:tab w:val="num" w:pos="576"/>
        </w:tabs>
        <w:ind w:left="576" w:hanging="576"/>
      </w:pPr>
      <w:rPr>
        <w:rFonts w:hint="default"/>
      </w:rPr>
    </w:lvl>
    <w:lvl w:ilvl="2">
      <w:start w:val="1"/>
      <w:numFmt w:val="decimal"/>
      <w:pStyle w:val="BodyNumbered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4935CA6"/>
    <w:multiLevelType w:val="hybridMultilevel"/>
    <w:tmpl w:val="530E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3F1BBD"/>
    <w:multiLevelType w:val="multilevel"/>
    <w:tmpl w:val="F74A7000"/>
    <w:lvl w:ilvl="0">
      <w:start w:val="1"/>
      <w:numFmt w:val="decimal"/>
      <w:lvlText w:val="%1."/>
      <w:lvlJc w:val="left"/>
      <w:pPr>
        <w:tabs>
          <w:tab w:val="num" w:pos="720"/>
        </w:tabs>
        <w:ind w:left="720" w:hanging="720"/>
      </w:pPr>
      <w:rPr>
        <w:rFonts w:hint="default"/>
        <w:b/>
        <w:i w:val="0"/>
      </w:rPr>
    </w:lvl>
    <w:lvl w:ilvl="1">
      <w:start w:val="1"/>
      <w:numFmt w:val="decimal"/>
      <w:isLgl/>
      <w:lvlText w:val="%1.%2"/>
      <w:lvlJc w:val="left"/>
      <w:pPr>
        <w:tabs>
          <w:tab w:val="num" w:pos="720"/>
        </w:tabs>
        <w:ind w:left="720" w:hanging="720"/>
      </w:pPr>
      <w:rPr>
        <w:rFonts w:hint="default"/>
        <w:b/>
        <w:i w:val="0"/>
      </w:rPr>
    </w:lvl>
    <w:lvl w:ilvl="2">
      <w:start w:val="1"/>
      <w:numFmt w:val="decimal"/>
      <w:isLgl/>
      <w:lvlText w:val="%1.%2.%3"/>
      <w:lvlJc w:val="left"/>
      <w:pPr>
        <w:tabs>
          <w:tab w:val="num" w:pos="720"/>
        </w:tabs>
        <w:ind w:left="720" w:hanging="720"/>
      </w:pPr>
      <w:rPr>
        <w:rFonts w:hint="default"/>
        <w:b/>
        <w:i/>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3DDA2108"/>
    <w:multiLevelType w:val="hybridMultilevel"/>
    <w:tmpl w:val="45D0B6C8"/>
    <w:lvl w:ilvl="0" w:tplc="F080EEBA">
      <w:start w:val="1"/>
      <w:numFmt w:val="bullet"/>
      <w:lvlText w:val=""/>
      <w:lvlJc w:val="left"/>
      <w:pPr>
        <w:tabs>
          <w:tab w:val="num" w:pos="1004"/>
        </w:tabs>
        <w:ind w:left="1004" w:hanging="284"/>
      </w:pPr>
      <w:rPr>
        <w:rFonts w:ascii="Symbol" w:hAnsi="Symbol" w:hint="default"/>
      </w:rPr>
    </w:lvl>
    <w:lvl w:ilvl="1" w:tplc="A724B95C">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16A5227"/>
    <w:multiLevelType w:val="hybridMultilevel"/>
    <w:tmpl w:val="5A70E628"/>
    <w:lvl w:ilvl="0" w:tplc="A9E4024C">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066E9"/>
    <w:multiLevelType w:val="multilevel"/>
    <w:tmpl w:val="C34A66FC"/>
    <w:lvl w:ilvl="0">
      <w:start w:val="1"/>
      <w:numFmt w:val="decimal"/>
      <w:lvlText w:val="%1."/>
      <w:lvlJc w:val="left"/>
      <w:pPr>
        <w:tabs>
          <w:tab w:val="num" w:pos="720"/>
        </w:tabs>
        <w:ind w:left="720" w:hanging="720"/>
      </w:pPr>
      <w:rPr>
        <w:rFonts w:hint="default"/>
        <w:b/>
        <w:i w:val="0"/>
      </w:rPr>
    </w:lvl>
    <w:lvl w:ilvl="1">
      <w:start w:val="1"/>
      <w:numFmt w:val="decimal"/>
      <w:isLgl/>
      <w:lvlText w:val="%1.%2"/>
      <w:lvlJc w:val="left"/>
      <w:pPr>
        <w:tabs>
          <w:tab w:val="num" w:pos="720"/>
        </w:tabs>
        <w:ind w:left="720" w:hanging="72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68647EA"/>
    <w:multiLevelType w:val="hybridMultilevel"/>
    <w:tmpl w:val="4A6ED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F22B71"/>
    <w:multiLevelType w:val="hybridMultilevel"/>
    <w:tmpl w:val="76FC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5E53CE"/>
    <w:multiLevelType w:val="hybridMultilevel"/>
    <w:tmpl w:val="9BD6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2749F0"/>
    <w:multiLevelType w:val="hybridMultilevel"/>
    <w:tmpl w:val="9B48AB12"/>
    <w:lvl w:ilvl="0" w:tplc="5BD8E3EA">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E26395"/>
    <w:multiLevelType w:val="hybridMultilevel"/>
    <w:tmpl w:val="09B6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920F7"/>
    <w:multiLevelType w:val="hybridMultilevel"/>
    <w:tmpl w:val="CD8ADE48"/>
    <w:lvl w:ilvl="0" w:tplc="F080EEBA">
      <w:start w:val="1"/>
      <w:numFmt w:val="bullet"/>
      <w:lvlText w:val=""/>
      <w:lvlJc w:val="left"/>
      <w:pPr>
        <w:tabs>
          <w:tab w:val="num" w:pos="1004"/>
        </w:tabs>
        <w:ind w:left="1004" w:hanging="28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DB63797"/>
    <w:multiLevelType w:val="singleLevel"/>
    <w:tmpl w:val="759A12D6"/>
    <w:lvl w:ilvl="0">
      <w:start w:val="1"/>
      <w:numFmt w:val="decimal"/>
      <w:pStyle w:val="PARA511"/>
      <w:lvlText w:val="5.1.%1"/>
      <w:lvlJc w:val="left"/>
      <w:pPr>
        <w:tabs>
          <w:tab w:val="num" w:pos="720"/>
        </w:tabs>
        <w:ind w:left="720" w:hanging="720"/>
      </w:pPr>
    </w:lvl>
  </w:abstractNum>
  <w:abstractNum w:abstractNumId="16" w15:restartNumberingAfterBreak="0">
    <w:nsid w:val="70A65FCB"/>
    <w:multiLevelType w:val="hybridMultilevel"/>
    <w:tmpl w:val="5CEC48E6"/>
    <w:lvl w:ilvl="0" w:tplc="FFFFFFFF">
      <w:start w:val="1"/>
      <w:numFmt w:val="bullet"/>
      <w:pStyle w:val="numberaligned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Meta Plus Bold"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Meta Plus Bold"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Meta Plus Bold"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7B0417B3"/>
    <w:multiLevelType w:val="hybridMultilevel"/>
    <w:tmpl w:val="E5D6FDA6"/>
    <w:lvl w:ilvl="0" w:tplc="6A8AAC9C">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6"/>
  </w:num>
  <w:num w:numId="6">
    <w:abstractNumId w:val="2"/>
  </w:num>
  <w:num w:numId="7">
    <w:abstractNumId w:val="15"/>
  </w:num>
  <w:num w:numId="8">
    <w:abstractNumId w:val="16"/>
  </w:num>
  <w:num w:numId="9">
    <w:abstractNumId w:val="4"/>
  </w:num>
  <w:num w:numId="10">
    <w:abstractNumId w:val="12"/>
  </w:num>
  <w:num w:numId="11">
    <w:abstractNumId w:val="1"/>
  </w:num>
  <w:num w:numId="12">
    <w:abstractNumId w:val="17"/>
  </w:num>
  <w:num w:numId="13">
    <w:abstractNumId w:val="9"/>
  </w:num>
  <w:num w:numId="14">
    <w:abstractNumId w:val="10"/>
  </w:num>
  <w:num w:numId="15">
    <w:abstractNumId w:val="13"/>
  </w:num>
  <w:num w:numId="16">
    <w:abstractNumId w:val="11"/>
  </w:num>
  <w:num w:numId="17">
    <w:abstractNumId w:val="7"/>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4164"/>
    <w:rsid w:val="000100DD"/>
    <w:rsid w:val="00016211"/>
    <w:rsid w:val="00017EA1"/>
    <w:rsid w:val="00024D0A"/>
    <w:rsid w:val="0002748C"/>
    <w:rsid w:val="00031261"/>
    <w:rsid w:val="00031736"/>
    <w:rsid w:val="00033D05"/>
    <w:rsid w:val="000345B0"/>
    <w:rsid w:val="000349F8"/>
    <w:rsid w:val="000419AF"/>
    <w:rsid w:val="00042E2C"/>
    <w:rsid w:val="000439F1"/>
    <w:rsid w:val="000470D4"/>
    <w:rsid w:val="00050C19"/>
    <w:rsid w:val="00061F2B"/>
    <w:rsid w:val="00067EF5"/>
    <w:rsid w:val="00074279"/>
    <w:rsid w:val="000843BA"/>
    <w:rsid w:val="00084CDD"/>
    <w:rsid w:val="00085920"/>
    <w:rsid w:val="00086215"/>
    <w:rsid w:val="000865F1"/>
    <w:rsid w:val="00090CA4"/>
    <w:rsid w:val="000919A9"/>
    <w:rsid w:val="00094CB8"/>
    <w:rsid w:val="000A7BDA"/>
    <w:rsid w:val="000B1D60"/>
    <w:rsid w:val="000B2DF9"/>
    <w:rsid w:val="000B534B"/>
    <w:rsid w:val="000B69BF"/>
    <w:rsid w:val="000C1B2A"/>
    <w:rsid w:val="000C38FE"/>
    <w:rsid w:val="000C3F30"/>
    <w:rsid w:val="000C4431"/>
    <w:rsid w:val="000C71CE"/>
    <w:rsid w:val="000D1D5B"/>
    <w:rsid w:val="000D34F2"/>
    <w:rsid w:val="000D43A6"/>
    <w:rsid w:val="000D6EA3"/>
    <w:rsid w:val="000D705C"/>
    <w:rsid w:val="000E093E"/>
    <w:rsid w:val="000E0BD1"/>
    <w:rsid w:val="000E1F56"/>
    <w:rsid w:val="000E200B"/>
    <w:rsid w:val="000E29E0"/>
    <w:rsid w:val="000E5213"/>
    <w:rsid w:val="000E563A"/>
    <w:rsid w:val="000E664A"/>
    <w:rsid w:val="000E7257"/>
    <w:rsid w:val="000F002D"/>
    <w:rsid w:val="000F0580"/>
    <w:rsid w:val="000F26CC"/>
    <w:rsid w:val="000F7A82"/>
    <w:rsid w:val="00101A53"/>
    <w:rsid w:val="001022B1"/>
    <w:rsid w:val="00102FC6"/>
    <w:rsid w:val="00103C07"/>
    <w:rsid w:val="00106F16"/>
    <w:rsid w:val="0010701D"/>
    <w:rsid w:val="00111FF3"/>
    <w:rsid w:val="001162B9"/>
    <w:rsid w:val="00117C91"/>
    <w:rsid w:val="00122BE7"/>
    <w:rsid w:val="00126ADB"/>
    <w:rsid w:val="00127B2F"/>
    <w:rsid w:val="00130654"/>
    <w:rsid w:val="001313ED"/>
    <w:rsid w:val="00132CEF"/>
    <w:rsid w:val="00133E8A"/>
    <w:rsid w:val="001341C3"/>
    <w:rsid w:val="00136C9F"/>
    <w:rsid w:val="00144FFE"/>
    <w:rsid w:val="00152C88"/>
    <w:rsid w:val="00154704"/>
    <w:rsid w:val="00154B8A"/>
    <w:rsid w:val="001566AC"/>
    <w:rsid w:val="00160698"/>
    <w:rsid w:val="00161856"/>
    <w:rsid w:val="00161E76"/>
    <w:rsid w:val="001626D3"/>
    <w:rsid w:val="001655F5"/>
    <w:rsid w:val="00165D87"/>
    <w:rsid w:val="00172A06"/>
    <w:rsid w:val="00173523"/>
    <w:rsid w:val="00174A5C"/>
    <w:rsid w:val="00175255"/>
    <w:rsid w:val="00175695"/>
    <w:rsid w:val="00182FA7"/>
    <w:rsid w:val="00183523"/>
    <w:rsid w:val="00183B5A"/>
    <w:rsid w:val="0018575F"/>
    <w:rsid w:val="00190C39"/>
    <w:rsid w:val="00191EC1"/>
    <w:rsid w:val="00192159"/>
    <w:rsid w:val="00195F8C"/>
    <w:rsid w:val="001A4218"/>
    <w:rsid w:val="001A4E7F"/>
    <w:rsid w:val="001A5F3C"/>
    <w:rsid w:val="001A6B79"/>
    <w:rsid w:val="001A7087"/>
    <w:rsid w:val="001B490B"/>
    <w:rsid w:val="001B626A"/>
    <w:rsid w:val="001B6D84"/>
    <w:rsid w:val="001B71D3"/>
    <w:rsid w:val="001B74E0"/>
    <w:rsid w:val="001C278B"/>
    <w:rsid w:val="001C676D"/>
    <w:rsid w:val="001C76FD"/>
    <w:rsid w:val="001D44A5"/>
    <w:rsid w:val="001D4BF1"/>
    <w:rsid w:val="001D5819"/>
    <w:rsid w:val="001E0D45"/>
    <w:rsid w:val="001E49E5"/>
    <w:rsid w:val="001E6FB0"/>
    <w:rsid w:val="00202825"/>
    <w:rsid w:val="00203CA2"/>
    <w:rsid w:val="00204CF6"/>
    <w:rsid w:val="00205332"/>
    <w:rsid w:val="002055CC"/>
    <w:rsid w:val="0021150B"/>
    <w:rsid w:val="00211C22"/>
    <w:rsid w:val="0022184D"/>
    <w:rsid w:val="00221C3E"/>
    <w:rsid w:val="002222A9"/>
    <w:rsid w:val="00222859"/>
    <w:rsid w:val="0022291C"/>
    <w:rsid w:val="00223B0C"/>
    <w:rsid w:val="002265D6"/>
    <w:rsid w:val="00226617"/>
    <w:rsid w:val="00226B09"/>
    <w:rsid w:val="0023453A"/>
    <w:rsid w:val="00234CAF"/>
    <w:rsid w:val="0023662B"/>
    <w:rsid w:val="00237C13"/>
    <w:rsid w:val="00240407"/>
    <w:rsid w:val="00243E63"/>
    <w:rsid w:val="002448BD"/>
    <w:rsid w:val="00246439"/>
    <w:rsid w:val="00247C38"/>
    <w:rsid w:val="00255050"/>
    <w:rsid w:val="002550C8"/>
    <w:rsid w:val="00255D5A"/>
    <w:rsid w:val="002564C5"/>
    <w:rsid w:val="002565BE"/>
    <w:rsid w:val="002608FE"/>
    <w:rsid w:val="00266032"/>
    <w:rsid w:val="00266444"/>
    <w:rsid w:val="00266B05"/>
    <w:rsid w:val="00277303"/>
    <w:rsid w:val="00277E4C"/>
    <w:rsid w:val="002811A7"/>
    <w:rsid w:val="00281B98"/>
    <w:rsid w:val="002839A7"/>
    <w:rsid w:val="00283E81"/>
    <w:rsid w:val="00294066"/>
    <w:rsid w:val="00294727"/>
    <w:rsid w:val="00297CFB"/>
    <w:rsid w:val="00297DE2"/>
    <w:rsid w:val="002A1837"/>
    <w:rsid w:val="002A373C"/>
    <w:rsid w:val="002A39C5"/>
    <w:rsid w:val="002A4C34"/>
    <w:rsid w:val="002A63A8"/>
    <w:rsid w:val="002A7954"/>
    <w:rsid w:val="002B2D2E"/>
    <w:rsid w:val="002B33C9"/>
    <w:rsid w:val="002B3460"/>
    <w:rsid w:val="002B43CC"/>
    <w:rsid w:val="002B7D14"/>
    <w:rsid w:val="002C16D3"/>
    <w:rsid w:val="002C1BC9"/>
    <w:rsid w:val="002C20F1"/>
    <w:rsid w:val="002C598A"/>
    <w:rsid w:val="002C6E85"/>
    <w:rsid w:val="002C77DC"/>
    <w:rsid w:val="002C7D14"/>
    <w:rsid w:val="002D0165"/>
    <w:rsid w:val="002D318B"/>
    <w:rsid w:val="002D55AC"/>
    <w:rsid w:val="002D5D04"/>
    <w:rsid w:val="002D7A2A"/>
    <w:rsid w:val="002E2D60"/>
    <w:rsid w:val="002F0C6E"/>
    <w:rsid w:val="002F163A"/>
    <w:rsid w:val="002F29AA"/>
    <w:rsid w:val="00300F9C"/>
    <w:rsid w:val="003038AC"/>
    <w:rsid w:val="003049B5"/>
    <w:rsid w:val="003053A9"/>
    <w:rsid w:val="003133C3"/>
    <w:rsid w:val="00322814"/>
    <w:rsid w:val="0033078D"/>
    <w:rsid w:val="00330F5E"/>
    <w:rsid w:val="003317BC"/>
    <w:rsid w:val="00331BF0"/>
    <w:rsid w:val="00333C9D"/>
    <w:rsid w:val="00334D54"/>
    <w:rsid w:val="00336B6F"/>
    <w:rsid w:val="0034002C"/>
    <w:rsid w:val="00340424"/>
    <w:rsid w:val="00340D8F"/>
    <w:rsid w:val="00341FBA"/>
    <w:rsid w:val="00341FEB"/>
    <w:rsid w:val="00345D75"/>
    <w:rsid w:val="003473D9"/>
    <w:rsid w:val="00350998"/>
    <w:rsid w:val="00351772"/>
    <w:rsid w:val="00357B77"/>
    <w:rsid w:val="00361BC3"/>
    <w:rsid w:val="00362113"/>
    <w:rsid w:val="00363035"/>
    <w:rsid w:val="0036383A"/>
    <w:rsid w:val="00364D93"/>
    <w:rsid w:val="00365930"/>
    <w:rsid w:val="00365B58"/>
    <w:rsid w:val="00366020"/>
    <w:rsid w:val="0036636B"/>
    <w:rsid w:val="00374684"/>
    <w:rsid w:val="0037522E"/>
    <w:rsid w:val="00384603"/>
    <w:rsid w:val="00386430"/>
    <w:rsid w:val="00390110"/>
    <w:rsid w:val="00394456"/>
    <w:rsid w:val="003A0869"/>
    <w:rsid w:val="003A1007"/>
    <w:rsid w:val="003A614B"/>
    <w:rsid w:val="003B13DB"/>
    <w:rsid w:val="003B17BD"/>
    <w:rsid w:val="003B55B1"/>
    <w:rsid w:val="003B5E92"/>
    <w:rsid w:val="003B606E"/>
    <w:rsid w:val="003C02C2"/>
    <w:rsid w:val="003C0366"/>
    <w:rsid w:val="003C512E"/>
    <w:rsid w:val="003C5DEA"/>
    <w:rsid w:val="003C7DDC"/>
    <w:rsid w:val="003D02D0"/>
    <w:rsid w:val="003D1779"/>
    <w:rsid w:val="003D4399"/>
    <w:rsid w:val="003E2074"/>
    <w:rsid w:val="003E2234"/>
    <w:rsid w:val="003E2D72"/>
    <w:rsid w:val="003E3DB1"/>
    <w:rsid w:val="003E3EA8"/>
    <w:rsid w:val="003E774C"/>
    <w:rsid w:val="003F1F59"/>
    <w:rsid w:val="003F5315"/>
    <w:rsid w:val="003F5786"/>
    <w:rsid w:val="0040009A"/>
    <w:rsid w:val="00403612"/>
    <w:rsid w:val="00405190"/>
    <w:rsid w:val="00412194"/>
    <w:rsid w:val="004154F4"/>
    <w:rsid w:val="00416A7D"/>
    <w:rsid w:val="00422193"/>
    <w:rsid w:val="00423C4A"/>
    <w:rsid w:val="004273FF"/>
    <w:rsid w:val="00430263"/>
    <w:rsid w:val="004304B7"/>
    <w:rsid w:val="00431065"/>
    <w:rsid w:val="004335B4"/>
    <w:rsid w:val="004342D9"/>
    <w:rsid w:val="00434C6D"/>
    <w:rsid w:val="0043658D"/>
    <w:rsid w:val="00436BD9"/>
    <w:rsid w:val="0044621F"/>
    <w:rsid w:val="00447CA5"/>
    <w:rsid w:val="00450D20"/>
    <w:rsid w:val="00455F1A"/>
    <w:rsid w:val="004574C7"/>
    <w:rsid w:val="00461CEB"/>
    <w:rsid w:val="004620C3"/>
    <w:rsid w:val="00467E85"/>
    <w:rsid w:val="00470B61"/>
    <w:rsid w:val="00471E89"/>
    <w:rsid w:val="00473104"/>
    <w:rsid w:val="004744C4"/>
    <w:rsid w:val="00476F49"/>
    <w:rsid w:val="0048147D"/>
    <w:rsid w:val="0048716C"/>
    <w:rsid w:val="00493A10"/>
    <w:rsid w:val="00493B21"/>
    <w:rsid w:val="00496AB0"/>
    <w:rsid w:val="004A11C7"/>
    <w:rsid w:val="004A1216"/>
    <w:rsid w:val="004A7606"/>
    <w:rsid w:val="004B140A"/>
    <w:rsid w:val="004C0D36"/>
    <w:rsid w:val="004C16E8"/>
    <w:rsid w:val="004C364B"/>
    <w:rsid w:val="004C4D2A"/>
    <w:rsid w:val="004C5352"/>
    <w:rsid w:val="004C5E2C"/>
    <w:rsid w:val="004D03ED"/>
    <w:rsid w:val="004D03FA"/>
    <w:rsid w:val="004D2A94"/>
    <w:rsid w:val="004D7C06"/>
    <w:rsid w:val="004E430C"/>
    <w:rsid w:val="004E5B3A"/>
    <w:rsid w:val="004E6B6E"/>
    <w:rsid w:val="004F4F6E"/>
    <w:rsid w:val="004F57D3"/>
    <w:rsid w:val="004F7F36"/>
    <w:rsid w:val="00505947"/>
    <w:rsid w:val="00506105"/>
    <w:rsid w:val="00506B5E"/>
    <w:rsid w:val="00507349"/>
    <w:rsid w:val="005126E6"/>
    <w:rsid w:val="00520987"/>
    <w:rsid w:val="0052151B"/>
    <w:rsid w:val="00526C99"/>
    <w:rsid w:val="0052757E"/>
    <w:rsid w:val="005304E7"/>
    <w:rsid w:val="00531E6D"/>
    <w:rsid w:val="0053321A"/>
    <w:rsid w:val="00534214"/>
    <w:rsid w:val="0053512C"/>
    <w:rsid w:val="0053573C"/>
    <w:rsid w:val="00543F04"/>
    <w:rsid w:val="00551907"/>
    <w:rsid w:val="00552D5B"/>
    <w:rsid w:val="005563C8"/>
    <w:rsid w:val="00557748"/>
    <w:rsid w:val="00557DCF"/>
    <w:rsid w:val="005602C4"/>
    <w:rsid w:val="005623A9"/>
    <w:rsid w:val="00565885"/>
    <w:rsid w:val="00567BAA"/>
    <w:rsid w:val="00576202"/>
    <w:rsid w:val="005801C2"/>
    <w:rsid w:val="00581429"/>
    <w:rsid w:val="005815B8"/>
    <w:rsid w:val="00583998"/>
    <w:rsid w:val="0058403A"/>
    <w:rsid w:val="005851E5"/>
    <w:rsid w:val="00586B70"/>
    <w:rsid w:val="005903C0"/>
    <w:rsid w:val="00595939"/>
    <w:rsid w:val="005972E4"/>
    <w:rsid w:val="005A2C69"/>
    <w:rsid w:val="005A5B12"/>
    <w:rsid w:val="005B082A"/>
    <w:rsid w:val="005B1355"/>
    <w:rsid w:val="005B1E58"/>
    <w:rsid w:val="005B5AC0"/>
    <w:rsid w:val="005B7399"/>
    <w:rsid w:val="005B73BF"/>
    <w:rsid w:val="005C1C51"/>
    <w:rsid w:val="005C2B9C"/>
    <w:rsid w:val="005C4FF3"/>
    <w:rsid w:val="005C5E9D"/>
    <w:rsid w:val="005C696F"/>
    <w:rsid w:val="005C7132"/>
    <w:rsid w:val="005D021C"/>
    <w:rsid w:val="005D38FA"/>
    <w:rsid w:val="005D6D9B"/>
    <w:rsid w:val="005F55F1"/>
    <w:rsid w:val="005F6458"/>
    <w:rsid w:val="00607E08"/>
    <w:rsid w:val="006108A0"/>
    <w:rsid w:val="0061108A"/>
    <w:rsid w:val="00612341"/>
    <w:rsid w:val="00613F2F"/>
    <w:rsid w:val="00615E91"/>
    <w:rsid w:val="006177D9"/>
    <w:rsid w:val="00621ED3"/>
    <w:rsid w:val="00623880"/>
    <w:rsid w:val="006268EF"/>
    <w:rsid w:val="006308AD"/>
    <w:rsid w:val="00631EB2"/>
    <w:rsid w:val="00632ED8"/>
    <w:rsid w:val="006352FA"/>
    <w:rsid w:val="00635547"/>
    <w:rsid w:val="006426E0"/>
    <w:rsid w:val="00647EDF"/>
    <w:rsid w:val="006507D0"/>
    <w:rsid w:val="00651FFD"/>
    <w:rsid w:val="00652620"/>
    <w:rsid w:val="00652BEF"/>
    <w:rsid w:val="00652C18"/>
    <w:rsid w:val="00671914"/>
    <w:rsid w:val="00672A76"/>
    <w:rsid w:val="00672DED"/>
    <w:rsid w:val="00675A05"/>
    <w:rsid w:val="00675C31"/>
    <w:rsid w:val="00676A00"/>
    <w:rsid w:val="0068348E"/>
    <w:rsid w:val="006846DE"/>
    <w:rsid w:val="00684F8F"/>
    <w:rsid w:val="0068578D"/>
    <w:rsid w:val="0069215B"/>
    <w:rsid w:val="0069347A"/>
    <w:rsid w:val="00693833"/>
    <w:rsid w:val="006A1845"/>
    <w:rsid w:val="006A61DC"/>
    <w:rsid w:val="006B0F32"/>
    <w:rsid w:val="006B73ED"/>
    <w:rsid w:val="006C3F98"/>
    <w:rsid w:val="006C4CC1"/>
    <w:rsid w:val="006D31A6"/>
    <w:rsid w:val="006D4FBF"/>
    <w:rsid w:val="006E0AEE"/>
    <w:rsid w:val="006E1FDC"/>
    <w:rsid w:val="006E432C"/>
    <w:rsid w:val="006E5262"/>
    <w:rsid w:val="006E536A"/>
    <w:rsid w:val="006E5CCC"/>
    <w:rsid w:val="006F0E58"/>
    <w:rsid w:val="006F1AD4"/>
    <w:rsid w:val="006F263E"/>
    <w:rsid w:val="006F2761"/>
    <w:rsid w:val="006F2C6D"/>
    <w:rsid w:val="006F367B"/>
    <w:rsid w:val="006F53CA"/>
    <w:rsid w:val="006F7622"/>
    <w:rsid w:val="006F7ABF"/>
    <w:rsid w:val="00700467"/>
    <w:rsid w:val="007006AA"/>
    <w:rsid w:val="00701F92"/>
    <w:rsid w:val="00702770"/>
    <w:rsid w:val="0070395C"/>
    <w:rsid w:val="00704223"/>
    <w:rsid w:val="00713BD0"/>
    <w:rsid w:val="00714597"/>
    <w:rsid w:val="0071592F"/>
    <w:rsid w:val="00716413"/>
    <w:rsid w:val="00717E74"/>
    <w:rsid w:val="00722786"/>
    <w:rsid w:val="00725EB9"/>
    <w:rsid w:val="0072707E"/>
    <w:rsid w:val="0073110C"/>
    <w:rsid w:val="00731944"/>
    <w:rsid w:val="00735215"/>
    <w:rsid w:val="00736091"/>
    <w:rsid w:val="00737155"/>
    <w:rsid w:val="00740ED1"/>
    <w:rsid w:val="00741147"/>
    <w:rsid w:val="00741AC1"/>
    <w:rsid w:val="007438F2"/>
    <w:rsid w:val="007449FF"/>
    <w:rsid w:val="007453A1"/>
    <w:rsid w:val="00751312"/>
    <w:rsid w:val="00760333"/>
    <w:rsid w:val="0076103C"/>
    <w:rsid w:val="007611D5"/>
    <w:rsid w:val="00761900"/>
    <w:rsid w:val="0076292A"/>
    <w:rsid w:val="00763BCD"/>
    <w:rsid w:val="00767B93"/>
    <w:rsid w:val="007745CF"/>
    <w:rsid w:val="00777096"/>
    <w:rsid w:val="00783D4C"/>
    <w:rsid w:val="007917D4"/>
    <w:rsid w:val="00791FFD"/>
    <w:rsid w:val="00793DC9"/>
    <w:rsid w:val="00795903"/>
    <w:rsid w:val="007963FF"/>
    <w:rsid w:val="007A2E31"/>
    <w:rsid w:val="007A40EC"/>
    <w:rsid w:val="007A5197"/>
    <w:rsid w:val="007C69C5"/>
    <w:rsid w:val="007C6F05"/>
    <w:rsid w:val="007D4DF4"/>
    <w:rsid w:val="007E654D"/>
    <w:rsid w:val="007F2F1A"/>
    <w:rsid w:val="007F44C3"/>
    <w:rsid w:val="007F4CC1"/>
    <w:rsid w:val="00800166"/>
    <w:rsid w:val="008108FA"/>
    <w:rsid w:val="00810B28"/>
    <w:rsid w:val="00813FCF"/>
    <w:rsid w:val="008209A3"/>
    <w:rsid w:val="00821D57"/>
    <w:rsid w:val="0082227E"/>
    <w:rsid w:val="00823889"/>
    <w:rsid w:val="00827700"/>
    <w:rsid w:val="00831F57"/>
    <w:rsid w:val="00835827"/>
    <w:rsid w:val="00841FB2"/>
    <w:rsid w:val="008445DF"/>
    <w:rsid w:val="00844F42"/>
    <w:rsid w:val="00845B83"/>
    <w:rsid w:val="00845BA4"/>
    <w:rsid w:val="0084702A"/>
    <w:rsid w:val="0085089D"/>
    <w:rsid w:val="00852226"/>
    <w:rsid w:val="00856355"/>
    <w:rsid w:val="00861BE0"/>
    <w:rsid w:val="00862395"/>
    <w:rsid w:val="008648A4"/>
    <w:rsid w:val="00864A16"/>
    <w:rsid w:val="0087074A"/>
    <w:rsid w:val="008717C0"/>
    <w:rsid w:val="008733BE"/>
    <w:rsid w:val="00874B41"/>
    <w:rsid w:val="008766CB"/>
    <w:rsid w:val="00885456"/>
    <w:rsid w:val="0088652B"/>
    <w:rsid w:val="00887D01"/>
    <w:rsid w:val="00890A0F"/>
    <w:rsid w:val="00890A94"/>
    <w:rsid w:val="00893DA6"/>
    <w:rsid w:val="00893E37"/>
    <w:rsid w:val="008947C4"/>
    <w:rsid w:val="00896BDD"/>
    <w:rsid w:val="00896C86"/>
    <w:rsid w:val="008A23F6"/>
    <w:rsid w:val="008A2FFC"/>
    <w:rsid w:val="008A42FA"/>
    <w:rsid w:val="008B00A4"/>
    <w:rsid w:val="008B08DB"/>
    <w:rsid w:val="008B11CC"/>
    <w:rsid w:val="008B1660"/>
    <w:rsid w:val="008B42E7"/>
    <w:rsid w:val="008B54C1"/>
    <w:rsid w:val="008C0393"/>
    <w:rsid w:val="008C231F"/>
    <w:rsid w:val="008C2E8B"/>
    <w:rsid w:val="008C576B"/>
    <w:rsid w:val="008C5C22"/>
    <w:rsid w:val="008C6047"/>
    <w:rsid w:val="008C6813"/>
    <w:rsid w:val="008C73AA"/>
    <w:rsid w:val="008D1A3B"/>
    <w:rsid w:val="008D21E8"/>
    <w:rsid w:val="008D2E72"/>
    <w:rsid w:val="008D3471"/>
    <w:rsid w:val="008D3846"/>
    <w:rsid w:val="008E10A6"/>
    <w:rsid w:val="008E291C"/>
    <w:rsid w:val="008E374E"/>
    <w:rsid w:val="008E5A99"/>
    <w:rsid w:val="008F066B"/>
    <w:rsid w:val="008F0FE4"/>
    <w:rsid w:val="008F4E0B"/>
    <w:rsid w:val="008F6744"/>
    <w:rsid w:val="009000D7"/>
    <w:rsid w:val="009019A2"/>
    <w:rsid w:val="0090282B"/>
    <w:rsid w:val="00902EB9"/>
    <w:rsid w:val="009035C5"/>
    <w:rsid w:val="00911A3F"/>
    <w:rsid w:val="00915414"/>
    <w:rsid w:val="00920D68"/>
    <w:rsid w:val="00924E42"/>
    <w:rsid w:val="009276FA"/>
    <w:rsid w:val="00931D55"/>
    <w:rsid w:val="0093507C"/>
    <w:rsid w:val="00944C44"/>
    <w:rsid w:val="00945CA7"/>
    <w:rsid w:val="00946657"/>
    <w:rsid w:val="00954526"/>
    <w:rsid w:val="00960EA3"/>
    <w:rsid w:val="00961CC8"/>
    <w:rsid w:val="00965AB2"/>
    <w:rsid w:val="009676B2"/>
    <w:rsid w:val="00967B90"/>
    <w:rsid w:val="00967BCA"/>
    <w:rsid w:val="009714EB"/>
    <w:rsid w:val="00973147"/>
    <w:rsid w:val="00975401"/>
    <w:rsid w:val="00976A45"/>
    <w:rsid w:val="00976E3B"/>
    <w:rsid w:val="00984B6B"/>
    <w:rsid w:val="0098730C"/>
    <w:rsid w:val="00990EC6"/>
    <w:rsid w:val="00990FEA"/>
    <w:rsid w:val="009962F8"/>
    <w:rsid w:val="00997BE7"/>
    <w:rsid w:val="009A19D8"/>
    <w:rsid w:val="009A1B69"/>
    <w:rsid w:val="009A43AC"/>
    <w:rsid w:val="009A5302"/>
    <w:rsid w:val="009B27FE"/>
    <w:rsid w:val="009B5D8A"/>
    <w:rsid w:val="009B74BE"/>
    <w:rsid w:val="009D068A"/>
    <w:rsid w:val="009D11F9"/>
    <w:rsid w:val="009D2260"/>
    <w:rsid w:val="009E2DC6"/>
    <w:rsid w:val="009E4C50"/>
    <w:rsid w:val="009E57F4"/>
    <w:rsid w:val="009E5DEF"/>
    <w:rsid w:val="009F046F"/>
    <w:rsid w:val="009F1DCE"/>
    <w:rsid w:val="009F26F8"/>
    <w:rsid w:val="009F302A"/>
    <w:rsid w:val="009F30A4"/>
    <w:rsid w:val="009F3D0A"/>
    <w:rsid w:val="009F5166"/>
    <w:rsid w:val="009F66FC"/>
    <w:rsid w:val="009F7F2A"/>
    <w:rsid w:val="00A00FEF"/>
    <w:rsid w:val="00A05BE9"/>
    <w:rsid w:val="00A134CA"/>
    <w:rsid w:val="00A13915"/>
    <w:rsid w:val="00A22778"/>
    <w:rsid w:val="00A232FC"/>
    <w:rsid w:val="00A26053"/>
    <w:rsid w:val="00A317E6"/>
    <w:rsid w:val="00A34D12"/>
    <w:rsid w:val="00A369BE"/>
    <w:rsid w:val="00A37736"/>
    <w:rsid w:val="00A42A81"/>
    <w:rsid w:val="00A43D7E"/>
    <w:rsid w:val="00A50A2B"/>
    <w:rsid w:val="00A5650E"/>
    <w:rsid w:val="00A64497"/>
    <w:rsid w:val="00A65C4D"/>
    <w:rsid w:val="00A667BB"/>
    <w:rsid w:val="00A67940"/>
    <w:rsid w:val="00A71312"/>
    <w:rsid w:val="00A72009"/>
    <w:rsid w:val="00A7368B"/>
    <w:rsid w:val="00A74DE3"/>
    <w:rsid w:val="00A75EF0"/>
    <w:rsid w:val="00A81AC3"/>
    <w:rsid w:val="00A81F38"/>
    <w:rsid w:val="00A8558F"/>
    <w:rsid w:val="00A8721E"/>
    <w:rsid w:val="00A9083A"/>
    <w:rsid w:val="00A90877"/>
    <w:rsid w:val="00A95061"/>
    <w:rsid w:val="00AA450E"/>
    <w:rsid w:val="00AA6E92"/>
    <w:rsid w:val="00AB5449"/>
    <w:rsid w:val="00AB5B6E"/>
    <w:rsid w:val="00AB7CF1"/>
    <w:rsid w:val="00AC1BC6"/>
    <w:rsid w:val="00AC1C64"/>
    <w:rsid w:val="00AC440B"/>
    <w:rsid w:val="00AC5D99"/>
    <w:rsid w:val="00AC6516"/>
    <w:rsid w:val="00AD52FA"/>
    <w:rsid w:val="00AE2D6E"/>
    <w:rsid w:val="00AE47FF"/>
    <w:rsid w:val="00AE5F8B"/>
    <w:rsid w:val="00AF04C4"/>
    <w:rsid w:val="00AF210B"/>
    <w:rsid w:val="00AF450F"/>
    <w:rsid w:val="00AF634D"/>
    <w:rsid w:val="00AF6F35"/>
    <w:rsid w:val="00B00339"/>
    <w:rsid w:val="00B0290C"/>
    <w:rsid w:val="00B03190"/>
    <w:rsid w:val="00B102B3"/>
    <w:rsid w:val="00B12383"/>
    <w:rsid w:val="00B12413"/>
    <w:rsid w:val="00B12D33"/>
    <w:rsid w:val="00B16CF6"/>
    <w:rsid w:val="00B2036B"/>
    <w:rsid w:val="00B24C33"/>
    <w:rsid w:val="00B269E3"/>
    <w:rsid w:val="00B26F64"/>
    <w:rsid w:val="00B315CB"/>
    <w:rsid w:val="00B35063"/>
    <w:rsid w:val="00B416D8"/>
    <w:rsid w:val="00B42FE8"/>
    <w:rsid w:val="00B4350F"/>
    <w:rsid w:val="00B55CE6"/>
    <w:rsid w:val="00B572F3"/>
    <w:rsid w:val="00B65BBA"/>
    <w:rsid w:val="00B668B4"/>
    <w:rsid w:val="00B66B25"/>
    <w:rsid w:val="00B7127C"/>
    <w:rsid w:val="00B72616"/>
    <w:rsid w:val="00B823F7"/>
    <w:rsid w:val="00B8423E"/>
    <w:rsid w:val="00B86375"/>
    <w:rsid w:val="00B86604"/>
    <w:rsid w:val="00B8782D"/>
    <w:rsid w:val="00B9328A"/>
    <w:rsid w:val="00B95AB7"/>
    <w:rsid w:val="00B95BF5"/>
    <w:rsid w:val="00BA0D02"/>
    <w:rsid w:val="00BA3348"/>
    <w:rsid w:val="00BA791B"/>
    <w:rsid w:val="00BB4E54"/>
    <w:rsid w:val="00BB5293"/>
    <w:rsid w:val="00BB64D3"/>
    <w:rsid w:val="00BC09DA"/>
    <w:rsid w:val="00BC0DCA"/>
    <w:rsid w:val="00BC0E01"/>
    <w:rsid w:val="00BC2181"/>
    <w:rsid w:val="00BC2A30"/>
    <w:rsid w:val="00BC31F3"/>
    <w:rsid w:val="00BC406A"/>
    <w:rsid w:val="00BC4BD3"/>
    <w:rsid w:val="00BC5361"/>
    <w:rsid w:val="00BD16F8"/>
    <w:rsid w:val="00BD1F80"/>
    <w:rsid w:val="00BD23EE"/>
    <w:rsid w:val="00BD2F7E"/>
    <w:rsid w:val="00BD40C8"/>
    <w:rsid w:val="00BD6F14"/>
    <w:rsid w:val="00BD7A3C"/>
    <w:rsid w:val="00BE1C8D"/>
    <w:rsid w:val="00BE3D27"/>
    <w:rsid w:val="00BE7F56"/>
    <w:rsid w:val="00BF1F69"/>
    <w:rsid w:val="00BF3ED0"/>
    <w:rsid w:val="00C01373"/>
    <w:rsid w:val="00C028C8"/>
    <w:rsid w:val="00C04902"/>
    <w:rsid w:val="00C06E37"/>
    <w:rsid w:val="00C103CC"/>
    <w:rsid w:val="00C135A0"/>
    <w:rsid w:val="00C15C01"/>
    <w:rsid w:val="00C166AC"/>
    <w:rsid w:val="00C17710"/>
    <w:rsid w:val="00C2348E"/>
    <w:rsid w:val="00C25FD2"/>
    <w:rsid w:val="00C26146"/>
    <w:rsid w:val="00C27610"/>
    <w:rsid w:val="00C27614"/>
    <w:rsid w:val="00C30298"/>
    <w:rsid w:val="00C32371"/>
    <w:rsid w:val="00C32CBA"/>
    <w:rsid w:val="00C33332"/>
    <w:rsid w:val="00C353B9"/>
    <w:rsid w:val="00C37D62"/>
    <w:rsid w:val="00C4195C"/>
    <w:rsid w:val="00C43063"/>
    <w:rsid w:val="00C466A1"/>
    <w:rsid w:val="00C525F0"/>
    <w:rsid w:val="00C52EA2"/>
    <w:rsid w:val="00C546B8"/>
    <w:rsid w:val="00C6243B"/>
    <w:rsid w:val="00C64309"/>
    <w:rsid w:val="00C654B9"/>
    <w:rsid w:val="00C65CCD"/>
    <w:rsid w:val="00C7051F"/>
    <w:rsid w:val="00C72029"/>
    <w:rsid w:val="00C72E68"/>
    <w:rsid w:val="00C74A69"/>
    <w:rsid w:val="00C802B6"/>
    <w:rsid w:val="00C806EF"/>
    <w:rsid w:val="00C80B8F"/>
    <w:rsid w:val="00C828A8"/>
    <w:rsid w:val="00C8387E"/>
    <w:rsid w:val="00C85300"/>
    <w:rsid w:val="00C94A5A"/>
    <w:rsid w:val="00C968D1"/>
    <w:rsid w:val="00CA2222"/>
    <w:rsid w:val="00CA559A"/>
    <w:rsid w:val="00CA71B4"/>
    <w:rsid w:val="00CB201C"/>
    <w:rsid w:val="00CB29A1"/>
    <w:rsid w:val="00CC01A2"/>
    <w:rsid w:val="00CC47C8"/>
    <w:rsid w:val="00CD3DAC"/>
    <w:rsid w:val="00CD480F"/>
    <w:rsid w:val="00CD526E"/>
    <w:rsid w:val="00CD66F5"/>
    <w:rsid w:val="00CE2C24"/>
    <w:rsid w:val="00CE3474"/>
    <w:rsid w:val="00CE598F"/>
    <w:rsid w:val="00CF052C"/>
    <w:rsid w:val="00CF373A"/>
    <w:rsid w:val="00CF72C1"/>
    <w:rsid w:val="00D01FE6"/>
    <w:rsid w:val="00D057C8"/>
    <w:rsid w:val="00D10921"/>
    <w:rsid w:val="00D1408B"/>
    <w:rsid w:val="00D1503B"/>
    <w:rsid w:val="00D1720A"/>
    <w:rsid w:val="00D20667"/>
    <w:rsid w:val="00D207E2"/>
    <w:rsid w:val="00D21212"/>
    <w:rsid w:val="00D21678"/>
    <w:rsid w:val="00D21A0C"/>
    <w:rsid w:val="00D244A6"/>
    <w:rsid w:val="00D244E0"/>
    <w:rsid w:val="00D25A4E"/>
    <w:rsid w:val="00D26CBB"/>
    <w:rsid w:val="00D306A3"/>
    <w:rsid w:val="00D34934"/>
    <w:rsid w:val="00D356E3"/>
    <w:rsid w:val="00D42BF5"/>
    <w:rsid w:val="00D45280"/>
    <w:rsid w:val="00D45AD4"/>
    <w:rsid w:val="00D46166"/>
    <w:rsid w:val="00D4736F"/>
    <w:rsid w:val="00D50A01"/>
    <w:rsid w:val="00D5384D"/>
    <w:rsid w:val="00D54120"/>
    <w:rsid w:val="00D56033"/>
    <w:rsid w:val="00D6012C"/>
    <w:rsid w:val="00D614F8"/>
    <w:rsid w:val="00D662E6"/>
    <w:rsid w:val="00D664C5"/>
    <w:rsid w:val="00D67253"/>
    <w:rsid w:val="00D71E20"/>
    <w:rsid w:val="00D82F86"/>
    <w:rsid w:val="00D8395C"/>
    <w:rsid w:val="00D86D79"/>
    <w:rsid w:val="00D86E0B"/>
    <w:rsid w:val="00D87764"/>
    <w:rsid w:val="00D91491"/>
    <w:rsid w:val="00D95358"/>
    <w:rsid w:val="00D96BEB"/>
    <w:rsid w:val="00DA1437"/>
    <w:rsid w:val="00DA2CFE"/>
    <w:rsid w:val="00DA63BF"/>
    <w:rsid w:val="00DA7163"/>
    <w:rsid w:val="00DB0041"/>
    <w:rsid w:val="00DB082C"/>
    <w:rsid w:val="00DB2023"/>
    <w:rsid w:val="00DB4686"/>
    <w:rsid w:val="00DB703C"/>
    <w:rsid w:val="00DC0D0F"/>
    <w:rsid w:val="00DC54E1"/>
    <w:rsid w:val="00DD007E"/>
    <w:rsid w:val="00DD116D"/>
    <w:rsid w:val="00DD365F"/>
    <w:rsid w:val="00DE249E"/>
    <w:rsid w:val="00DE34A8"/>
    <w:rsid w:val="00DE39AF"/>
    <w:rsid w:val="00DE43CE"/>
    <w:rsid w:val="00DE7C50"/>
    <w:rsid w:val="00DF09C1"/>
    <w:rsid w:val="00DF14D3"/>
    <w:rsid w:val="00DF26A7"/>
    <w:rsid w:val="00DF295D"/>
    <w:rsid w:val="00DF3EC1"/>
    <w:rsid w:val="00DF4C72"/>
    <w:rsid w:val="00E004C8"/>
    <w:rsid w:val="00E00DF7"/>
    <w:rsid w:val="00E014D0"/>
    <w:rsid w:val="00E044B8"/>
    <w:rsid w:val="00E07B9F"/>
    <w:rsid w:val="00E12F5C"/>
    <w:rsid w:val="00E1427B"/>
    <w:rsid w:val="00E16A23"/>
    <w:rsid w:val="00E16BF4"/>
    <w:rsid w:val="00E16F7E"/>
    <w:rsid w:val="00E175E3"/>
    <w:rsid w:val="00E21549"/>
    <w:rsid w:val="00E21DAF"/>
    <w:rsid w:val="00E22989"/>
    <w:rsid w:val="00E23B70"/>
    <w:rsid w:val="00E24668"/>
    <w:rsid w:val="00E42EC4"/>
    <w:rsid w:val="00E43E8D"/>
    <w:rsid w:val="00E44258"/>
    <w:rsid w:val="00E47890"/>
    <w:rsid w:val="00E618E0"/>
    <w:rsid w:val="00E61FDB"/>
    <w:rsid w:val="00E62CBB"/>
    <w:rsid w:val="00E65AD0"/>
    <w:rsid w:val="00E67425"/>
    <w:rsid w:val="00E74117"/>
    <w:rsid w:val="00E755E4"/>
    <w:rsid w:val="00E77CAA"/>
    <w:rsid w:val="00E81A21"/>
    <w:rsid w:val="00E8212F"/>
    <w:rsid w:val="00E84346"/>
    <w:rsid w:val="00E84D3C"/>
    <w:rsid w:val="00E851B4"/>
    <w:rsid w:val="00E85EAE"/>
    <w:rsid w:val="00E87161"/>
    <w:rsid w:val="00E9245C"/>
    <w:rsid w:val="00E92CD1"/>
    <w:rsid w:val="00E93841"/>
    <w:rsid w:val="00E93C63"/>
    <w:rsid w:val="00EA4355"/>
    <w:rsid w:val="00EA4F06"/>
    <w:rsid w:val="00EA6F97"/>
    <w:rsid w:val="00EB2551"/>
    <w:rsid w:val="00EB61A3"/>
    <w:rsid w:val="00EC3E01"/>
    <w:rsid w:val="00EC63B9"/>
    <w:rsid w:val="00EC67C6"/>
    <w:rsid w:val="00EC69FF"/>
    <w:rsid w:val="00ED0612"/>
    <w:rsid w:val="00ED0943"/>
    <w:rsid w:val="00ED197E"/>
    <w:rsid w:val="00ED2363"/>
    <w:rsid w:val="00ED2FF4"/>
    <w:rsid w:val="00ED6AEA"/>
    <w:rsid w:val="00EE235E"/>
    <w:rsid w:val="00EE3BC3"/>
    <w:rsid w:val="00EE3F68"/>
    <w:rsid w:val="00EF4754"/>
    <w:rsid w:val="00EF697F"/>
    <w:rsid w:val="00F01490"/>
    <w:rsid w:val="00F14B91"/>
    <w:rsid w:val="00F17971"/>
    <w:rsid w:val="00F218E8"/>
    <w:rsid w:val="00F240A5"/>
    <w:rsid w:val="00F25957"/>
    <w:rsid w:val="00F3039D"/>
    <w:rsid w:val="00F33B2B"/>
    <w:rsid w:val="00F341AA"/>
    <w:rsid w:val="00F34F4B"/>
    <w:rsid w:val="00F365BD"/>
    <w:rsid w:val="00F41C80"/>
    <w:rsid w:val="00F44CAE"/>
    <w:rsid w:val="00F5189D"/>
    <w:rsid w:val="00F52A78"/>
    <w:rsid w:val="00F565BF"/>
    <w:rsid w:val="00F602D5"/>
    <w:rsid w:val="00F6590C"/>
    <w:rsid w:val="00F65C54"/>
    <w:rsid w:val="00F666E1"/>
    <w:rsid w:val="00F67B32"/>
    <w:rsid w:val="00F700FA"/>
    <w:rsid w:val="00F72146"/>
    <w:rsid w:val="00F73476"/>
    <w:rsid w:val="00F73EF3"/>
    <w:rsid w:val="00F75883"/>
    <w:rsid w:val="00F75C37"/>
    <w:rsid w:val="00F75D29"/>
    <w:rsid w:val="00F775F4"/>
    <w:rsid w:val="00F85863"/>
    <w:rsid w:val="00F87335"/>
    <w:rsid w:val="00F9377F"/>
    <w:rsid w:val="00F965C2"/>
    <w:rsid w:val="00FA35D6"/>
    <w:rsid w:val="00FA431F"/>
    <w:rsid w:val="00FB2C2B"/>
    <w:rsid w:val="00FB6D76"/>
    <w:rsid w:val="00FC1320"/>
    <w:rsid w:val="00FC1FCC"/>
    <w:rsid w:val="00FD0905"/>
    <w:rsid w:val="00FD1E34"/>
    <w:rsid w:val="00FD3AFE"/>
    <w:rsid w:val="00FD5320"/>
    <w:rsid w:val="00FD57FE"/>
    <w:rsid w:val="00FE090F"/>
    <w:rsid w:val="00FE0F66"/>
    <w:rsid w:val="00FE32C8"/>
    <w:rsid w:val="00FE502C"/>
    <w:rsid w:val="00FF0B99"/>
    <w:rsid w:val="00FF4C57"/>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97ABD9"/>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qFormat/>
    <w:rsid w:val="00741AC1"/>
    <w:pPr>
      <w:outlineLvl w:val="0"/>
    </w:pPr>
    <w:rPr>
      <w:b/>
      <w:sz w:val="28"/>
      <w:szCs w:val="28"/>
    </w:rPr>
  </w:style>
  <w:style w:type="paragraph" w:styleId="Heading2">
    <w:name w:val="heading 2"/>
    <w:basedOn w:val="Normal"/>
    <w:next w:val="Normal"/>
    <w:link w:val="Heading2Char"/>
    <w:unhideWhenUsed/>
    <w:qFormat/>
    <w:rsid w:val="00741AC1"/>
    <w:pPr>
      <w:outlineLvl w:val="1"/>
    </w:pPr>
    <w:rPr>
      <w:b/>
      <w:szCs w:val="24"/>
    </w:rPr>
  </w:style>
  <w:style w:type="paragraph" w:styleId="Heading3">
    <w:name w:val="heading 3"/>
    <w:basedOn w:val="Normal"/>
    <w:next w:val="Normal"/>
    <w:link w:val="Heading3Char"/>
    <w:unhideWhenUsed/>
    <w:qFormat/>
    <w:rsid w:val="00741AC1"/>
    <w:pPr>
      <w:outlineLvl w:val="2"/>
    </w:pPr>
    <w:rPr>
      <w:i/>
    </w:rPr>
  </w:style>
  <w:style w:type="paragraph" w:styleId="Heading4">
    <w:name w:val="heading 4"/>
    <w:basedOn w:val="Normal"/>
    <w:next w:val="Normal"/>
    <w:link w:val="Heading4Char"/>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B43CC"/>
    <w:pPr>
      <w:tabs>
        <w:tab w:val="num" w:pos="1008"/>
      </w:tabs>
      <w:spacing w:before="240" w:after="60"/>
      <w:ind w:left="1008" w:hanging="1008"/>
      <w:outlineLvl w:val="4"/>
    </w:pPr>
    <w:rPr>
      <w:rFonts w:ascii="Times New Roman" w:eastAsia="Times New Roman" w:hAnsi="Times New Roman" w:cs="Times New Roman"/>
      <w:b/>
      <w:i/>
      <w:sz w:val="24"/>
      <w:szCs w:val="20"/>
      <w:u w:val="single"/>
    </w:rPr>
  </w:style>
  <w:style w:type="paragraph" w:styleId="Heading6">
    <w:name w:val="heading 6"/>
    <w:basedOn w:val="Normal"/>
    <w:next w:val="Normal"/>
    <w:link w:val="Heading6Char"/>
    <w:qFormat/>
    <w:rsid w:val="002B43CC"/>
    <w:pPr>
      <w:tabs>
        <w:tab w:val="num" w:pos="1152"/>
      </w:tabs>
      <w:spacing w:before="240" w:after="60"/>
      <w:ind w:left="1152" w:hanging="1152"/>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2B43CC"/>
    <w:pPr>
      <w:tabs>
        <w:tab w:val="num" w:pos="1296"/>
      </w:tabs>
      <w:spacing w:before="240" w:after="60"/>
      <w:ind w:left="1296" w:hanging="1296"/>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2B43CC"/>
    <w:pPr>
      <w:tabs>
        <w:tab w:val="num" w:pos="1440"/>
      </w:tabs>
      <w:spacing w:before="240" w:after="60"/>
      <w:ind w:left="1440" w:hanging="1440"/>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2B43CC"/>
    <w:pPr>
      <w:tabs>
        <w:tab w:val="num" w:pos="1584"/>
      </w:tabs>
      <w:spacing w:before="240" w:after="60"/>
      <w:ind w:left="1584" w:hanging="1584"/>
      <w:outlineLvl w:val="8"/>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semiHidden/>
    <w:unhideWhenUsed/>
    <w:rsid w:val="00F34F4B"/>
    <w:rPr>
      <w:vertAlign w:val="superscript"/>
    </w:rPr>
  </w:style>
  <w:style w:type="character" w:styleId="CommentReference">
    <w:name w:val="annotation reference"/>
    <w:basedOn w:val="DefaultParagraphFont"/>
    <w:semiHidden/>
    <w:unhideWhenUsed/>
    <w:rsid w:val="001A4218"/>
    <w:rPr>
      <w:sz w:val="16"/>
      <w:szCs w:val="16"/>
    </w:rPr>
  </w:style>
  <w:style w:type="paragraph" w:styleId="CommentText">
    <w:name w:val="annotation text"/>
    <w:basedOn w:val="Normal"/>
    <w:link w:val="CommentTextChar"/>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paragraph" w:styleId="BodyText">
    <w:name w:val="Body Text"/>
    <w:basedOn w:val="Normal"/>
    <w:link w:val="BodyTextChar"/>
    <w:qFormat/>
    <w:rsid w:val="00471E89"/>
    <w:pPr>
      <w:widowControl w:val="0"/>
      <w:autoSpaceDE w:val="0"/>
      <w:autoSpaceDN w:val="0"/>
    </w:pPr>
    <w:rPr>
      <w:rFonts w:eastAsia="Times New Roman" w:cs="Trebuchet MS"/>
      <w:sz w:val="22"/>
      <w:szCs w:val="22"/>
      <w:lang w:val="en-US"/>
    </w:rPr>
  </w:style>
  <w:style w:type="character" w:customStyle="1" w:styleId="BodyTextChar">
    <w:name w:val="Body Text Char"/>
    <w:basedOn w:val="DefaultParagraphFont"/>
    <w:link w:val="BodyText"/>
    <w:uiPriority w:val="1"/>
    <w:rsid w:val="00471E89"/>
    <w:rPr>
      <w:rFonts w:eastAsia="Times New Roman" w:cs="Trebuchet MS"/>
      <w:sz w:val="22"/>
      <w:szCs w:val="22"/>
      <w:lang w:val="en-US"/>
    </w:rPr>
  </w:style>
  <w:style w:type="character" w:customStyle="1" w:styleId="MSGENFONTSTYLENAMETEMPLATEROLEMSGENFONTSTYLENAMEBYROLETEXT2">
    <w:name w:val="MSG_EN_FONT_STYLE_NAME_TEMPLATE_ROLE MSG_EN_FONT_STYLE_NAME_BY_ROLE_TEXT|2_"/>
    <w:basedOn w:val="DefaultParagraphFont"/>
    <w:rsid w:val="00AC1C64"/>
    <w:rPr>
      <w:rFonts w:ascii="Calibri" w:eastAsia="Calibri" w:hAnsi="Calibri" w:cs="Calibri"/>
      <w:b w:val="0"/>
      <w:bCs w:val="0"/>
      <w:i w:val="0"/>
      <w:iCs w:val="0"/>
      <w:smallCaps w:val="0"/>
      <w:strike w:val="0"/>
      <w:sz w:val="18"/>
      <w:szCs w:val="18"/>
      <w:u w:val="none"/>
    </w:rPr>
  </w:style>
  <w:style w:type="character" w:customStyle="1" w:styleId="MSGENFONTSTYLENAMETEMPLATEROLELEVELMSGENFONTSTYLENAMEBYROLEHEADING11">
    <w:name w:val="MSG_EN_FONT_STYLE_NAME_TEMPLATE_ROLE_LEVEL MSG_EN_FONT_STYLE_NAME_BY_ROLE_HEADING 1|1_"/>
    <w:basedOn w:val="DefaultParagraphFont"/>
    <w:link w:val="MSGENFONTSTYLENAMETEMPLATEROLELEVELMSGENFONTSTYLENAMEBYROLEHEADING110"/>
    <w:rsid w:val="00AC1C64"/>
    <w:rPr>
      <w:rFonts w:ascii="Calibri" w:eastAsia="Calibri" w:hAnsi="Calibri" w:cs="Calibri"/>
      <w:b/>
      <w:bCs/>
      <w:sz w:val="26"/>
      <w:szCs w:val="26"/>
      <w:shd w:val="clear" w:color="auto" w:fill="FFFFFF"/>
    </w:rPr>
  </w:style>
  <w:style w:type="character" w:customStyle="1" w:styleId="MSGENFONTSTYLENAMETEMPLATEROLEMSGENFONTSTYLENAMEBYROLETEXT2MSGENFONTSTYLEMODIFERBOLD">
    <w:name w:val="MSG_EN_FONT_STYLE_NAME_TEMPLATE_ROLE MSG_EN_FONT_STYLE_NAME_BY_ROLE_TEXT|2 + MSG_EN_FONT_STYLE_MODIFER_BOLD"/>
    <w:basedOn w:val="MSGENFONTSTYLENAMETEMPLATEROLEMSGENFONTSTYLENAMEBYROLETEXT2"/>
    <w:rsid w:val="00AC1C64"/>
    <w:rPr>
      <w:rFonts w:ascii="Calibri" w:eastAsia="Calibri" w:hAnsi="Calibri" w:cs="Calibri"/>
      <w:b/>
      <w:bCs/>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20">
    <w:name w:val="MSG_EN_FONT_STYLE_NAME_TEMPLATE_ROLE MSG_EN_FONT_STYLE_NAME_BY_ROLE_TEXT|2"/>
    <w:basedOn w:val="MSGENFONTSTYLENAMETEMPLATEROLEMSGENFONTSTYLENAMEBYROLETEXT2"/>
    <w:rsid w:val="00AC1C64"/>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3">
    <w:name w:val="MSG_EN_FONT_STYLE_NAME_TEMPLATE_ROLE MSG_EN_FONT_STYLE_NAME_BY_ROLE_TEXT|3_"/>
    <w:basedOn w:val="DefaultParagraphFont"/>
    <w:rsid w:val="00AC1C64"/>
    <w:rPr>
      <w:rFonts w:ascii="Calibri" w:eastAsia="Calibri" w:hAnsi="Calibri" w:cs="Calibri"/>
      <w:b/>
      <w:bCs/>
      <w:i w:val="0"/>
      <w:iCs w:val="0"/>
      <w:smallCaps w:val="0"/>
      <w:strike w:val="0"/>
      <w:sz w:val="18"/>
      <w:szCs w:val="18"/>
      <w:u w:val="none"/>
    </w:rPr>
  </w:style>
  <w:style w:type="character" w:customStyle="1" w:styleId="MSGENFONTSTYLENAMETEMPLATEROLEMSGENFONTSTYLENAMEBYROLETEXT30">
    <w:name w:val="MSG_EN_FONT_STYLE_NAME_TEMPLATE_ROLE MSG_EN_FONT_STYLE_NAME_BY_ROLE_TEXT|3"/>
    <w:basedOn w:val="MSGENFONTSTYLENAMETEMPLATEROLEMSGENFONTSTYLENAMEBYROLETEXT3"/>
    <w:rsid w:val="00AC1C64"/>
    <w:rPr>
      <w:rFonts w:ascii="Calibri" w:eastAsia="Calibri" w:hAnsi="Calibri" w:cs="Calibri"/>
      <w:b/>
      <w:bCs/>
      <w:i w:val="0"/>
      <w:iCs w:val="0"/>
      <w:smallCaps w:val="0"/>
      <w:strike w:val="0"/>
      <w:color w:val="000000"/>
      <w:spacing w:val="0"/>
      <w:w w:val="100"/>
      <w:position w:val="0"/>
      <w:sz w:val="18"/>
      <w:szCs w:val="18"/>
      <w:u w:val="single"/>
      <w:lang w:val="en-GB" w:eastAsia="en-GB" w:bidi="en-GB"/>
    </w:rPr>
  </w:style>
  <w:style w:type="paragraph" w:customStyle="1" w:styleId="MSGENFONTSTYLENAMETEMPLATEROLELEVELMSGENFONTSTYLENAMEBYROLEHEADING110">
    <w:name w:val="MSG_EN_FONT_STYLE_NAME_TEMPLATE_ROLE_LEVEL MSG_EN_FONT_STYLE_NAME_BY_ROLE_HEADING 1|1"/>
    <w:basedOn w:val="Normal"/>
    <w:link w:val="MSGENFONTSTYLENAMETEMPLATEROLELEVELMSGENFONTSTYLENAMEBYROLEHEADING11"/>
    <w:rsid w:val="00AC1C64"/>
    <w:pPr>
      <w:widowControl w:val="0"/>
      <w:shd w:val="clear" w:color="auto" w:fill="FFFFFF"/>
      <w:spacing w:before="480" w:line="318" w:lineRule="exact"/>
      <w:outlineLvl w:val="0"/>
    </w:pPr>
    <w:rPr>
      <w:rFonts w:ascii="Calibri" w:eastAsia="Calibri" w:hAnsi="Calibri" w:cs="Calibri"/>
      <w:b/>
      <w:bCs/>
      <w:sz w:val="26"/>
      <w:szCs w:val="26"/>
    </w:rPr>
  </w:style>
  <w:style w:type="table" w:customStyle="1" w:styleId="TableGrid1">
    <w:name w:val="Table Grid1"/>
    <w:basedOn w:val="TableNormal"/>
    <w:next w:val="TableGrid"/>
    <w:rsid w:val="00255D5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Justified">
    <w:name w:val="Style Body Text + Justified"/>
    <w:basedOn w:val="BodyText"/>
    <w:rsid w:val="00D42BF5"/>
    <w:pPr>
      <w:widowControl/>
      <w:autoSpaceDE/>
      <w:autoSpaceDN/>
      <w:spacing w:after="120"/>
      <w:ind w:left="567"/>
      <w:jc w:val="both"/>
    </w:pPr>
    <w:rPr>
      <w:rFonts w:ascii="Times New Roman" w:hAnsi="Times New Roman" w:cs="Times New Roman"/>
      <w:sz w:val="24"/>
      <w:szCs w:val="20"/>
      <w:lang w:val="en-GB"/>
    </w:rPr>
  </w:style>
  <w:style w:type="character" w:customStyle="1" w:styleId="Heading5Char">
    <w:name w:val="Heading 5 Char"/>
    <w:basedOn w:val="DefaultParagraphFont"/>
    <w:link w:val="Heading5"/>
    <w:rsid w:val="002B43CC"/>
    <w:rPr>
      <w:rFonts w:ascii="Times New Roman" w:eastAsia="Times New Roman" w:hAnsi="Times New Roman" w:cs="Times New Roman"/>
      <w:b/>
      <w:i/>
      <w:sz w:val="24"/>
      <w:szCs w:val="20"/>
      <w:u w:val="single"/>
    </w:rPr>
  </w:style>
  <w:style w:type="character" w:customStyle="1" w:styleId="Heading6Char">
    <w:name w:val="Heading 6 Char"/>
    <w:basedOn w:val="DefaultParagraphFont"/>
    <w:link w:val="Heading6"/>
    <w:rsid w:val="002B43CC"/>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2B43CC"/>
    <w:rPr>
      <w:rFonts w:ascii="Arial" w:eastAsia="Times New Roman" w:hAnsi="Arial" w:cs="Times New Roman"/>
      <w:sz w:val="24"/>
      <w:szCs w:val="20"/>
    </w:rPr>
  </w:style>
  <w:style w:type="character" w:customStyle="1" w:styleId="Heading8Char">
    <w:name w:val="Heading 8 Char"/>
    <w:basedOn w:val="DefaultParagraphFont"/>
    <w:link w:val="Heading8"/>
    <w:rsid w:val="002B43CC"/>
    <w:rPr>
      <w:rFonts w:ascii="Arial" w:eastAsia="Times New Roman" w:hAnsi="Arial" w:cs="Times New Roman"/>
      <w:i/>
      <w:sz w:val="24"/>
      <w:szCs w:val="20"/>
    </w:rPr>
  </w:style>
  <w:style w:type="character" w:customStyle="1" w:styleId="Heading9Char">
    <w:name w:val="Heading 9 Char"/>
    <w:basedOn w:val="DefaultParagraphFont"/>
    <w:link w:val="Heading9"/>
    <w:rsid w:val="002B43CC"/>
    <w:rPr>
      <w:rFonts w:ascii="Arial" w:eastAsia="Times New Roman" w:hAnsi="Arial" w:cs="Times New Roman"/>
      <w:b/>
      <w:i/>
      <w:szCs w:val="20"/>
    </w:rPr>
  </w:style>
  <w:style w:type="paragraph" w:styleId="BodyTextIndent2">
    <w:name w:val="Body Text Indent 2"/>
    <w:basedOn w:val="Normal"/>
    <w:link w:val="BodyTextIndent2Char"/>
    <w:uiPriority w:val="99"/>
    <w:unhideWhenUsed/>
    <w:rsid w:val="00C103CC"/>
    <w:pPr>
      <w:spacing w:after="120" w:line="480" w:lineRule="auto"/>
      <w:ind w:left="283"/>
    </w:pPr>
  </w:style>
  <w:style w:type="character" w:customStyle="1" w:styleId="BodyTextIndent2Char">
    <w:name w:val="Body Text Indent 2 Char"/>
    <w:basedOn w:val="DefaultParagraphFont"/>
    <w:link w:val="BodyTextIndent2"/>
    <w:uiPriority w:val="99"/>
    <w:rsid w:val="00C103CC"/>
  </w:style>
  <w:style w:type="paragraph" w:customStyle="1" w:styleId="ReportPara">
    <w:name w:val="Report Para"/>
    <w:basedOn w:val="Normal"/>
    <w:rsid w:val="005903C0"/>
    <w:pPr>
      <w:tabs>
        <w:tab w:val="left" w:pos="851"/>
        <w:tab w:val="left" w:pos="1134"/>
        <w:tab w:val="left" w:pos="1701"/>
        <w:tab w:val="right" w:pos="4678"/>
      </w:tabs>
      <w:spacing w:before="120" w:after="120"/>
      <w:ind w:right="142"/>
      <w:jc w:val="both"/>
    </w:pPr>
    <w:rPr>
      <w:rFonts w:ascii="Times New Roman" w:eastAsia="Times New Roman" w:hAnsi="Times New Roman" w:cs="Times New Roman"/>
      <w:sz w:val="22"/>
      <w:szCs w:val="20"/>
    </w:rPr>
  </w:style>
  <w:style w:type="paragraph" w:customStyle="1" w:styleId="NewReport">
    <w:name w:val="NewReport"/>
    <w:basedOn w:val="ReportPara"/>
    <w:link w:val="NewReportChar"/>
    <w:rsid w:val="005903C0"/>
    <w:pPr>
      <w:ind w:right="144"/>
    </w:pPr>
    <w:rPr>
      <w:rFonts w:ascii="Arial Narrow" w:hAnsi="Arial Narrow"/>
    </w:rPr>
  </w:style>
  <w:style w:type="character" w:customStyle="1" w:styleId="NewReportChar">
    <w:name w:val="NewReport Char"/>
    <w:link w:val="NewReport"/>
    <w:rsid w:val="005903C0"/>
    <w:rPr>
      <w:rFonts w:ascii="Arial Narrow" w:eastAsia="Times New Roman" w:hAnsi="Arial Narrow" w:cs="Times New Roman"/>
      <w:sz w:val="22"/>
      <w:szCs w:val="20"/>
    </w:rPr>
  </w:style>
  <w:style w:type="paragraph" w:styleId="NormalWeb">
    <w:name w:val="Normal (Web)"/>
    <w:basedOn w:val="Normal"/>
    <w:rsid w:val="004154F4"/>
    <w:pPr>
      <w:spacing w:after="240" w:line="336" w:lineRule="atLeast"/>
    </w:pPr>
    <w:rPr>
      <w:rFonts w:ascii="Verdana" w:eastAsia="Arial Unicode MS" w:hAnsi="Verdana" w:cs="Meta Plus Bold"/>
      <w:color w:val="000000"/>
      <w:sz w:val="17"/>
      <w:szCs w:val="17"/>
    </w:rPr>
  </w:style>
  <w:style w:type="character" w:styleId="Strong">
    <w:name w:val="Strong"/>
    <w:uiPriority w:val="22"/>
    <w:qFormat/>
    <w:rsid w:val="004154F4"/>
    <w:rPr>
      <w:b/>
      <w:bCs/>
    </w:rPr>
  </w:style>
  <w:style w:type="paragraph" w:styleId="BodyText2">
    <w:name w:val="Body Text 2"/>
    <w:basedOn w:val="Normal"/>
    <w:link w:val="BodyText2Char"/>
    <w:rsid w:val="004154F4"/>
    <w:rPr>
      <w:rFonts w:eastAsia="Times New Roman" w:cs="Times New Roman"/>
      <w:color w:val="666666"/>
      <w:sz w:val="22"/>
      <w:szCs w:val="20"/>
    </w:rPr>
  </w:style>
  <w:style w:type="character" w:customStyle="1" w:styleId="BodyText2Char">
    <w:name w:val="Body Text 2 Char"/>
    <w:basedOn w:val="DefaultParagraphFont"/>
    <w:link w:val="BodyText2"/>
    <w:rsid w:val="004154F4"/>
    <w:rPr>
      <w:rFonts w:eastAsia="Times New Roman" w:cs="Times New Roman"/>
      <w:color w:val="666666"/>
      <w:sz w:val="22"/>
      <w:szCs w:val="20"/>
    </w:rPr>
  </w:style>
  <w:style w:type="paragraph" w:styleId="BodyText3">
    <w:name w:val="Body Text 3"/>
    <w:basedOn w:val="Normal"/>
    <w:link w:val="BodyText3Char"/>
    <w:rsid w:val="004154F4"/>
    <w:rPr>
      <w:rFonts w:eastAsia="Times New Roman" w:cs="Times New Roman"/>
      <w:snapToGrid w:val="0"/>
      <w:color w:val="FF00FF"/>
      <w:sz w:val="22"/>
      <w:szCs w:val="20"/>
    </w:rPr>
  </w:style>
  <w:style w:type="character" w:customStyle="1" w:styleId="BodyText3Char">
    <w:name w:val="Body Text 3 Char"/>
    <w:basedOn w:val="DefaultParagraphFont"/>
    <w:link w:val="BodyText3"/>
    <w:rsid w:val="004154F4"/>
    <w:rPr>
      <w:rFonts w:eastAsia="Times New Roman" w:cs="Times New Roman"/>
      <w:snapToGrid w:val="0"/>
      <w:color w:val="FF00FF"/>
      <w:sz w:val="22"/>
      <w:szCs w:val="20"/>
    </w:rPr>
  </w:style>
  <w:style w:type="paragraph" w:customStyle="1" w:styleId="PARA511">
    <w:name w:val="PARA 5.1.1"/>
    <w:basedOn w:val="Normal"/>
    <w:rsid w:val="004154F4"/>
    <w:pPr>
      <w:numPr>
        <w:numId w:val="7"/>
      </w:numPr>
      <w:spacing w:after="120" w:line="312" w:lineRule="auto"/>
      <w:jc w:val="both"/>
    </w:pPr>
    <w:rPr>
      <w:rFonts w:ascii="Verdana" w:eastAsia="Times New Roman" w:hAnsi="Verdana" w:cs="Times New Roman"/>
      <w:snapToGrid w:val="0"/>
      <w:color w:val="000000"/>
      <w:sz w:val="22"/>
      <w:szCs w:val="20"/>
    </w:rPr>
  </w:style>
  <w:style w:type="paragraph" w:customStyle="1" w:styleId="tablecopy">
    <w:name w:val="table copy"/>
    <w:basedOn w:val="bodycopy"/>
    <w:rsid w:val="004154F4"/>
    <w:rPr>
      <w:sz w:val="19"/>
    </w:rPr>
  </w:style>
  <w:style w:type="paragraph" w:customStyle="1" w:styleId="bodycopy">
    <w:name w:val="body copy"/>
    <w:basedOn w:val="Normal"/>
    <w:autoRedefine/>
    <w:rsid w:val="004154F4"/>
    <w:pPr>
      <w:widowControl w:val="0"/>
      <w:spacing w:line="360" w:lineRule="auto"/>
    </w:pPr>
    <w:rPr>
      <w:rFonts w:ascii="Verdana" w:eastAsia="Times New Roman" w:hAnsi="Verdana" w:cs="Times New Roman"/>
      <w:snapToGrid w:val="0"/>
      <w:color w:val="000000"/>
      <w:sz w:val="22"/>
      <w:szCs w:val="20"/>
    </w:rPr>
  </w:style>
  <w:style w:type="paragraph" w:customStyle="1" w:styleId="subheading">
    <w:name w:val="subheading"/>
    <w:basedOn w:val="Normal"/>
    <w:rsid w:val="004154F4"/>
    <w:pPr>
      <w:spacing w:line="312" w:lineRule="auto"/>
    </w:pPr>
    <w:rPr>
      <w:rFonts w:ascii="Verdana" w:eastAsia="Times New Roman" w:hAnsi="Verdana" w:cs="Times New Roman"/>
      <w:b/>
      <w:snapToGrid w:val="0"/>
      <w:color w:val="000000"/>
      <w:sz w:val="20"/>
      <w:szCs w:val="20"/>
    </w:rPr>
  </w:style>
  <w:style w:type="paragraph" w:customStyle="1" w:styleId="mainheading">
    <w:name w:val="main heading"/>
    <w:basedOn w:val="Normal"/>
    <w:autoRedefine/>
    <w:rsid w:val="004154F4"/>
    <w:rPr>
      <w:rFonts w:eastAsia="Times New Roman" w:cs="Times New Roman"/>
      <w:b/>
      <w:snapToGrid w:val="0"/>
      <w:color w:val="000000"/>
      <w:sz w:val="52"/>
      <w:szCs w:val="52"/>
    </w:rPr>
  </w:style>
  <w:style w:type="character" w:styleId="Emphasis">
    <w:name w:val="Emphasis"/>
    <w:qFormat/>
    <w:rsid w:val="004154F4"/>
    <w:rPr>
      <w:i/>
    </w:rPr>
  </w:style>
  <w:style w:type="paragraph" w:customStyle="1" w:styleId="CM5">
    <w:name w:val="CM5"/>
    <w:basedOn w:val="Default"/>
    <w:next w:val="Default"/>
    <w:rsid w:val="004154F4"/>
    <w:pPr>
      <w:widowControl w:val="0"/>
    </w:pPr>
    <w:rPr>
      <w:rFonts w:ascii="Meta Plus Bold" w:hAnsi="Meta Plus Bold" w:cs="Times New Roman"/>
      <w:color w:val="auto"/>
    </w:rPr>
  </w:style>
  <w:style w:type="paragraph" w:customStyle="1" w:styleId="CM31">
    <w:name w:val="CM31"/>
    <w:basedOn w:val="Default"/>
    <w:next w:val="Default"/>
    <w:rsid w:val="004154F4"/>
    <w:pPr>
      <w:widowControl w:val="0"/>
      <w:spacing w:after="270"/>
    </w:pPr>
    <w:rPr>
      <w:rFonts w:ascii="Meta Plus Bold" w:hAnsi="Meta Plus Bold" w:cs="Times New Roman"/>
      <w:color w:val="auto"/>
    </w:rPr>
  </w:style>
  <w:style w:type="paragraph" w:customStyle="1" w:styleId="CM7">
    <w:name w:val="CM7"/>
    <w:basedOn w:val="Default"/>
    <w:next w:val="Default"/>
    <w:rsid w:val="004154F4"/>
    <w:pPr>
      <w:widowControl w:val="0"/>
      <w:spacing w:line="260" w:lineRule="atLeast"/>
    </w:pPr>
    <w:rPr>
      <w:rFonts w:ascii="Meta Plus Bold" w:hAnsi="Meta Plus Bold" w:cs="Times New Roman"/>
      <w:color w:val="auto"/>
    </w:rPr>
  </w:style>
  <w:style w:type="paragraph" w:customStyle="1" w:styleId="CM35">
    <w:name w:val="CM35"/>
    <w:basedOn w:val="Default"/>
    <w:next w:val="Default"/>
    <w:rsid w:val="004154F4"/>
    <w:pPr>
      <w:widowControl w:val="0"/>
      <w:spacing w:after="490"/>
    </w:pPr>
    <w:rPr>
      <w:rFonts w:ascii="Meta Plus Bold" w:hAnsi="Meta Plus Bold" w:cs="Times New Roman"/>
      <w:color w:val="auto"/>
    </w:rPr>
  </w:style>
  <w:style w:type="paragraph" w:customStyle="1" w:styleId="CM17">
    <w:name w:val="CM17"/>
    <w:basedOn w:val="Default"/>
    <w:next w:val="Default"/>
    <w:rsid w:val="004154F4"/>
    <w:pPr>
      <w:widowControl w:val="0"/>
      <w:spacing w:line="260" w:lineRule="atLeast"/>
    </w:pPr>
    <w:rPr>
      <w:rFonts w:ascii="Meta Plus Bold" w:hAnsi="Meta Plus Bold" w:cs="Times New Roman"/>
      <w:color w:val="auto"/>
    </w:rPr>
  </w:style>
  <w:style w:type="paragraph" w:customStyle="1" w:styleId="CM9">
    <w:name w:val="CM9"/>
    <w:basedOn w:val="Default"/>
    <w:next w:val="Default"/>
    <w:rsid w:val="004154F4"/>
    <w:pPr>
      <w:widowControl w:val="0"/>
      <w:spacing w:line="260" w:lineRule="atLeast"/>
    </w:pPr>
    <w:rPr>
      <w:rFonts w:ascii="Meta Plus Bold" w:hAnsi="Meta Plus Bold" w:cs="Times New Roman"/>
      <w:color w:val="auto"/>
    </w:rPr>
  </w:style>
  <w:style w:type="paragraph" w:customStyle="1" w:styleId="CM21">
    <w:name w:val="CM21"/>
    <w:basedOn w:val="Default"/>
    <w:next w:val="Default"/>
    <w:rsid w:val="004154F4"/>
    <w:pPr>
      <w:widowControl w:val="0"/>
      <w:spacing w:line="260" w:lineRule="atLeast"/>
    </w:pPr>
    <w:rPr>
      <w:rFonts w:ascii="Meta Plus Bold" w:hAnsi="Meta Plus Bold" w:cs="Times New Roman"/>
      <w:color w:val="auto"/>
    </w:rPr>
  </w:style>
  <w:style w:type="paragraph" w:customStyle="1" w:styleId="CM22">
    <w:name w:val="CM22"/>
    <w:basedOn w:val="Default"/>
    <w:next w:val="Default"/>
    <w:rsid w:val="004154F4"/>
    <w:pPr>
      <w:widowControl w:val="0"/>
      <w:spacing w:line="260" w:lineRule="atLeast"/>
    </w:pPr>
    <w:rPr>
      <w:rFonts w:ascii="Meta Plus Bold" w:hAnsi="Meta Plus Bold" w:cs="Times New Roman"/>
      <w:color w:val="auto"/>
    </w:rPr>
  </w:style>
  <w:style w:type="paragraph" w:customStyle="1" w:styleId="CM39">
    <w:name w:val="CM39"/>
    <w:basedOn w:val="Default"/>
    <w:next w:val="Default"/>
    <w:rsid w:val="004154F4"/>
    <w:pPr>
      <w:widowControl w:val="0"/>
      <w:spacing w:after="860"/>
    </w:pPr>
    <w:rPr>
      <w:rFonts w:ascii="Meta Plus Bold" w:hAnsi="Meta Plus Bold" w:cs="Times New Roman"/>
      <w:color w:val="auto"/>
    </w:rPr>
  </w:style>
  <w:style w:type="paragraph" w:customStyle="1" w:styleId="CM30">
    <w:name w:val="CM30"/>
    <w:basedOn w:val="Default"/>
    <w:next w:val="Default"/>
    <w:rsid w:val="004154F4"/>
    <w:pPr>
      <w:widowControl w:val="0"/>
      <w:spacing w:after="188"/>
    </w:pPr>
    <w:rPr>
      <w:rFonts w:ascii="Meta Plus Bold" w:hAnsi="Meta Plus Bold" w:cs="Times New Roman"/>
      <w:color w:val="auto"/>
    </w:rPr>
  </w:style>
  <w:style w:type="paragraph" w:customStyle="1" w:styleId="CM32">
    <w:name w:val="CM32"/>
    <w:basedOn w:val="Default"/>
    <w:next w:val="Default"/>
    <w:rsid w:val="004154F4"/>
    <w:pPr>
      <w:widowControl w:val="0"/>
      <w:spacing w:after="558"/>
    </w:pPr>
    <w:rPr>
      <w:rFonts w:ascii="Meta Plus Bold" w:hAnsi="Meta Plus Bold" w:cs="Times New Roman"/>
      <w:color w:val="auto"/>
    </w:rPr>
  </w:style>
  <w:style w:type="paragraph" w:customStyle="1" w:styleId="CM41">
    <w:name w:val="CM41"/>
    <w:basedOn w:val="Default"/>
    <w:next w:val="Default"/>
    <w:rsid w:val="004154F4"/>
    <w:pPr>
      <w:widowControl w:val="0"/>
      <w:spacing w:after="420"/>
    </w:pPr>
    <w:rPr>
      <w:rFonts w:ascii="Meta Plus Bold" w:hAnsi="Meta Plus Bold" w:cs="Times New Roman"/>
      <w:color w:val="auto"/>
    </w:rPr>
  </w:style>
  <w:style w:type="paragraph" w:customStyle="1" w:styleId="CM13">
    <w:name w:val="CM13"/>
    <w:basedOn w:val="Default"/>
    <w:next w:val="Default"/>
    <w:rsid w:val="004154F4"/>
    <w:pPr>
      <w:widowControl w:val="0"/>
      <w:spacing w:line="260" w:lineRule="atLeast"/>
    </w:pPr>
    <w:rPr>
      <w:rFonts w:ascii="Meta Plus Bold" w:hAnsi="Meta Plus Bold" w:cs="Times New Roman"/>
      <w:color w:val="auto"/>
    </w:rPr>
  </w:style>
  <w:style w:type="paragraph" w:customStyle="1" w:styleId="CM38">
    <w:name w:val="CM38"/>
    <w:basedOn w:val="Default"/>
    <w:next w:val="Default"/>
    <w:rsid w:val="004154F4"/>
    <w:pPr>
      <w:widowControl w:val="0"/>
      <w:spacing w:after="90"/>
    </w:pPr>
    <w:rPr>
      <w:rFonts w:ascii="Meta Plus Bold" w:hAnsi="Meta Plus Bold" w:cs="Times New Roman"/>
      <w:color w:val="auto"/>
    </w:rPr>
  </w:style>
  <w:style w:type="paragraph" w:customStyle="1" w:styleId="CM42">
    <w:name w:val="CM42"/>
    <w:basedOn w:val="Default"/>
    <w:next w:val="Default"/>
    <w:rsid w:val="004154F4"/>
    <w:pPr>
      <w:widowControl w:val="0"/>
      <w:spacing w:after="1268"/>
    </w:pPr>
    <w:rPr>
      <w:rFonts w:ascii="Meta Plus Bold" w:hAnsi="Meta Plus Bold" w:cs="Times New Roman"/>
      <w:color w:val="auto"/>
    </w:rPr>
  </w:style>
  <w:style w:type="paragraph" w:customStyle="1" w:styleId="CM28">
    <w:name w:val="CM28"/>
    <w:basedOn w:val="Default"/>
    <w:next w:val="Default"/>
    <w:rsid w:val="004154F4"/>
    <w:pPr>
      <w:widowControl w:val="0"/>
      <w:spacing w:line="200" w:lineRule="atLeast"/>
    </w:pPr>
    <w:rPr>
      <w:rFonts w:ascii="Meta Plus Bold" w:hAnsi="Meta Plus Bold" w:cs="Times New Roman"/>
      <w:color w:val="auto"/>
    </w:rPr>
  </w:style>
  <w:style w:type="paragraph" w:customStyle="1" w:styleId="CM29">
    <w:name w:val="CM29"/>
    <w:basedOn w:val="Default"/>
    <w:next w:val="Default"/>
    <w:rsid w:val="004154F4"/>
    <w:pPr>
      <w:widowControl w:val="0"/>
      <w:spacing w:line="200" w:lineRule="atLeast"/>
    </w:pPr>
    <w:rPr>
      <w:rFonts w:ascii="Meta Plus Bold" w:hAnsi="Meta Plus Bold" w:cs="Times New Roman"/>
      <w:color w:val="auto"/>
    </w:rPr>
  </w:style>
  <w:style w:type="paragraph" w:customStyle="1" w:styleId="CM33">
    <w:name w:val="CM33"/>
    <w:basedOn w:val="Default"/>
    <w:next w:val="Default"/>
    <w:rsid w:val="004154F4"/>
    <w:pPr>
      <w:widowControl w:val="0"/>
      <w:spacing w:after="930"/>
    </w:pPr>
    <w:rPr>
      <w:rFonts w:ascii="Meta Plus Bold" w:hAnsi="Meta Plus Bold" w:cs="Times New Roman"/>
      <w:color w:val="auto"/>
    </w:rPr>
  </w:style>
  <w:style w:type="paragraph" w:customStyle="1" w:styleId="chapterheading">
    <w:name w:val="chapter heading"/>
    <w:basedOn w:val="mainheading"/>
    <w:rsid w:val="004154F4"/>
    <w:rPr>
      <w:caps/>
      <w:sz w:val="80"/>
      <w:szCs w:val="28"/>
    </w:rPr>
  </w:style>
  <w:style w:type="paragraph" w:customStyle="1" w:styleId="chapterexplanation">
    <w:name w:val="chapter explanation"/>
    <w:basedOn w:val="Normal"/>
    <w:rsid w:val="004154F4"/>
    <w:rPr>
      <w:rFonts w:eastAsia="Times New Roman" w:cs="Times New Roman"/>
      <w:b/>
      <w:caps/>
      <w:snapToGrid w:val="0"/>
      <w:color w:val="000000"/>
      <w:sz w:val="32"/>
      <w:szCs w:val="32"/>
    </w:rPr>
  </w:style>
  <w:style w:type="character" w:customStyle="1" w:styleId="chapterexplanationChar">
    <w:name w:val="chapter explanation Char"/>
    <w:rsid w:val="004154F4"/>
    <w:rPr>
      <w:rFonts w:ascii="Trebuchet MS" w:hAnsi="Trebuchet MS"/>
      <w:b/>
      <w:caps/>
      <w:noProof w:val="0"/>
      <w:snapToGrid w:val="0"/>
      <w:color w:val="000000"/>
      <w:sz w:val="32"/>
      <w:szCs w:val="32"/>
      <w:lang w:val="en-GB" w:eastAsia="en-US" w:bidi="ar-SA"/>
    </w:rPr>
  </w:style>
  <w:style w:type="paragraph" w:customStyle="1" w:styleId="Stylechapterexplanation14pt">
    <w:name w:val="Style chapter explanation + 14 pt"/>
    <w:basedOn w:val="chapterexplanation"/>
    <w:rsid w:val="004154F4"/>
    <w:rPr>
      <w:bCs/>
      <w:caps w:val="0"/>
      <w:sz w:val="28"/>
      <w:szCs w:val="28"/>
    </w:rPr>
  </w:style>
  <w:style w:type="character" w:customStyle="1" w:styleId="Stylechapterexplanation14ptChar">
    <w:name w:val="Style chapter explanation + 14 pt Char"/>
    <w:rsid w:val="004154F4"/>
    <w:rPr>
      <w:rFonts w:ascii="Trebuchet MS" w:hAnsi="Trebuchet MS"/>
      <w:b/>
      <w:bCs/>
      <w:caps/>
      <w:noProof w:val="0"/>
      <w:snapToGrid w:val="0"/>
      <w:color w:val="000000"/>
      <w:sz w:val="28"/>
      <w:szCs w:val="28"/>
      <w:lang w:val="en-GB" w:eastAsia="en-US" w:bidi="ar-SA"/>
    </w:rPr>
  </w:style>
  <w:style w:type="paragraph" w:customStyle="1" w:styleId="numberalignedbullet">
    <w:name w:val="number aligned bullet"/>
    <w:basedOn w:val="Normal"/>
    <w:rsid w:val="004154F4"/>
    <w:pPr>
      <w:numPr>
        <w:numId w:val="8"/>
      </w:numPr>
    </w:pPr>
    <w:rPr>
      <w:rFonts w:ascii="Times New Roman" w:eastAsia="Times New Roman" w:hAnsi="Times New Roman" w:cs="Times New Roman"/>
      <w:sz w:val="20"/>
      <w:szCs w:val="20"/>
    </w:rPr>
  </w:style>
  <w:style w:type="paragraph" w:styleId="BodyTextIndent">
    <w:name w:val="Body Text Indent"/>
    <w:basedOn w:val="Normal"/>
    <w:link w:val="BodyTextIndentChar"/>
    <w:rsid w:val="004154F4"/>
    <w:pPr>
      <w:spacing w:after="120"/>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154F4"/>
    <w:rPr>
      <w:rFonts w:ascii="Times New Roman" w:eastAsia="Times New Roman" w:hAnsi="Times New Roman" w:cs="Times New Roman"/>
      <w:sz w:val="20"/>
      <w:szCs w:val="20"/>
    </w:rPr>
  </w:style>
  <w:style w:type="paragraph" w:customStyle="1" w:styleId="p2paragraph">
    <w:name w:val="p2paragraph"/>
    <w:basedOn w:val="Normal"/>
    <w:rsid w:val="004154F4"/>
    <w:pPr>
      <w:spacing w:before="100" w:beforeAutospacing="1" w:after="100" w:afterAutospacing="1"/>
    </w:pPr>
    <w:rPr>
      <w:rFonts w:ascii="Arial" w:eastAsia="Arial Unicode MS" w:hAnsi="Arial" w:cs="Arial"/>
      <w:color w:val="000000"/>
      <w:sz w:val="26"/>
      <w:szCs w:val="26"/>
    </w:rPr>
  </w:style>
  <w:style w:type="character" w:styleId="PageNumber">
    <w:name w:val="page number"/>
    <w:basedOn w:val="DefaultParagraphFont"/>
    <w:rsid w:val="004154F4"/>
  </w:style>
  <w:style w:type="paragraph" w:customStyle="1" w:styleId="Pa9">
    <w:name w:val="Pa9"/>
    <w:basedOn w:val="Normal"/>
    <w:next w:val="Normal"/>
    <w:rsid w:val="004154F4"/>
    <w:pPr>
      <w:autoSpaceDE w:val="0"/>
      <w:autoSpaceDN w:val="0"/>
      <w:adjustRightInd w:val="0"/>
      <w:spacing w:line="241" w:lineRule="atLeast"/>
    </w:pPr>
    <w:rPr>
      <w:rFonts w:ascii="Frutiger LT Std 45 Light" w:eastAsia="Times New Roman" w:hAnsi="Frutiger LT Std 45 Light" w:cs="Times New Roman"/>
      <w:sz w:val="24"/>
      <w:szCs w:val="24"/>
      <w:lang w:eastAsia="en-GB"/>
    </w:rPr>
  </w:style>
  <w:style w:type="paragraph" w:customStyle="1" w:styleId="Pa10">
    <w:name w:val="Pa10"/>
    <w:basedOn w:val="Normal"/>
    <w:next w:val="Normal"/>
    <w:rsid w:val="004154F4"/>
    <w:pPr>
      <w:autoSpaceDE w:val="0"/>
      <w:autoSpaceDN w:val="0"/>
      <w:adjustRightInd w:val="0"/>
      <w:spacing w:line="161" w:lineRule="atLeast"/>
    </w:pPr>
    <w:rPr>
      <w:rFonts w:ascii="Frutiger LT Std 45 Light" w:eastAsia="Times New Roman" w:hAnsi="Frutiger LT Std 45 Light" w:cs="Times New Roman"/>
      <w:sz w:val="24"/>
      <w:szCs w:val="24"/>
      <w:lang w:eastAsia="en-GB"/>
    </w:rPr>
  </w:style>
  <w:style w:type="character" w:customStyle="1" w:styleId="A6">
    <w:name w:val="A6"/>
    <w:rsid w:val="004154F4"/>
    <w:rPr>
      <w:rFonts w:cs="Frutiger LT Std 45 Light"/>
      <w:color w:val="000000"/>
      <w:sz w:val="20"/>
      <w:szCs w:val="20"/>
    </w:rPr>
  </w:style>
  <w:style w:type="paragraph" w:customStyle="1" w:styleId="Pa12">
    <w:name w:val="Pa12"/>
    <w:basedOn w:val="Default"/>
    <w:next w:val="Default"/>
    <w:rsid w:val="004154F4"/>
    <w:pPr>
      <w:spacing w:line="241" w:lineRule="atLeast"/>
    </w:pPr>
    <w:rPr>
      <w:rFonts w:ascii="Frutiger LT Std 45 Light" w:hAnsi="Frutiger LT Std 45 Light" w:cs="Times New Roman"/>
      <w:color w:val="auto"/>
      <w:lang w:val="en-GB" w:eastAsia="en-GB"/>
    </w:rPr>
  </w:style>
  <w:style w:type="paragraph" w:customStyle="1" w:styleId="Pa13">
    <w:name w:val="Pa13"/>
    <w:basedOn w:val="Default"/>
    <w:next w:val="Default"/>
    <w:rsid w:val="004154F4"/>
    <w:pPr>
      <w:spacing w:line="241" w:lineRule="atLeast"/>
    </w:pPr>
    <w:rPr>
      <w:rFonts w:ascii="Frutiger LT Std 45 Light" w:hAnsi="Frutiger LT Std 45 Light" w:cs="Times New Roman"/>
      <w:color w:val="auto"/>
      <w:lang w:val="en-GB" w:eastAsia="en-GB"/>
    </w:rPr>
  </w:style>
  <w:style w:type="paragraph" w:customStyle="1" w:styleId="Pa14">
    <w:name w:val="Pa14"/>
    <w:basedOn w:val="Default"/>
    <w:next w:val="Default"/>
    <w:rsid w:val="004154F4"/>
    <w:pPr>
      <w:spacing w:line="241" w:lineRule="atLeast"/>
    </w:pPr>
    <w:rPr>
      <w:rFonts w:ascii="Frutiger LT Std 45 Light" w:hAnsi="Frutiger LT Std 45 Light" w:cs="Times New Roman"/>
      <w:color w:val="auto"/>
      <w:lang w:val="en-GB" w:eastAsia="en-GB"/>
    </w:rPr>
  </w:style>
  <w:style w:type="paragraph" w:customStyle="1" w:styleId="BodyNumbered1">
    <w:name w:val="Body Numbered 1"/>
    <w:basedOn w:val="BodyText"/>
    <w:next w:val="BodyNumbered2"/>
    <w:rsid w:val="004154F4"/>
    <w:pPr>
      <w:keepNext/>
      <w:widowControl/>
      <w:numPr>
        <w:numId w:val="11"/>
      </w:numPr>
      <w:autoSpaceDE/>
      <w:autoSpaceDN/>
      <w:spacing w:before="360" w:after="120"/>
    </w:pPr>
    <w:rPr>
      <w:rFonts w:ascii="Arial" w:hAnsi="Arial" w:cs="Times New Roman"/>
      <w:b/>
      <w:i/>
      <w:sz w:val="26"/>
      <w:szCs w:val="20"/>
      <w:lang w:val="en-GB"/>
    </w:rPr>
  </w:style>
  <w:style w:type="paragraph" w:customStyle="1" w:styleId="BodyNumbered2">
    <w:name w:val="Body Numbered 2"/>
    <w:basedOn w:val="BodyText"/>
    <w:rsid w:val="004154F4"/>
    <w:pPr>
      <w:widowControl/>
      <w:numPr>
        <w:ilvl w:val="1"/>
        <w:numId w:val="11"/>
      </w:numPr>
      <w:autoSpaceDE/>
      <w:autoSpaceDN/>
      <w:spacing w:before="60" w:after="60"/>
    </w:pPr>
    <w:rPr>
      <w:rFonts w:ascii="Arial" w:hAnsi="Arial" w:cs="Times New Roman"/>
      <w:sz w:val="24"/>
      <w:szCs w:val="20"/>
      <w:lang w:val="en-GB"/>
    </w:rPr>
  </w:style>
  <w:style w:type="paragraph" w:customStyle="1" w:styleId="BodyNumbered3">
    <w:name w:val="Body Numbered 3"/>
    <w:basedOn w:val="BodyText"/>
    <w:rsid w:val="004154F4"/>
    <w:pPr>
      <w:widowControl/>
      <w:numPr>
        <w:ilvl w:val="2"/>
        <w:numId w:val="11"/>
      </w:numPr>
      <w:autoSpaceDE/>
      <w:autoSpaceDN/>
      <w:spacing w:before="60" w:after="60"/>
    </w:pPr>
    <w:rPr>
      <w:rFonts w:ascii="Arial" w:hAnsi="Arial" w:cs="Times New Roman"/>
      <w:sz w:val="24"/>
      <w:szCs w:val="20"/>
      <w:lang w:val="en-GB"/>
    </w:rPr>
  </w:style>
  <w:style w:type="character" w:styleId="HTMLAcronym">
    <w:name w:val="HTML Acronym"/>
    <w:basedOn w:val="DefaultParagraphFont"/>
    <w:rsid w:val="004154F4"/>
  </w:style>
  <w:style w:type="character" w:customStyle="1" w:styleId="searchword">
    <w:name w:val="searchword"/>
    <w:basedOn w:val="DefaultParagraphFont"/>
    <w:rsid w:val="0041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1060322871">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8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cid:image001.jpg@01D837A1.009D70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cid:image001.jpg@01D837A1.009D70D0"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B16694" w:rsidP="00B16694">
          <w:pPr>
            <w:pStyle w:val="68CBA6D5ACB243C5883AC53EF4918A297"/>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B16694" w:rsidP="00B16694">
          <w:pPr>
            <w:pStyle w:val="645A5992FB0F48BE90E53186A12B64984"/>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B16694" w:rsidP="00B16694">
          <w:pPr>
            <w:pStyle w:val="ABD345D267BA412DB9FD676C473BD7463"/>
          </w:pPr>
          <w:r w:rsidRPr="005B62F8">
            <w:rPr>
              <w:rStyle w:val="PlaceholderText"/>
            </w:rPr>
            <w:t>Choose an item.</w:t>
          </w:r>
        </w:p>
      </w:docPartBody>
    </w:docPart>
    <w:docPart>
      <w:docPartPr>
        <w:name w:val="01D890378CF540CCACEE356704EF769A"/>
        <w:category>
          <w:name w:val="General"/>
          <w:gallery w:val="placeholder"/>
        </w:category>
        <w:types>
          <w:type w:val="bbPlcHdr"/>
        </w:types>
        <w:behaviors>
          <w:behavior w:val="content"/>
        </w:behaviors>
        <w:guid w:val="{8E0FF26A-2C49-4BFE-B367-DA292DC8EF03}"/>
      </w:docPartPr>
      <w:docPartBody>
        <w:p w:rsidR="009B7D00" w:rsidRDefault="00B16694" w:rsidP="00B16694">
          <w:pPr>
            <w:pStyle w:val="01D890378CF540CCACEE356704EF769A2"/>
          </w:pPr>
          <w:r w:rsidRPr="005B62F8">
            <w:rPr>
              <w:rStyle w:val="PlaceholderText"/>
            </w:rPr>
            <w:t>Choose an item.</w:t>
          </w:r>
        </w:p>
      </w:docPartBody>
    </w:docPart>
    <w:docPart>
      <w:docPartPr>
        <w:name w:val="E4474DFBC37144B685678176C0474EA7"/>
        <w:category>
          <w:name w:val="General"/>
          <w:gallery w:val="placeholder"/>
        </w:category>
        <w:types>
          <w:type w:val="bbPlcHdr"/>
        </w:types>
        <w:behaviors>
          <w:behavior w:val="content"/>
        </w:behaviors>
        <w:guid w:val="{D68C2569-3C60-481F-B17F-79ECEDC1898E}"/>
      </w:docPartPr>
      <w:docPartBody>
        <w:p w:rsidR="00FE3EEC" w:rsidRDefault="00FE3EEC" w:rsidP="00FE3EEC">
          <w:pPr>
            <w:pStyle w:val="E4474DFBC37144B685678176C0474EA7"/>
          </w:pPr>
          <w:r w:rsidRPr="00771B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Plus Bol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84483"/>
    <w:rsid w:val="000C6CC7"/>
    <w:rsid w:val="00203AE7"/>
    <w:rsid w:val="002B4438"/>
    <w:rsid w:val="00371CDB"/>
    <w:rsid w:val="004620A1"/>
    <w:rsid w:val="0049016B"/>
    <w:rsid w:val="005768E1"/>
    <w:rsid w:val="00584FEE"/>
    <w:rsid w:val="006056C9"/>
    <w:rsid w:val="00625834"/>
    <w:rsid w:val="00737ED2"/>
    <w:rsid w:val="007E6491"/>
    <w:rsid w:val="008A54F5"/>
    <w:rsid w:val="008E4988"/>
    <w:rsid w:val="00995DB1"/>
    <w:rsid w:val="009B7D00"/>
    <w:rsid w:val="00A26E0C"/>
    <w:rsid w:val="00A74F8F"/>
    <w:rsid w:val="00B16694"/>
    <w:rsid w:val="00B41271"/>
    <w:rsid w:val="00C12FF7"/>
    <w:rsid w:val="00C27C1D"/>
    <w:rsid w:val="00CF0BA9"/>
    <w:rsid w:val="00CF5AFB"/>
    <w:rsid w:val="00E97DFE"/>
    <w:rsid w:val="00F072A3"/>
    <w:rsid w:val="00F32534"/>
    <w:rsid w:val="00F420E3"/>
    <w:rsid w:val="00FE3EEC"/>
    <w:rsid w:val="00FE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EEC"/>
    <w:rPr>
      <w:color w:val="808080"/>
    </w:rPr>
  </w:style>
  <w:style w:type="paragraph" w:customStyle="1" w:styleId="68CBA6D5ACB243C5883AC53EF4918A29">
    <w:name w:val="68CBA6D5ACB243C5883AC53EF4918A29"/>
    <w:rsid w:val="009B7D00"/>
    <w:pPr>
      <w:spacing w:after="0" w:line="240" w:lineRule="auto"/>
    </w:pPr>
    <w:rPr>
      <w:rFonts w:ascii="Trebuchet MS" w:eastAsiaTheme="minorHAnsi" w:hAnsi="Trebuchet MS"/>
      <w:sz w:val="18"/>
      <w:szCs w:val="18"/>
      <w:lang w:eastAsia="en-US"/>
    </w:rPr>
  </w:style>
  <w:style w:type="paragraph" w:customStyle="1" w:styleId="68CBA6D5ACB243C5883AC53EF4918A291">
    <w:name w:val="68CBA6D5ACB243C5883AC53EF4918A291"/>
    <w:rsid w:val="009B7D00"/>
    <w:pPr>
      <w:spacing w:after="0" w:line="240" w:lineRule="auto"/>
    </w:pPr>
    <w:rPr>
      <w:rFonts w:ascii="Trebuchet MS" w:eastAsiaTheme="minorHAnsi" w:hAnsi="Trebuchet MS"/>
      <w:sz w:val="18"/>
      <w:szCs w:val="18"/>
      <w:lang w:eastAsia="en-US"/>
    </w:rPr>
  </w:style>
  <w:style w:type="paragraph" w:customStyle="1" w:styleId="68CBA6D5ACB243C5883AC53EF4918A292">
    <w:name w:val="68CBA6D5ACB243C5883AC53EF4918A292"/>
    <w:rsid w:val="009B7D00"/>
    <w:pPr>
      <w:spacing w:after="0" w:line="240" w:lineRule="auto"/>
    </w:pPr>
    <w:rPr>
      <w:rFonts w:ascii="Trebuchet MS" w:eastAsiaTheme="minorHAnsi" w:hAnsi="Trebuchet MS"/>
      <w:sz w:val="18"/>
      <w:szCs w:val="18"/>
      <w:lang w:eastAsia="en-US"/>
    </w:rPr>
  </w:style>
  <w:style w:type="paragraph" w:customStyle="1" w:styleId="DEDE2DBB9FA2481DAB89783FB3D88124">
    <w:name w:val="DEDE2DBB9FA2481DAB89783FB3D88124"/>
    <w:rsid w:val="009B7D00"/>
  </w:style>
  <w:style w:type="paragraph" w:customStyle="1" w:styleId="68CBA6D5ACB243C5883AC53EF4918A293">
    <w:name w:val="68CBA6D5ACB243C5883AC53EF4918A293"/>
    <w:rsid w:val="009B7D00"/>
    <w:pPr>
      <w:spacing w:after="0" w:line="240" w:lineRule="auto"/>
    </w:pPr>
    <w:rPr>
      <w:rFonts w:ascii="Trebuchet MS" w:eastAsiaTheme="minorHAnsi" w:hAnsi="Trebuchet MS"/>
      <w:sz w:val="18"/>
      <w:szCs w:val="18"/>
      <w:lang w:eastAsia="en-US"/>
    </w:rPr>
  </w:style>
  <w:style w:type="paragraph" w:customStyle="1" w:styleId="645A5992FB0F48BE90E53186A12B6498">
    <w:name w:val="645A5992FB0F48BE90E53186A12B6498"/>
    <w:rsid w:val="009B7D00"/>
    <w:pPr>
      <w:spacing w:after="0" w:line="240" w:lineRule="auto"/>
    </w:pPr>
    <w:rPr>
      <w:rFonts w:ascii="Trebuchet MS" w:eastAsiaTheme="minorHAnsi" w:hAnsi="Trebuchet MS"/>
      <w:sz w:val="18"/>
      <w:szCs w:val="18"/>
      <w:lang w:eastAsia="en-US"/>
    </w:rPr>
  </w:style>
  <w:style w:type="paragraph" w:customStyle="1" w:styleId="68CBA6D5ACB243C5883AC53EF4918A294">
    <w:name w:val="68CBA6D5ACB243C5883AC53EF4918A294"/>
    <w:rsid w:val="009B7D00"/>
    <w:pPr>
      <w:spacing w:after="0" w:line="240" w:lineRule="auto"/>
    </w:pPr>
    <w:rPr>
      <w:rFonts w:ascii="Trebuchet MS" w:eastAsiaTheme="minorHAnsi" w:hAnsi="Trebuchet MS"/>
      <w:sz w:val="18"/>
      <w:szCs w:val="18"/>
      <w:lang w:eastAsia="en-US"/>
    </w:rPr>
  </w:style>
  <w:style w:type="paragraph" w:customStyle="1" w:styleId="645A5992FB0F48BE90E53186A12B64981">
    <w:name w:val="645A5992FB0F48BE90E53186A12B64981"/>
    <w:rsid w:val="009B7D00"/>
    <w:pPr>
      <w:spacing w:after="0" w:line="240" w:lineRule="auto"/>
    </w:pPr>
    <w:rPr>
      <w:rFonts w:ascii="Trebuchet MS" w:eastAsiaTheme="minorHAnsi" w:hAnsi="Trebuchet MS"/>
      <w:sz w:val="18"/>
      <w:szCs w:val="18"/>
      <w:lang w:eastAsia="en-US"/>
    </w:rPr>
  </w:style>
  <w:style w:type="paragraph" w:customStyle="1" w:styleId="ABD345D267BA412DB9FD676C473BD746">
    <w:name w:val="ABD345D267BA412DB9FD676C473BD746"/>
    <w:rsid w:val="009B7D00"/>
    <w:pPr>
      <w:spacing w:after="0" w:line="240" w:lineRule="auto"/>
    </w:pPr>
    <w:rPr>
      <w:rFonts w:ascii="Trebuchet MS" w:eastAsiaTheme="minorHAnsi" w:hAnsi="Trebuchet MS"/>
      <w:sz w:val="18"/>
      <w:szCs w:val="18"/>
      <w:lang w:eastAsia="en-US"/>
    </w:rPr>
  </w:style>
  <w:style w:type="paragraph" w:customStyle="1" w:styleId="68CBA6D5ACB243C5883AC53EF4918A295">
    <w:name w:val="68CBA6D5ACB243C5883AC53EF4918A295"/>
    <w:rsid w:val="009B7D00"/>
    <w:pPr>
      <w:spacing w:after="0" w:line="240" w:lineRule="auto"/>
    </w:pPr>
    <w:rPr>
      <w:rFonts w:ascii="Trebuchet MS" w:eastAsiaTheme="minorHAnsi" w:hAnsi="Trebuchet MS"/>
      <w:sz w:val="18"/>
      <w:szCs w:val="18"/>
      <w:lang w:eastAsia="en-US"/>
    </w:rPr>
  </w:style>
  <w:style w:type="paragraph" w:customStyle="1" w:styleId="645A5992FB0F48BE90E53186A12B64982">
    <w:name w:val="645A5992FB0F48BE90E53186A12B64982"/>
    <w:rsid w:val="009B7D00"/>
    <w:pPr>
      <w:spacing w:after="0" w:line="240" w:lineRule="auto"/>
    </w:pPr>
    <w:rPr>
      <w:rFonts w:ascii="Trebuchet MS" w:eastAsiaTheme="minorHAnsi" w:hAnsi="Trebuchet MS"/>
      <w:sz w:val="18"/>
      <w:szCs w:val="18"/>
      <w:lang w:eastAsia="en-US"/>
    </w:rPr>
  </w:style>
  <w:style w:type="paragraph" w:customStyle="1" w:styleId="ABD345D267BA412DB9FD676C473BD7461">
    <w:name w:val="ABD345D267BA412DB9FD676C473BD7461"/>
    <w:rsid w:val="009B7D00"/>
    <w:pPr>
      <w:spacing w:after="0" w:line="240" w:lineRule="auto"/>
    </w:pPr>
    <w:rPr>
      <w:rFonts w:ascii="Trebuchet MS" w:eastAsiaTheme="minorHAnsi" w:hAnsi="Trebuchet MS"/>
      <w:sz w:val="18"/>
      <w:szCs w:val="18"/>
      <w:lang w:eastAsia="en-US"/>
    </w:rPr>
  </w:style>
  <w:style w:type="paragraph" w:customStyle="1" w:styleId="01D890378CF540CCACEE356704EF769A">
    <w:name w:val="01D890378CF540CCACEE356704EF769A"/>
    <w:rsid w:val="009B7D00"/>
    <w:pPr>
      <w:spacing w:after="0" w:line="240" w:lineRule="auto"/>
    </w:pPr>
    <w:rPr>
      <w:rFonts w:ascii="Trebuchet MS" w:eastAsiaTheme="minorHAnsi" w:hAnsi="Trebuchet MS"/>
      <w:sz w:val="18"/>
      <w:szCs w:val="18"/>
      <w:lang w:eastAsia="en-US"/>
    </w:rPr>
  </w:style>
  <w:style w:type="paragraph" w:customStyle="1" w:styleId="68CBA6D5ACB243C5883AC53EF4918A296">
    <w:name w:val="68CBA6D5ACB243C5883AC53EF4918A296"/>
    <w:rsid w:val="00B16694"/>
    <w:pPr>
      <w:spacing w:after="0" w:line="240" w:lineRule="auto"/>
    </w:pPr>
    <w:rPr>
      <w:rFonts w:ascii="Trebuchet MS" w:eastAsiaTheme="minorHAnsi" w:hAnsi="Trebuchet MS"/>
      <w:sz w:val="18"/>
      <w:szCs w:val="18"/>
      <w:lang w:eastAsia="en-US"/>
    </w:rPr>
  </w:style>
  <w:style w:type="paragraph" w:customStyle="1" w:styleId="645A5992FB0F48BE90E53186A12B64983">
    <w:name w:val="645A5992FB0F48BE90E53186A12B64983"/>
    <w:rsid w:val="00B16694"/>
    <w:pPr>
      <w:spacing w:after="0" w:line="240" w:lineRule="auto"/>
    </w:pPr>
    <w:rPr>
      <w:rFonts w:ascii="Trebuchet MS" w:eastAsiaTheme="minorHAnsi" w:hAnsi="Trebuchet MS"/>
      <w:sz w:val="18"/>
      <w:szCs w:val="18"/>
      <w:lang w:eastAsia="en-US"/>
    </w:rPr>
  </w:style>
  <w:style w:type="paragraph" w:customStyle="1" w:styleId="ABD345D267BA412DB9FD676C473BD7462">
    <w:name w:val="ABD345D267BA412DB9FD676C473BD7462"/>
    <w:rsid w:val="00B16694"/>
    <w:pPr>
      <w:spacing w:after="0" w:line="240" w:lineRule="auto"/>
    </w:pPr>
    <w:rPr>
      <w:rFonts w:ascii="Trebuchet MS" w:eastAsiaTheme="minorHAnsi" w:hAnsi="Trebuchet MS"/>
      <w:sz w:val="18"/>
      <w:szCs w:val="18"/>
      <w:lang w:eastAsia="en-US"/>
    </w:rPr>
  </w:style>
  <w:style w:type="paragraph" w:customStyle="1" w:styleId="01D890378CF540CCACEE356704EF769A1">
    <w:name w:val="01D890378CF540CCACEE356704EF769A1"/>
    <w:rsid w:val="00B16694"/>
    <w:pPr>
      <w:spacing w:after="0" w:line="240" w:lineRule="auto"/>
    </w:pPr>
    <w:rPr>
      <w:rFonts w:ascii="Trebuchet MS" w:eastAsiaTheme="minorHAnsi" w:hAnsi="Trebuchet MS"/>
      <w:sz w:val="18"/>
      <w:szCs w:val="18"/>
      <w:lang w:eastAsia="en-US"/>
    </w:rPr>
  </w:style>
  <w:style w:type="paragraph" w:customStyle="1" w:styleId="51A64E3A2473411196552A46B08792F3">
    <w:name w:val="51A64E3A2473411196552A46B08792F3"/>
    <w:rsid w:val="00B16694"/>
    <w:pPr>
      <w:spacing w:after="0" w:line="240" w:lineRule="auto"/>
    </w:pPr>
    <w:rPr>
      <w:rFonts w:ascii="Trebuchet MS" w:eastAsiaTheme="minorHAnsi" w:hAnsi="Trebuchet MS"/>
      <w:sz w:val="18"/>
      <w:szCs w:val="18"/>
      <w:lang w:eastAsia="en-US"/>
    </w:rPr>
  </w:style>
  <w:style w:type="paragraph" w:customStyle="1" w:styleId="2AE73023667440B98F01B3F90B5D839F">
    <w:name w:val="2AE73023667440B98F01B3F90B5D839F"/>
    <w:rsid w:val="00B16694"/>
  </w:style>
  <w:style w:type="paragraph" w:customStyle="1" w:styleId="8CA38CB1EA7C4859AB41FAC8D1C59FAA">
    <w:name w:val="8CA38CB1EA7C4859AB41FAC8D1C59FAA"/>
    <w:rsid w:val="00B16694"/>
  </w:style>
  <w:style w:type="paragraph" w:customStyle="1" w:styleId="00605C33E7E3401C9393F094596794C6">
    <w:name w:val="00605C33E7E3401C9393F094596794C6"/>
    <w:rsid w:val="00B16694"/>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51A64E3A2473411196552A46B08792F31">
    <w:name w:val="51A64E3A2473411196552A46B08792F31"/>
    <w:rsid w:val="00B16694"/>
    <w:pPr>
      <w:spacing w:after="0" w:line="240" w:lineRule="auto"/>
    </w:pPr>
    <w:rPr>
      <w:rFonts w:ascii="Trebuchet MS" w:eastAsiaTheme="minorHAnsi" w:hAnsi="Trebuchet MS"/>
      <w:sz w:val="18"/>
      <w:szCs w:val="18"/>
      <w:lang w:eastAsia="en-US"/>
    </w:rPr>
  </w:style>
  <w:style w:type="paragraph" w:customStyle="1" w:styleId="2AE73023667440B98F01B3F90B5D839F1">
    <w:name w:val="2AE73023667440B98F01B3F90B5D839F1"/>
    <w:rsid w:val="00B16694"/>
    <w:pPr>
      <w:spacing w:after="0" w:line="240" w:lineRule="auto"/>
    </w:pPr>
    <w:rPr>
      <w:rFonts w:ascii="Trebuchet MS" w:eastAsiaTheme="minorHAnsi" w:hAnsi="Trebuchet MS"/>
      <w:sz w:val="18"/>
      <w:szCs w:val="18"/>
      <w:lang w:eastAsia="en-US"/>
    </w:rPr>
  </w:style>
  <w:style w:type="paragraph" w:customStyle="1" w:styleId="8CA38CB1EA7C4859AB41FAC8D1C59FAA1">
    <w:name w:val="8CA38CB1EA7C4859AB41FAC8D1C59FAA1"/>
    <w:rsid w:val="00B16694"/>
    <w:pPr>
      <w:spacing w:after="0" w:line="240" w:lineRule="auto"/>
    </w:pPr>
    <w:rPr>
      <w:rFonts w:ascii="Trebuchet MS" w:eastAsiaTheme="minorHAnsi" w:hAnsi="Trebuchet MS"/>
      <w:sz w:val="18"/>
      <w:szCs w:val="18"/>
      <w:lang w:eastAsia="en-US"/>
    </w:rPr>
  </w:style>
  <w:style w:type="paragraph" w:customStyle="1" w:styleId="00605C33E7E3401C9393F094596794C61">
    <w:name w:val="00605C33E7E3401C9393F094596794C61"/>
    <w:rsid w:val="00B16694"/>
    <w:pPr>
      <w:spacing w:after="0" w:line="240" w:lineRule="auto"/>
    </w:pPr>
    <w:rPr>
      <w:rFonts w:ascii="Trebuchet MS" w:eastAsiaTheme="minorHAnsi" w:hAnsi="Trebuchet MS"/>
      <w:sz w:val="18"/>
      <w:szCs w:val="18"/>
      <w:lang w:eastAsia="en-US"/>
    </w:rPr>
  </w:style>
  <w:style w:type="paragraph" w:customStyle="1" w:styleId="40E4F813F19945FBB7EDCC33A8B6ED20">
    <w:name w:val="40E4F813F19945FBB7EDCC33A8B6ED20"/>
    <w:rsid w:val="00B16694"/>
  </w:style>
  <w:style w:type="paragraph" w:customStyle="1" w:styleId="5E2AC3CD8C324C8C956A42619CCDAB81">
    <w:name w:val="5E2AC3CD8C324C8C956A42619CCDAB81"/>
    <w:rsid w:val="00B16694"/>
  </w:style>
  <w:style w:type="paragraph" w:customStyle="1" w:styleId="F28FC5458F4F44BFA7B53AD288D7ADB9">
    <w:name w:val="F28FC5458F4F44BFA7B53AD288D7ADB9"/>
    <w:rsid w:val="00B16694"/>
  </w:style>
  <w:style w:type="paragraph" w:customStyle="1" w:styleId="53D42B19C9604E108D8CCEC5B1035E4C">
    <w:name w:val="53D42B19C9604E108D8CCEC5B1035E4C"/>
    <w:rsid w:val="00B16694"/>
  </w:style>
  <w:style w:type="paragraph" w:customStyle="1" w:styleId="695EAB3820F24420A742CD9C4C9BAC98">
    <w:name w:val="695EAB3820F24420A742CD9C4C9BAC98"/>
    <w:rsid w:val="00B16694"/>
  </w:style>
  <w:style w:type="paragraph" w:customStyle="1" w:styleId="A03FD3385F7449C7A28B738A92557F35">
    <w:name w:val="A03FD3385F7449C7A28B738A92557F35"/>
    <w:rsid w:val="00B16694"/>
  </w:style>
  <w:style w:type="paragraph" w:customStyle="1" w:styleId="668D4B4AD4524FA494FD2B3392B20A16">
    <w:name w:val="668D4B4AD4524FA494FD2B3392B20A16"/>
    <w:rsid w:val="00B16694"/>
  </w:style>
  <w:style w:type="paragraph" w:customStyle="1" w:styleId="89F8F5A579A043B2A1C4C91083A71C6D">
    <w:name w:val="89F8F5A579A043B2A1C4C91083A71C6D"/>
    <w:rsid w:val="00B16694"/>
  </w:style>
  <w:style w:type="paragraph" w:customStyle="1" w:styleId="305052E94B834518A8E476761AA7B37C">
    <w:name w:val="305052E94B834518A8E476761AA7B37C"/>
    <w:rsid w:val="00B16694"/>
  </w:style>
  <w:style w:type="paragraph" w:customStyle="1" w:styleId="B8FD38EEE8C54524ABCD80A808F87446">
    <w:name w:val="B8FD38EEE8C54524ABCD80A808F87446"/>
    <w:rsid w:val="00B16694"/>
  </w:style>
  <w:style w:type="paragraph" w:customStyle="1" w:styleId="E1C7133245624B209F6CD70D6E123512">
    <w:name w:val="E1C7133245624B209F6CD70D6E123512"/>
    <w:rsid w:val="00B16694"/>
  </w:style>
  <w:style w:type="paragraph" w:customStyle="1" w:styleId="8652F211C645471291693AFFBE317F2F">
    <w:name w:val="8652F211C645471291693AFFBE317F2F"/>
    <w:rsid w:val="00B16694"/>
  </w:style>
  <w:style w:type="paragraph" w:customStyle="1" w:styleId="E4474DFBC37144B685678176C0474EA7">
    <w:name w:val="E4474DFBC37144B685678176C0474EA7"/>
    <w:rsid w:val="00FE3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A640-7D33-49BE-9204-C20B363D4A0D}">
  <ds:schemaRefs>
    <ds:schemaRef ds:uri="http://schemas.openxmlformats.org/officeDocument/2006/bibliography"/>
  </ds:schemaRefs>
</ds:datastoreItem>
</file>

<file path=customXml/itemProps2.xml><?xml version="1.0" encoding="utf-8"?>
<ds:datastoreItem xmlns:ds="http://schemas.openxmlformats.org/officeDocument/2006/customXml" ds:itemID="{91E66679-D546-4442-805C-08D20231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7782</Words>
  <Characters>44362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52040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osbornejo</dc:creator>
  <cp:lastModifiedBy>Andrew McIntosh</cp:lastModifiedBy>
  <cp:revision>5</cp:revision>
  <cp:lastPrinted>2019-01-29T09:27:00Z</cp:lastPrinted>
  <dcterms:created xsi:type="dcterms:W3CDTF">2022-03-15T10:52:00Z</dcterms:created>
  <dcterms:modified xsi:type="dcterms:W3CDTF">2022-03-15T15:25:00Z</dcterms:modified>
</cp:coreProperties>
</file>