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42CB5" w14:textId="77777777" w:rsidR="000E0883" w:rsidRPr="009D7371" w:rsidRDefault="000E0883" w:rsidP="008A490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</w:rPr>
      </w:pPr>
      <w:r w:rsidRPr="009D7371">
        <w:rPr>
          <w:rFonts w:ascii="Trebuchet MS" w:hAnsi="Trebuchet MS" w:cs="Trebuchet MS"/>
          <w:b/>
          <w:bCs/>
        </w:rPr>
        <w:t>THE SCOTTISH LEGAL AID BOARD</w:t>
      </w:r>
    </w:p>
    <w:p w14:paraId="5253E675" w14:textId="77777777" w:rsidR="000E0883" w:rsidRPr="009D7371" w:rsidRDefault="00D73C6D" w:rsidP="00D73C6D">
      <w:pPr>
        <w:tabs>
          <w:tab w:val="left" w:pos="5145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</w:p>
    <w:p w14:paraId="26EA0B4E" w14:textId="5EB87A37" w:rsidR="000E0883" w:rsidRPr="000069BB" w:rsidRDefault="000069BB" w:rsidP="000069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</w:rPr>
      </w:pPr>
      <w:r w:rsidRPr="000069BB">
        <w:rPr>
          <w:rFonts w:ascii="Trebuchet MS" w:hAnsi="Trebuchet MS" w:cs="Trebuchet MS"/>
          <w:b/>
          <w:bCs/>
          <w:color w:val="FF0000"/>
        </w:rPr>
        <w:t>APPROVED</w:t>
      </w:r>
      <w:r>
        <w:rPr>
          <w:rFonts w:ascii="Trebuchet MS" w:hAnsi="Trebuchet MS" w:cs="Trebuchet MS"/>
          <w:b/>
          <w:bCs/>
        </w:rPr>
        <w:t xml:space="preserve"> </w:t>
      </w:r>
      <w:r w:rsidR="000E0883" w:rsidRPr="009D7371">
        <w:rPr>
          <w:rFonts w:ascii="Trebuchet MS" w:hAnsi="Trebuchet MS" w:cs="Trebuchet MS"/>
          <w:b/>
          <w:bCs/>
        </w:rPr>
        <w:t>MINUTE OF A MEETING OF THE LEGAL ASSISTANCE POLICY COMMITTEE HELD AT</w:t>
      </w:r>
      <w:r>
        <w:rPr>
          <w:rFonts w:ascii="Trebuchet MS" w:hAnsi="Trebuchet MS" w:cs="Trebuchet MS"/>
          <w:b/>
          <w:bCs/>
        </w:rPr>
        <w:t xml:space="preserve"> </w:t>
      </w:r>
      <w:bookmarkStart w:id="0" w:name="_GoBack"/>
      <w:bookmarkEnd w:id="0"/>
      <w:r w:rsidR="00892E99" w:rsidRPr="000069BB">
        <w:rPr>
          <w:rFonts w:ascii="Trebuchet MS" w:hAnsi="Trebuchet MS"/>
          <w:b/>
          <w:bCs/>
        </w:rPr>
        <w:t>10</w:t>
      </w:r>
      <w:r w:rsidR="000E0883" w:rsidRPr="000069BB">
        <w:rPr>
          <w:rFonts w:ascii="Trebuchet MS" w:hAnsi="Trebuchet MS"/>
          <w:b/>
          <w:bCs/>
        </w:rPr>
        <w:t xml:space="preserve">:30 A.M. ON </w:t>
      </w:r>
      <w:r w:rsidR="003D77E6" w:rsidRPr="000069BB">
        <w:rPr>
          <w:rFonts w:ascii="Trebuchet MS" w:hAnsi="Trebuchet MS"/>
          <w:b/>
          <w:bCs/>
        </w:rPr>
        <w:t xml:space="preserve">MONDAY </w:t>
      </w:r>
      <w:r w:rsidR="00A42352" w:rsidRPr="000069BB">
        <w:rPr>
          <w:rFonts w:ascii="Trebuchet MS" w:hAnsi="Trebuchet MS"/>
          <w:b/>
          <w:bCs/>
        </w:rPr>
        <w:t>4th</w:t>
      </w:r>
      <w:r w:rsidR="003D77E6" w:rsidRPr="000069BB">
        <w:rPr>
          <w:rFonts w:ascii="Trebuchet MS" w:hAnsi="Trebuchet MS"/>
          <w:b/>
          <w:bCs/>
        </w:rPr>
        <w:t xml:space="preserve"> </w:t>
      </w:r>
      <w:r w:rsidR="00A42352" w:rsidRPr="000069BB">
        <w:rPr>
          <w:rFonts w:ascii="Trebuchet MS" w:hAnsi="Trebuchet MS"/>
          <w:b/>
          <w:bCs/>
        </w:rPr>
        <w:t>APRIL</w:t>
      </w:r>
      <w:r w:rsidR="003D77E6" w:rsidRPr="000069BB">
        <w:rPr>
          <w:rFonts w:ascii="Trebuchet MS" w:hAnsi="Trebuchet MS"/>
          <w:b/>
          <w:bCs/>
        </w:rPr>
        <w:t xml:space="preserve"> 2022</w:t>
      </w:r>
      <w:r w:rsidR="000E0883" w:rsidRPr="000069BB">
        <w:rPr>
          <w:rFonts w:ascii="Trebuchet MS" w:hAnsi="Trebuchet MS"/>
          <w:b/>
          <w:bCs/>
        </w:rPr>
        <w:t xml:space="preserve"> by Video Conference</w:t>
      </w:r>
    </w:p>
    <w:p w14:paraId="7BC07EAF" w14:textId="77777777" w:rsidR="000E0883" w:rsidRPr="009D7371" w:rsidRDefault="000E0883" w:rsidP="00A57E4E">
      <w:pPr>
        <w:pStyle w:val="Default"/>
        <w:jc w:val="both"/>
        <w:rPr>
          <w:b/>
          <w:sz w:val="22"/>
          <w:szCs w:val="22"/>
        </w:rPr>
      </w:pPr>
    </w:p>
    <w:p w14:paraId="22C8E721" w14:textId="77777777" w:rsidR="00C42907" w:rsidRPr="009D7371" w:rsidRDefault="00C42907" w:rsidP="00A57E4E">
      <w:pPr>
        <w:pStyle w:val="Default"/>
        <w:jc w:val="both"/>
        <w:rPr>
          <w:b/>
          <w:sz w:val="22"/>
          <w:szCs w:val="22"/>
        </w:rPr>
      </w:pPr>
    </w:p>
    <w:p w14:paraId="0A7BF4D6" w14:textId="77F3940F" w:rsidR="000E0883" w:rsidRDefault="000E0883" w:rsidP="00A57E4E">
      <w:pPr>
        <w:pStyle w:val="Default"/>
        <w:jc w:val="both"/>
        <w:rPr>
          <w:sz w:val="22"/>
          <w:szCs w:val="22"/>
        </w:rPr>
      </w:pPr>
      <w:r w:rsidRPr="009D7371">
        <w:rPr>
          <w:sz w:val="22"/>
          <w:szCs w:val="22"/>
        </w:rPr>
        <w:t xml:space="preserve">Present: </w:t>
      </w:r>
      <w:r w:rsidRPr="009D7371">
        <w:rPr>
          <w:sz w:val="22"/>
          <w:szCs w:val="22"/>
        </w:rPr>
        <w:tab/>
      </w:r>
      <w:r w:rsidRPr="009D7371">
        <w:rPr>
          <w:sz w:val="22"/>
          <w:szCs w:val="22"/>
        </w:rPr>
        <w:tab/>
        <w:t xml:space="preserve">Raymond McMenamin (Chair) </w:t>
      </w:r>
    </w:p>
    <w:p w14:paraId="5683E993" w14:textId="778AF5AE" w:rsidR="00A42352" w:rsidRDefault="00A42352" w:rsidP="00A57E4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Ray Macfarlane</w:t>
      </w:r>
    </w:p>
    <w:p w14:paraId="6B9A092B" w14:textId="4CFE8A9E" w:rsidR="000E0883" w:rsidRPr="009D7371" w:rsidRDefault="00CA7445" w:rsidP="00A57E4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8652A">
        <w:rPr>
          <w:sz w:val="22"/>
          <w:szCs w:val="22"/>
        </w:rPr>
        <w:t>Sarah O’Neill</w:t>
      </w:r>
    </w:p>
    <w:p w14:paraId="0F5E96C2" w14:textId="4B5069BD" w:rsidR="000E0883" w:rsidRDefault="00B44F02" w:rsidP="00A57E4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45C1B">
        <w:rPr>
          <w:sz w:val="22"/>
          <w:szCs w:val="22"/>
        </w:rPr>
        <w:t>Gerry Bann</w:t>
      </w:r>
    </w:p>
    <w:p w14:paraId="66F5511F" w14:textId="7F0E5CE8" w:rsidR="003D77E6" w:rsidRPr="009D7371" w:rsidRDefault="003D77E6" w:rsidP="00A57E4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Stephen Humphreys</w:t>
      </w:r>
    </w:p>
    <w:p w14:paraId="552CAF84" w14:textId="68596DA4" w:rsidR="00EC6916" w:rsidRPr="009D7371" w:rsidRDefault="000E0883" w:rsidP="00A57E4E">
      <w:pPr>
        <w:pStyle w:val="Default"/>
        <w:jc w:val="both"/>
        <w:rPr>
          <w:sz w:val="22"/>
          <w:szCs w:val="22"/>
        </w:rPr>
      </w:pPr>
      <w:r w:rsidRPr="009D7371">
        <w:rPr>
          <w:sz w:val="22"/>
          <w:szCs w:val="22"/>
        </w:rPr>
        <w:tab/>
      </w:r>
      <w:r w:rsidRPr="009D7371">
        <w:rPr>
          <w:sz w:val="22"/>
          <w:szCs w:val="22"/>
        </w:rPr>
        <w:tab/>
      </w:r>
      <w:r w:rsidRPr="009D7371">
        <w:rPr>
          <w:sz w:val="22"/>
          <w:szCs w:val="22"/>
        </w:rPr>
        <w:tab/>
        <w:t>Colin Lancaster</w:t>
      </w:r>
      <w:r w:rsidR="001D7206">
        <w:rPr>
          <w:sz w:val="22"/>
          <w:szCs w:val="22"/>
        </w:rPr>
        <w:tab/>
      </w:r>
    </w:p>
    <w:p w14:paraId="7CE2B635" w14:textId="77777777" w:rsidR="000E0883" w:rsidRPr="009D7371" w:rsidRDefault="000E0883" w:rsidP="00A57E4E">
      <w:pPr>
        <w:pStyle w:val="Default"/>
        <w:jc w:val="both"/>
        <w:rPr>
          <w:sz w:val="22"/>
          <w:szCs w:val="22"/>
        </w:rPr>
      </w:pPr>
    </w:p>
    <w:p w14:paraId="475EDE08" w14:textId="4AB80574" w:rsidR="001D7206" w:rsidRDefault="00CA7445" w:rsidP="002E019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In attendance:</w:t>
      </w:r>
      <w:r w:rsidR="001D7206">
        <w:rPr>
          <w:sz w:val="22"/>
          <w:szCs w:val="22"/>
        </w:rPr>
        <w:tab/>
        <w:t>Marie-Louise Fox, Director of Operations</w:t>
      </w:r>
    </w:p>
    <w:p w14:paraId="20F4D74A" w14:textId="6457668B" w:rsidR="001E47BC" w:rsidRPr="009D7371" w:rsidRDefault="00325AC1" w:rsidP="002E019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Ian Dickson, Director of Legal Services</w:t>
      </w:r>
    </w:p>
    <w:p w14:paraId="2D0858FA" w14:textId="49D02C41" w:rsidR="00D9241C" w:rsidRDefault="000E0883" w:rsidP="00A57E4E">
      <w:pPr>
        <w:pStyle w:val="Default"/>
        <w:jc w:val="both"/>
        <w:rPr>
          <w:sz w:val="22"/>
          <w:szCs w:val="22"/>
        </w:rPr>
      </w:pPr>
      <w:r w:rsidRPr="009D7371">
        <w:rPr>
          <w:sz w:val="22"/>
          <w:szCs w:val="22"/>
        </w:rPr>
        <w:tab/>
      </w:r>
      <w:r w:rsidRPr="009D7371">
        <w:rPr>
          <w:sz w:val="22"/>
          <w:szCs w:val="22"/>
        </w:rPr>
        <w:tab/>
      </w:r>
      <w:r w:rsidRPr="009D7371">
        <w:rPr>
          <w:sz w:val="22"/>
          <w:szCs w:val="22"/>
        </w:rPr>
        <w:tab/>
      </w:r>
      <w:r w:rsidR="00892E99">
        <w:rPr>
          <w:sz w:val="22"/>
          <w:szCs w:val="22"/>
        </w:rPr>
        <w:t>Stuart Drummond</w:t>
      </w:r>
      <w:r w:rsidRPr="009D7371">
        <w:rPr>
          <w:sz w:val="22"/>
          <w:szCs w:val="22"/>
        </w:rPr>
        <w:t>, Corporate Governance and Policy Officer</w:t>
      </w:r>
    </w:p>
    <w:p w14:paraId="523EA73C" w14:textId="1EB60B0F" w:rsidR="001A0FF7" w:rsidRDefault="001A0FF7" w:rsidP="00A57E4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Andrew McIntosh, Corporate Support Manager</w:t>
      </w:r>
    </w:p>
    <w:p w14:paraId="587F71CF" w14:textId="177CA4AA" w:rsidR="00A42352" w:rsidRDefault="00C823C8" w:rsidP="00A57E4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42352">
        <w:rPr>
          <w:sz w:val="22"/>
          <w:szCs w:val="22"/>
        </w:rPr>
        <w:t>Hazel Thoms, Policy and Development Officer</w:t>
      </w:r>
    </w:p>
    <w:p w14:paraId="003099E2" w14:textId="3DDB9554" w:rsidR="00A42352" w:rsidRDefault="00A42352" w:rsidP="00A57E4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Kim Blance, Senior Specialist, Civil Finance</w:t>
      </w:r>
    </w:p>
    <w:p w14:paraId="03D80FC4" w14:textId="2A8E82B0" w:rsidR="00C823C8" w:rsidRDefault="00A42352" w:rsidP="00A57E4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823C8">
        <w:rPr>
          <w:sz w:val="22"/>
          <w:szCs w:val="22"/>
        </w:rPr>
        <w:t xml:space="preserve"> </w:t>
      </w:r>
    </w:p>
    <w:p w14:paraId="6EFC6DE4" w14:textId="04AE2608" w:rsidR="009F17BE" w:rsidRPr="001A0FF7" w:rsidRDefault="007871C3" w:rsidP="001A0FF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4916B04" w14:textId="411B7771" w:rsidR="00206B97" w:rsidRPr="005863C2" w:rsidRDefault="00206B97" w:rsidP="00346C25">
      <w:pPr>
        <w:pStyle w:val="ListParagraph"/>
        <w:numPr>
          <w:ilvl w:val="0"/>
          <w:numId w:val="5"/>
        </w:numPr>
        <w:spacing w:after="0" w:line="240" w:lineRule="auto"/>
        <w:ind w:left="284"/>
        <w:contextualSpacing w:val="0"/>
        <w:rPr>
          <w:rFonts w:ascii="Trebuchet MS" w:hAnsi="Trebuchet MS"/>
          <w:b/>
        </w:rPr>
      </w:pPr>
      <w:r w:rsidRPr="005863C2">
        <w:rPr>
          <w:rFonts w:ascii="Trebuchet MS" w:hAnsi="Trebuchet MS"/>
          <w:b/>
        </w:rPr>
        <w:t>Apologies for absence</w:t>
      </w:r>
    </w:p>
    <w:p w14:paraId="49C33FA2" w14:textId="77777777" w:rsidR="00206B97" w:rsidRDefault="00206B97" w:rsidP="00346C25">
      <w:pPr>
        <w:pStyle w:val="ListParagraph"/>
        <w:spacing w:after="0" w:line="240" w:lineRule="auto"/>
        <w:ind w:left="284"/>
        <w:contextualSpacing w:val="0"/>
        <w:rPr>
          <w:rFonts w:ascii="Trebuchet MS" w:hAnsi="Trebuchet MS"/>
        </w:rPr>
      </w:pPr>
    </w:p>
    <w:p w14:paraId="0E6989FD" w14:textId="122EF06D" w:rsidR="00206B97" w:rsidRDefault="001D7206" w:rsidP="00346C25">
      <w:pPr>
        <w:pStyle w:val="ListParagraph"/>
        <w:spacing w:after="0" w:line="240" w:lineRule="auto"/>
        <w:ind w:left="284"/>
        <w:contextualSpacing w:val="0"/>
        <w:rPr>
          <w:rFonts w:ascii="Trebuchet MS" w:hAnsi="Trebuchet MS"/>
        </w:rPr>
      </w:pPr>
      <w:r>
        <w:rPr>
          <w:rFonts w:ascii="Trebuchet MS" w:hAnsi="Trebuchet MS"/>
        </w:rPr>
        <w:t xml:space="preserve">There were apologies from </w:t>
      </w:r>
      <w:r w:rsidR="00A42352">
        <w:rPr>
          <w:rFonts w:ascii="Trebuchet MS" w:hAnsi="Trebuchet MS"/>
        </w:rPr>
        <w:t>Marieke Dwarshuis</w:t>
      </w:r>
      <w:r w:rsidR="003D77E6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</w:t>
      </w:r>
    </w:p>
    <w:p w14:paraId="07FF4293" w14:textId="77777777" w:rsidR="005A7148" w:rsidRPr="002164D4" w:rsidRDefault="005A7148" w:rsidP="00346C25">
      <w:pPr>
        <w:pStyle w:val="ListParagraph"/>
        <w:spacing w:after="0" w:line="240" w:lineRule="auto"/>
        <w:ind w:left="284"/>
        <w:contextualSpacing w:val="0"/>
        <w:rPr>
          <w:rFonts w:ascii="Trebuchet MS" w:hAnsi="Trebuchet MS"/>
        </w:rPr>
      </w:pPr>
    </w:p>
    <w:p w14:paraId="01DF6C95" w14:textId="77777777" w:rsidR="00206B97" w:rsidRPr="005863C2" w:rsidRDefault="00206B97" w:rsidP="00346C25">
      <w:pPr>
        <w:pStyle w:val="ListParagraph"/>
        <w:numPr>
          <w:ilvl w:val="0"/>
          <w:numId w:val="5"/>
        </w:numPr>
        <w:spacing w:after="0" w:line="240" w:lineRule="auto"/>
        <w:ind w:left="284"/>
        <w:contextualSpacing w:val="0"/>
        <w:rPr>
          <w:rFonts w:ascii="Trebuchet MS" w:hAnsi="Trebuchet MS"/>
          <w:b/>
        </w:rPr>
      </w:pPr>
      <w:r w:rsidRPr="005863C2">
        <w:rPr>
          <w:rFonts w:ascii="Trebuchet MS" w:hAnsi="Trebuchet MS"/>
          <w:b/>
        </w:rPr>
        <w:t>Declaration of Interests</w:t>
      </w:r>
    </w:p>
    <w:p w14:paraId="7355300C" w14:textId="77777777" w:rsidR="00206B97" w:rsidRDefault="00206B97" w:rsidP="00346C25">
      <w:pPr>
        <w:spacing w:after="0" w:line="240" w:lineRule="auto"/>
        <w:ind w:left="284"/>
        <w:rPr>
          <w:rFonts w:ascii="Trebuchet MS" w:hAnsi="Trebuchet MS"/>
        </w:rPr>
      </w:pPr>
    </w:p>
    <w:p w14:paraId="262124BD" w14:textId="77777777" w:rsidR="00206B97" w:rsidRDefault="00206B97" w:rsidP="00346C25">
      <w:pPr>
        <w:spacing w:after="0" w:line="240" w:lineRule="auto"/>
        <w:ind w:left="284"/>
        <w:rPr>
          <w:rFonts w:ascii="Trebuchet MS" w:hAnsi="Trebuchet MS"/>
        </w:rPr>
      </w:pPr>
      <w:r>
        <w:rPr>
          <w:rFonts w:ascii="Trebuchet MS" w:hAnsi="Trebuchet MS"/>
        </w:rPr>
        <w:t xml:space="preserve">None. </w:t>
      </w:r>
    </w:p>
    <w:p w14:paraId="2F3DE87D" w14:textId="761CC3DD" w:rsidR="00EC6916" w:rsidRPr="00EC6916" w:rsidRDefault="00EC6916" w:rsidP="00346C25">
      <w:pPr>
        <w:spacing w:after="0" w:line="240" w:lineRule="auto"/>
        <w:ind w:left="284"/>
        <w:rPr>
          <w:rFonts w:ascii="Trebuchet MS" w:hAnsi="Trebuchet MS"/>
          <w:b/>
        </w:rPr>
      </w:pPr>
    </w:p>
    <w:p w14:paraId="570E5900" w14:textId="7E821AC6" w:rsidR="00206B97" w:rsidRPr="005863C2" w:rsidRDefault="00206B97" w:rsidP="00346C25">
      <w:pPr>
        <w:pStyle w:val="ListParagraph"/>
        <w:numPr>
          <w:ilvl w:val="0"/>
          <w:numId w:val="5"/>
        </w:numPr>
        <w:spacing w:after="0" w:line="240" w:lineRule="auto"/>
        <w:ind w:left="284"/>
        <w:rPr>
          <w:rFonts w:ascii="Trebuchet MS" w:hAnsi="Trebuchet MS"/>
          <w:b/>
        </w:rPr>
      </w:pPr>
      <w:r w:rsidRPr="005863C2">
        <w:rPr>
          <w:rFonts w:ascii="Trebuchet MS" w:hAnsi="Trebuchet MS"/>
          <w:b/>
        </w:rPr>
        <w:t xml:space="preserve">Draft minute of the Legal Assistance Policy Committee meeting held on </w:t>
      </w:r>
      <w:r w:rsidR="00A42352">
        <w:rPr>
          <w:rFonts w:ascii="Trebuchet MS" w:hAnsi="Trebuchet MS"/>
          <w:b/>
        </w:rPr>
        <w:t>1</w:t>
      </w:r>
      <w:r w:rsidR="00A42352" w:rsidRPr="00A42352">
        <w:rPr>
          <w:rFonts w:ascii="Trebuchet MS" w:hAnsi="Trebuchet MS"/>
          <w:b/>
          <w:vertAlign w:val="superscript"/>
        </w:rPr>
        <w:t>st</w:t>
      </w:r>
      <w:r w:rsidR="00A42352">
        <w:rPr>
          <w:rFonts w:ascii="Trebuchet MS" w:hAnsi="Trebuchet MS"/>
          <w:b/>
        </w:rPr>
        <w:t xml:space="preserve"> February 2022</w:t>
      </w:r>
    </w:p>
    <w:p w14:paraId="5C79465D" w14:textId="77777777" w:rsidR="00206B97" w:rsidRDefault="00206B97" w:rsidP="00346C25">
      <w:pPr>
        <w:pStyle w:val="ListParagraph"/>
        <w:spacing w:after="0" w:line="240" w:lineRule="auto"/>
        <w:ind w:left="284"/>
        <w:rPr>
          <w:rFonts w:ascii="Trebuchet MS" w:hAnsi="Trebuchet MS"/>
        </w:rPr>
      </w:pPr>
    </w:p>
    <w:p w14:paraId="25EC3BAF" w14:textId="3F8E6B6D" w:rsidR="005A7148" w:rsidRDefault="00206B97" w:rsidP="00A42352">
      <w:pPr>
        <w:pStyle w:val="ListParagraph"/>
        <w:spacing w:after="0" w:line="240" w:lineRule="auto"/>
        <w:ind w:left="284"/>
        <w:rPr>
          <w:rFonts w:ascii="Trebuchet MS" w:hAnsi="Trebuchet MS"/>
        </w:rPr>
      </w:pPr>
      <w:r>
        <w:rPr>
          <w:rFonts w:ascii="Trebuchet MS" w:hAnsi="Trebuchet MS"/>
        </w:rPr>
        <w:t xml:space="preserve">The draft minute was </w:t>
      </w:r>
      <w:r w:rsidRPr="00AC076C">
        <w:rPr>
          <w:rFonts w:ascii="Trebuchet MS" w:hAnsi="Trebuchet MS"/>
          <w:b/>
        </w:rPr>
        <w:t>approved</w:t>
      </w:r>
      <w:r w:rsidR="00A42352">
        <w:rPr>
          <w:rFonts w:ascii="Trebuchet MS" w:hAnsi="Trebuchet MS"/>
        </w:rPr>
        <w:t xml:space="preserve"> by the Committee subject to minor corrections.</w:t>
      </w:r>
    </w:p>
    <w:p w14:paraId="55BC0AFD" w14:textId="77777777" w:rsidR="00A42352" w:rsidRPr="00A42352" w:rsidRDefault="00A42352" w:rsidP="00A42352">
      <w:pPr>
        <w:spacing w:after="0" w:line="240" w:lineRule="auto"/>
        <w:rPr>
          <w:rFonts w:ascii="Trebuchet MS" w:hAnsi="Trebuchet MS"/>
        </w:rPr>
      </w:pPr>
    </w:p>
    <w:p w14:paraId="0BF27D79" w14:textId="387C7C64" w:rsidR="00892E99" w:rsidRDefault="00DD4A06" w:rsidP="00346C25">
      <w:pPr>
        <w:pStyle w:val="ListParagraph"/>
        <w:numPr>
          <w:ilvl w:val="0"/>
          <w:numId w:val="5"/>
        </w:numPr>
        <w:ind w:left="284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GALA </w:t>
      </w:r>
    </w:p>
    <w:p w14:paraId="780BB0FA" w14:textId="0F9C1279" w:rsidR="00507642" w:rsidRDefault="0078566B" w:rsidP="00D30700">
      <w:pPr>
        <w:spacing w:after="0" w:line="240" w:lineRule="auto"/>
        <w:ind w:left="284"/>
        <w:rPr>
          <w:rFonts w:ascii="Trebuchet MS" w:hAnsi="Trebuchet MS"/>
        </w:rPr>
      </w:pPr>
      <w:r>
        <w:rPr>
          <w:rFonts w:ascii="Trebuchet MS" w:hAnsi="Trebuchet MS"/>
        </w:rPr>
        <w:t xml:space="preserve">Means Assessment - </w:t>
      </w:r>
      <w:r w:rsidRPr="0078566B">
        <w:rPr>
          <w:rFonts w:ascii="Trebuchet MS" w:hAnsi="Trebuchet MS"/>
        </w:rPr>
        <w:t xml:space="preserve">Aggregation AA/ Civil options </w:t>
      </w:r>
    </w:p>
    <w:p w14:paraId="462E4F65" w14:textId="79A8A4F6" w:rsidR="004753B2" w:rsidRDefault="004753B2" w:rsidP="00D30700">
      <w:pPr>
        <w:spacing w:after="0" w:line="240" w:lineRule="auto"/>
        <w:ind w:left="284"/>
        <w:rPr>
          <w:rFonts w:ascii="Trebuchet MS" w:hAnsi="Trebuchet MS"/>
        </w:rPr>
      </w:pPr>
    </w:p>
    <w:p w14:paraId="494D8CBF" w14:textId="072B817B" w:rsidR="004753B2" w:rsidRPr="00B60157" w:rsidRDefault="00B43047" w:rsidP="00B60157">
      <w:pPr>
        <w:pStyle w:val="ListParagraph"/>
        <w:spacing w:after="0" w:line="240" w:lineRule="auto"/>
        <w:ind w:left="284"/>
        <w:rPr>
          <w:rFonts w:ascii="Trebuchet MS" w:hAnsi="Trebuchet MS"/>
        </w:rPr>
      </w:pPr>
      <w:r>
        <w:rPr>
          <w:rFonts w:ascii="Trebuchet MS" w:hAnsi="Trebuchet MS"/>
        </w:rPr>
        <w:t xml:space="preserve">The Committee considered a paper which </w:t>
      </w:r>
      <w:r w:rsidR="00ED17D6" w:rsidRPr="00B60157">
        <w:rPr>
          <w:rFonts w:ascii="Trebuchet MS" w:hAnsi="Trebuchet MS"/>
        </w:rPr>
        <w:t xml:space="preserve">outlined the challenges posed by regulatory requirements and clarified policy approaches to using discretion when deciding whose resources to include in a financial eligibility </w:t>
      </w:r>
      <w:r w:rsidR="00592230" w:rsidRPr="00B60157">
        <w:rPr>
          <w:rFonts w:ascii="Trebuchet MS" w:hAnsi="Trebuchet MS"/>
        </w:rPr>
        <w:t>assessment for civil legal aid.</w:t>
      </w:r>
    </w:p>
    <w:p w14:paraId="44D188D3" w14:textId="357AE969" w:rsidR="00ED17D6" w:rsidRPr="00B60157" w:rsidRDefault="00ED17D6" w:rsidP="00B60157">
      <w:pPr>
        <w:pStyle w:val="ListParagraph"/>
        <w:spacing w:after="0" w:line="240" w:lineRule="auto"/>
        <w:ind w:left="284"/>
        <w:rPr>
          <w:rFonts w:ascii="Trebuchet MS" w:hAnsi="Trebuchet MS"/>
        </w:rPr>
      </w:pPr>
    </w:p>
    <w:p w14:paraId="7AE225F9" w14:textId="76B7A509" w:rsidR="00592230" w:rsidRPr="00B60157" w:rsidRDefault="00ED17D6" w:rsidP="00B60157">
      <w:pPr>
        <w:pStyle w:val="ListParagraph"/>
        <w:spacing w:after="0" w:line="240" w:lineRule="auto"/>
        <w:ind w:left="284"/>
        <w:rPr>
          <w:rFonts w:ascii="Trebuchet MS" w:hAnsi="Trebuchet MS"/>
        </w:rPr>
      </w:pPr>
      <w:r w:rsidRPr="00B60157">
        <w:rPr>
          <w:rFonts w:ascii="Trebuchet MS" w:hAnsi="Trebuchet MS"/>
        </w:rPr>
        <w:t xml:space="preserve">The Committee </w:t>
      </w:r>
      <w:r w:rsidR="00993F24" w:rsidRPr="00B60157">
        <w:rPr>
          <w:rFonts w:ascii="Trebuchet MS" w:hAnsi="Trebuchet MS"/>
        </w:rPr>
        <w:t xml:space="preserve">discussed the situation </w:t>
      </w:r>
      <w:r w:rsidR="00592230" w:rsidRPr="00B60157">
        <w:rPr>
          <w:rFonts w:ascii="Trebuchet MS" w:hAnsi="Trebuchet MS"/>
        </w:rPr>
        <w:t xml:space="preserve">where </w:t>
      </w:r>
      <w:r w:rsidR="00993F24" w:rsidRPr="00B60157">
        <w:rPr>
          <w:rFonts w:ascii="Trebuchet MS" w:hAnsi="Trebuchet MS"/>
        </w:rPr>
        <w:t xml:space="preserve">the civil legal aid regulations </w:t>
      </w:r>
      <w:r w:rsidR="00592230" w:rsidRPr="00B60157">
        <w:rPr>
          <w:rFonts w:ascii="Trebuchet MS" w:hAnsi="Trebuchet MS"/>
        </w:rPr>
        <w:t xml:space="preserve">(regulation 11A of the Civil Legal Aid (Scotland) Regulations 2000) </w:t>
      </w:r>
      <w:r w:rsidR="00993F24" w:rsidRPr="00B60157">
        <w:rPr>
          <w:rFonts w:ascii="Trebuchet MS" w:hAnsi="Trebuchet MS"/>
        </w:rPr>
        <w:t xml:space="preserve">require SLAB to bring to account the resources of any person owing obligation of aliment to a child applicant and the </w:t>
      </w:r>
      <w:r w:rsidR="009D6249" w:rsidRPr="00B60157">
        <w:rPr>
          <w:rFonts w:ascii="Trebuchet MS" w:hAnsi="Trebuchet MS"/>
        </w:rPr>
        <w:t>contradiction</w:t>
      </w:r>
      <w:r w:rsidR="00592230" w:rsidRPr="00B60157">
        <w:rPr>
          <w:rFonts w:ascii="Trebuchet MS" w:hAnsi="Trebuchet MS"/>
        </w:rPr>
        <w:t xml:space="preserve"> with other regulations</w:t>
      </w:r>
      <w:r w:rsidR="00993F24" w:rsidRPr="00B60157">
        <w:rPr>
          <w:rFonts w:ascii="Trebuchet MS" w:hAnsi="Trebuchet MS"/>
        </w:rPr>
        <w:t xml:space="preserve">. </w:t>
      </w:r>
    </w:p>
    <w:p w14:paraId="010A981D" w14:textId="77777777" w:rsidR="00592230" w:rsidRPr="00B60157" w:rsidRDefault="00592230" w:rsidP="00B60157">
      <w:pPr>
        <w:pStyle w:val="ListParagraph"/>
        <w:spacing w:after="0" w:line="240" w:lineRule="auto"/>
        <w:ind w:left="284"/>
        <w:rPr>
          <w:rFonts w:ascii="Trebuchet MS" w:hAnsi="Trebuchet MS"/>
        </w:rPr>
      </w:pPr>
    </w:p>
    <w:p w14:paraId="4759240E" w14:textId="29BB2D4B" w:rsidR="00ED17D6" w:rsidRDefault="00592230" w:rsidP="00B60157">
      <w:pPr>
        <w:pStyle w:val="ListParagraph"/>
        <w:spacing w:after="0" w:line="240" w:lineRule="auto"/>
        <w:ind w:left="284"/>
        <w:rPr>
          <w:rFonts w:ascii="Trebuchet MS" w:hAnsi="Trebuchet MS"/>
          <w:lang w:val="en-US"/>
        </w:rPr>
      </w:pPr>
      <w:r w:rsidRPr="00B60157">
        <w:rPr>
          <w:rFonts w:ascii="Trebuchet MS" w:hAnsi="Trebuchet MS"/>
        </w:rPr>
        <w:t xml:space="preserve">It was noted </w:t>
      </w:r>
      <w:r w:rsidR="00993F24" w:rsidRPr="00B60157">
        <w:rPr>
          <w:rFonts w:ascii="Trebuchet MS" w:hAnsi="Trebuchet MS"/>
        </w:rPr>
        <w:t>that including such resources lim</w:t>
      </w:r>
      <w:r w:rsidRPr="00B60157">
        <w:rPr>
          <w:rFonts w:ascii="Trebuchet MS" w:hAnsi="Trebuchet MS"/>
        </w:rPr>
        <w:t>its access to legal assistance and that t</w:t>
      </w:r>
      <w:r w:rsidR="00993F24" w:rsidRPr="00B60157">
        <w:rPr>
          <w:rFonts w:ascii="Trebuchet MS" w:hAnsi="Trebuchet MS"/>
        </w:rPr>
        <w:t>his was a regular complaint from solicitors</w:t>
      </w:r>
      <w:r w:rsidRPr="00B60157">
        <w:rPr>
          <w:rFonts w:ascii="Trebuchet MS" w:hAnsi="Trebuchet MS"/>
        </w:rPr>
        <w:t>.</w:t>
      </w:r>
      <w:r w:rsidR="00993F24" w:rsidRPr="00B60157">
        <w:rPr>
          <w:rFonts w:ascii="Trebuchet MS" w:hAnsi="Trebuchet MS"/>
        </w:rPr>
        <w:t xml:space="preserve"> </w:t>
      </w:r>
      <w:r w:rsidRPr="00B60157">
        <w:rPr>
          <w:rFonts w:ascii="Trebuchet MS" w:hAnsi="Trebuchet MS"/>
        </w:rPr>
        <w:t>F</w:t>
      </w:r>
      <w:r w:rsidR="00993F24" w:rsidRPr="00B60157">
        <w:rPr>
          <w:rFonts w:ascii="Trebuchet MS" w:hAnsi="Trebuchet MS"/>
        </w:rPr>
        <w:t xml:space="preserve">eedback suggested that families had found it challenging when informed their resources would be used in the calculation in determining the availability of legal aid. </w:t>
      </w:r>
      <w:r w:rsidR="009D6249" w:rsidRPr="00B60157">
        <w:rPr>
          <w:rFonts w:ascii="Trebuchet MS" w:hAnsi="Trebuchet MS"/>
        </w:rPr>
        <w:t>It was also noted that there was discretion where SLAB found the</w:t>
      </w:r>
      <w:r w:rsidR="009D6249">
        <w:rPr>
          <w:rFonts w:ascii="Trebuchet MS" w:hAnsi="Trebuchet MS"/>
          <w:lang w:val="en-US"/>
        </w:rPr>
        <w:t xml:space="preserve"> application of the regulation to be “unjust or inequitable” but there was limited guidance on what this meant. </w:t>
      </w:r>
    </w:p>
    <w:p w14:paraId="0CC567D9" w14:textId="0C2D9BE5" w:rsidR="009D6249" w:rsidRDefault="009D6249" w:rsidP="004753B2">
      <w:pPr>
        <w:spacing w:after="0" w:line="240" w:lineRule="auto"/>
        <w:rPr>
          <w:rFonts w:ascii="Trebuchet MS" w:hAnsi="Trebuchet MS"/>
          <w:lang w:val="en-US"/>
        </w:rPr>
      </w:pPr>
    </w:p>
    <w:p w14:paraId="4CC24C2D" w14:textId="2B8D0FB3" w:rsidR="009D6249" w:rsidRDefault="009D6249" w:rsidP="00B60157">
      <w:pPr>
        <w:pStyle w:val="ListParagraph"/>
        <w:spacing w:after="0" w:line="240" w:lineRule="auto"/>
        <w:ind w:left="284"/>
        <w:rPr>
          <w:rFonts w:ascii="Trebuchet MS" w:hAnsi="Trebuchet MS"/>
        </w:rPr>
      </w:pPr>
      <w:r w:rsidRPr="00B60157">
        <w:rPr>
          <w:rFonts w:ascii="Trebuchet MS" w:hAnsi="Trebuchet MS"/>
        </w:rPr>
        <w:lastRenderedPageBreak/>
        <w:t xml:space="preserve">The Committee considered and discussed the options presented and </w:t>
      </w:r>
      <w:r w:rsidRPr="00B60157">
        <w:rPr>
          <w:rFonts w:ascii="Trebuchet MS" w:hAnsi="Trebuchet MS"/>
          <w:b/>
        </w:rPr>
        <w:t>agreed</w:t>
      </w:r>
      <w:r w:rsidRPr="00B60157">
        <w:rPr>
          <w:rFonts w:ascii="Trebuchet MS" w:hAnsi="Trebuchet MS"/>
        </w:rPr>
        <w:t xml:space="preserve"> that the primary approach would be option A: </w:t>
      </w:r>
      <w:r w:rsidRPr="009D6249">
        <w:rPr>
          <w:rFonts w:ascii="Trebuchet MS" w:hAnsi="Trebuchet MS"/>
        </w:rPr>
        <w:t xml:space="preserve">Amend </w:t>
      </w:r>
      <w:r>
        <w:rPr>
          <w:rFonts w:ascii="Trebuchet MS" w:hAnsi="Trebuchet MS"/>
        </w:rPr>
        <w:t xml:space="preserve">the </w:t>
      </w:r>
      <w:r w:rsidRPr="009D6249">
        <w:rPr>
          <w:rFonts w:ascii="Trebuchet MS" w:hAnsi="Trebuchet MS"/>
        </w:rPr>
        <w:t xml:space="preserve">current policy: revise policy such that the factors defining unjust or inequitable are </w:t>
      </w:r>
      <w:r>
        <w:rPr>
          <w:rFonts w:ascii="Trebuchet MS" w:hAnsi="Trebuchet MS"/>
        </w:rPr>
        <w:t xml:space="preserve">expanded on but also at the same time pursue an element of option B and discuss amendment of legislation with the Scottish Government </w:t>
      </w:r>
      <w:r w:rsidR="00130E8B">
        <w:rPr>
          <w:rFonts w:ascii="Trebuchet MS" w:hAnsi="Trebuchet MS"/>
        </w:rPr>
        <w:t xml:space="preserve">seeking </w:t>
      </w:r>
      <w:r w:rsidR="00130E8B" w:rsidRPr="00130E8B">
        <w:rPr>
          <w:rFonts w:ascii="Trebuchet MS" w:hAnsi="Trebuchet MS"/>
        </w:rPr>
        <w:t>removal of the requirement that the resources of a person owing obligation of aliment to a child applicant shall be brought into the financial assessment.</w:t>
      </w:r>
    </w:p>
    <w:p w14:paraId="5DA017A0" w14:textId="61B735EE" w:rsidR="00130E8B" w:rsidRDefault="00130E8B" w:rsidP="00B60157">
      <w:pPr>
        <w:pStyle w:val="ListParagraph"/>
        <w:spacing w:after="0" w:line="240" w:lineRule="auto"/>
        <w:ind w:left="284"/>
        <w:rPr>
          <w:rFonts w:ascii="Trebuchet MS" w:hAnsi="Trebuchet MS"/>
        </w:rPr>
      </w:pPr>
    </w:p>
    <w:p w14:paraId="1E74D527" w14:textId="7E7AC060" w:rsidR="0035780D" w:rsidRPr="0035780D" w:rsidRDefault="00130E8B" w:rsidP="00B60157">
      <w:pPr>
        <w:pStyle w:val="ListParagraph"/>
        <w:spacing w:after="0" w:line="240" w:lineRule="auto"/>
        <w:ind w:left="284"/>
        <w:rPr>
          <w:rFonts w:ascii="Trebuchet MS" w:hAnsi="Trebuchet MS"/>
        </w:rPr>
      </w:pPr>
      <w:r>
        <w:rPr>
          <w:rFonts w:ascii="Trebuchet MS" w:hAnsi="Trebuchet MS"/>
        </w:rPr>
        <w:t xml:space="preserve">The Committee </w:t>
      </w:r>
      <w:r w:rsidR="008717CE">
        <w:rPr>
          <w:rFonts w:ascii="Trebuchet MS" w:hAnsi="Trebuchet MS"/>
        </w:rPr>
        <w:t xml:space="preserve">then discussed the aggregation of the resources of a partner or spouse and </w:t>
      </w:r>
      <w:r w:rsidR="0035780D">
        <w:rPr>
          <w:rFonts w:ascii="Trebuchet MS" w:hAnsi="Trebuchet MS"/>
        </w:rPr>
        <w:t xml:space="preserve">noted that </w:t>
      </w:r>
      <w:r w:rsidR="0035780D" w:rsidRPr="0035780D">
        <w:rPr>
          <w:rFonts w:ascii="Trebuchet MS" w:hAnsi="Trebuchet MS"/>
        </w:rPr>
        <w:t>over time as numbers of applicants in relationships of a longstanding and serious nature but not formalised through marriage have increased</w:t>
      </w:r>
      <w:r w:rsidR="0035780D">
        <w:rPr>
          <w:rFonts w:ascii="Trebuchet MS" w:hAnsi="Trebuchet MS"/>
        </w:rPr>
        <w:t>. SLAB had</w:t>
      </w:r>
      <w:r w:rsidR="0035780D" w:rsidRPr="0035780D">
        <w:rPr>
          <w:rFonts w:ascii="Trebuchet MS" w:hAnsi="Trebuchet MS"/>
        </w:rPr>
        <w:t xml:space="preserve"> developed a policy that assist</w:t>
      </w:r>
      <w:r w:rsidR="0035780D">
        <w:rPr>
          <w:rFonts w:ascii="Trebuchet MS" w:hAnsi="Trebuchet MS"/>
        </w:rPr>
        <w:t>ed</w:t>
      </w:r>
      <w:r w:rsidR="0035780D" w:rsidRPr="0035780D">
        <w:rPr>
          <w:rFonts w:ascii="Trebuchet MS" w:hAnsi="Trebuchet MS"/>
        </w:rPr>
        <w:t xml:space="preserve"> in making decisions on whether a relationship has the </w:t>
      </w:r>
      <w:r w:rsidR="0035780D" w:rsidRPr="00B60157">
        <w:rPr>
          <w:rFonts w:ascii="Trebuchet MS" w:hAnsi="Trebuchet MS"/>
        </w:rPr>
        <w:t xml:space="preserve">characteristics of a relationship between husband and wife </w:t>
      </w:r>
      <w:r w:rsidR="0035780D">
        <w:rPr>
          <w:rFonts w:ascii="Trebuchet MS" w:hAnsi="Trebuchet MS"/>
        </w:rPr>
        <w:t>(as stated in the Civil Legal Aid regulations</w:t>
      </w:r>
      <w:r w:rsidR="00B60157">
        <w:rPr>
          <w:rFonts w:ascii="Trebuchet MS" w:hAnsi="Trebuchet MS"/>
        </w:rPr>
        <w:t>)</w:t>
      </w:r>
      <w:r w:rsidR="0035780D">
        <w:rPr>
          <w:rFonts w:ascii="Trebuchet MS" w:hAnsi="Trebuchet MS"/>
        </w:rPr>
        <w:t xml:space="preserve">. </w:t>
      </w:r>
      <w:r w:rsidR="0035780D" w:rsidRPr="0035780D">
        <w:rPr>
          <w:rFonts w:ascii="Trebuchet MS" w:hAnsi="Trebuchet MS"/>
        </w:rPr>
        <w:t xml:space="preserve"> </w:t>
      </w:r>
    </w:p>
    <w:p w14:paraId="739AE40A" w14:textId="77777777" w:rsidR="0035780D" w:rsidRDefault="0035780D" w:rsidP="00B60157">
      <w:pPr>
        <w:pStyle w:val="ListParagraph"/>
        <w:spacing w:after="0" w:line="240" w:lineRule="auto"/>
        <w:ind w:left="284"/>
        <w:rPr>
          <w:rFonts w:ascii="Trebuchet MS" w:hAnsi="Trebuchet MS"/>
        </w:rPr>
      </w:pPr>
    </w:p>
    <w:p w14:paraId="0322047A" w14:textId="1BD00D56" w:rsidR="0035780D" w:rsidRDefault="0035780D" w:rsidP="00B60157">
      <w:pPr>
        <w:pStyle w:val="ListParagraph"/>
        <w:spacing w:after="0" w:line="240" w:lineRule="auto"/>
        <w:ind w:left="284"/>
        <w:rPr>
          <w:rFonts w:ascii="Trebuchet MS" w:hAnsi="Trebuchet MS"/>
        </w:rPr>
      </w:pPr>
      <w:r w:rsidRPr="0035780D">
        <w:rPr>
          <w:rFonts w:ascii="Trebuchet MS" w:hAnsi="Trebuchet MS"/>
        </w:rPr>
        <w:t xml:space="preserve">The policy </w:t>
      </w:r>
      <w:r>
        <w:rPr>
          <w:rFonts w:ascii="Trebuchet MS" w:hAnsi="Trebuchet MS"/>
        </w:rPr>
        <w:t>required</w:t>
      </w:r>
      <w:r w:rsidRPr="0035780D">
        <w:rPr>
          <w:rFonts w:ascii="Trebuchet MS" w:hAnsi="Trebuchet MS"/>
        </w:rPr>
        <w:t xml:space="preserve"> SLAB decision makers to make subjective assessments of the nature of a relationship where the couple are not married and not living together. It </w:t>
      </w:r>
      <w:r w:rsidR="0057657E">
        <w:rPr>
          <w:rFonts w:ascii="Trebuchet MS" w:hAnsi="Trebuchet MS"/>
        </w:rPr>
        <w:t>was</w:t>
      </w:r>
      <w:r w:rsidRPr="0035780D">
        <w:rPr>
          <w:rFonts w:ascii="Trebuchet MS" w:hAnsi="Trebuchet MS"/>
        </w:rPr>
        <w:t xml:space="preserve"> </w:t>
      </w:r>
      <w:r w:rsidR="0057657E">
        <w:rPr>
          <w:rFonts w:ascii="Trebuchet MS" w:hAnsi="Trebuchet MS"/>
        </w:rPr>
        <w:t xml:space="preserve">noted that it was </w:t>
      </w:r>
      <w:r w:rsidRPr="0035780D">
        <w:rPr>
          <w:rFonts w:ascii="Trebuchet MS" w:hAnsi="Trebuchet MS"/>
        </w:rPr>
        <w:t xml:space="preserve">difficult to develop clear guidance on how to use such information to make a decision, and how to ensure consistency in these decisions is maintained. </w:t>
      </w:r>
    </w:p>
    <w:p w14:paraId="179C62C1" w14:textId="658536AA" w:rsidR="0057657E" w:rsidRDefault="0057657E" w:rsidP="00B60157">
      <w:pPr>
        <w:pStyle w:val="ListParagraph"/>
        <w:spacing w:after="0" w:line="240" w:lineRule="auto"/>
        <w:ind w:left="284"/>
        <w:rPr>
          <w:rFonts w:ascii="Trebuchet MS" w:hAnsi="Trebuchet MS"/>
        </w:rPr>
      </w:pPr>
    </w:p>
    <w:p w14:paraId="428F0C92" w14:textId="71901AF1" w:rsidR="0057657E" w:rsidRPr="0035780D" w:rsidRDefault="0057657E" w:rsidP="00B60157">
      <w:pPr>
        <w:pStyle w:val="ListParagraph"/>
        <w:spacing w:after="0" w:line="240" w:lineRule="auto"/>
        <w:ind w:left="284"/>
        <w:rPr>
          <w:rFonts w:ascii="Trebuchet MS" w:hAnsi="Trebuchet MS"/>
        </w:rPr>
      </w:pPr>
      <w:r>
        <w:rPr>
          <w:rFonts w:ascii="Trebuchet MS" w:hAnsi="Trebuchet MS"/>
        </w:rPr>
        <w:t xml:space="preserve">After discussion it was </w:t>
      </w:r>
      <w:r w:rsidRPr="00B60157">
        <w:rPr>
          <w:rFonts w:ascii="Trebuchet MS" w:hAnsi="Trebuchet MS"/>
          <w:b/>
        </w:rPr>
        <w:t>agreed</w:t>
      </w:r>
      <w:r>
        <w:rPr>
          <w:rFonts w:ascii="Trebuchet MS" w:hAnsi="Trebuchet MS"/>
        </w:rPr>
        <w:t xml:space="preserve"> that option A </w:t>
      </w:r>
      <w:r w:rsidR="0045761D">
        <w:rPr>
          <w:rFonts w:ascii="Trebuchet MS" w:hAnsi="Trebuchet MS"/>
        </w:rPr>
        <w:t>- a</w:t>
      </w:r>
      <w:r w:rsidR="0045761D" w:rsidRPr="0045761D">
        <w:rPr>
          <w:rFonts w:ascii="Trebuchet MS" w:hAnsi="Trebuchet MS"/>
        </w:rPr>
        <w:t>mend current policy to exclude partners not living together on a full time basis from having their resources aggregated</w:t>
      </w:r>
      <w:r w:rsidR="0045761D">
        <w:rPr>
          <w:rFonts w:ascii="Trebuchet MS" w:hAnsi="Trebuchet MS"/>
        </w:rPr>
        <w:t xml:space="preserve"> – was the preferred option. </w:t>
      </w:r>
    </w:p>
    <w:p w14:paraId="314E09E9" w14:textId="77777777" w:rsidR="007871C3" w:rsidRPr="007871C3" w:rsidRDefault="007871C3" w:rsidP="007871C3">
      <w:pPr>
        <w:spacing w:after="0" w:line="240" w:lineRule="auto"/>
        <w:rPr>
          <w:rFonts w:ascii="Trebuchet MS" w:hAnsi="Trebuchet MS"/>
        </w:rPr>
      </w:pPr>
    </w:p>
    <w:p w14:paraId="43BA19B7" w14:textId="77777777" w:rsidR="007871C3" w:rsidRPr="007871C3" w:rsidRDefault="007871C3" w:rsidP="007871C3">
      <w:pPr>
        <w:spacing w:after="0" w:line="240" w:lineRule="auto"/>
        <w:rPr>
          <w:rFonts w:ascii="Trebuchet MS" w:hAnsi="Trebuchet MS"/>
          <w:b/>
        </w:rPr>
      </w:pPr>
    </w:p>
    <w:p w14:paraId="772DD0F6" w14:textId="42EE3AD2" w:rsidR="00206B97" w:rsidRDefault="00206B97" w:rsidP="00346C25">
      <w:pPr>
        <w:pStyle w:val="ListParagraph"/>
        <w:numPr>
          <w:ilvl w:val="0"/>
          <w:numId w:val="5"/>
        </w:numPr>
        <w:spacing w:after="0" w:line="240" w:lineRule="auto"/>
        <w:ind w:left="284"/>
        <w:contextualSpacing w:val="0"/>
        <w:rPr>
          <w:rFonts w:ascii="Trebuchet MS" w:hAnsi="Trebuchet MS"/>
          <w:b/>
        </w:rPr>
      </w:pPr>
      <w:r w:rsidRPr="005863C2">
        <w:rPr>
          <w:rFonts w:ascii="Trebuchet MS" w:hAnsi="Trebuchet MS"/>
          <w:b/>
        </w:rPr>
        <w:t>AOB</w:t>
      </w:r>
    </w:p>
    <w:p w14:paraId="74F015E4" w14:textId="47481002" w:rsidR="00206B97" w:rsidRPr="00517365" w:rsidRDefault="00206B97" w:rsidP="00517365">
      <w:pPr>
        <w:spacing w:after="0" w:line="240" w:lineRule="auto"/>
        <w:rPr>
          <w:rFonts w:ascii="Trebuchet MS" w:hAnsi="Trebuchet MS"/>
        </w:rPr>
      </w:pPr>
    </w:p>
    <w:p w14:paraId="3984AFC8" w14:textId="77777777" w:rsidR="00206B97" w:rsidRPr="00517365" w:rsidRDefault="00206B97" w:rsidP="00517365">
      <w:pPr>
        <w:spacing w:after="0" w:line="240" w:lineRule="auto"/>
        <w:rPr>
          <w:rFonts w:ascii="Trebuchet MS" w:hAnsi="Trebuchet MS"/>
        </w:rPr>
      </w:pPr>
    </w:p>
    <w:p w14:paraId="02C6CD53" w14:textId="3C58D9FE" w:rsidR="00EC6916" w:rsidRDefault="00206B97" w:rsidP="00635D2B">
      <w:pPr>
        <w:spacing w:after="0" w:line="240" w:lineRule="auto"/>
        <w:ind w:left="284"/>
        <w:rPr>
          <w:rFonts w:ascii="Trebuchet MS" w:hAnsi="Trebuchet MS"/>
        </w:rPr>
      </w:pPr>
      <w:r w:rsidRPr="007D74D5">
        <w:rPr>
          <w:rFonts w:ascii="Trebuchet MS" w:hAnsi="Trebuchet MS"/>
        </w:rPr>
        <w:t xml:space="preserve">The </w:t>
      </w:r>
      <w:r w:rsidR="00984FA8">
        <w:rPr>
          <w:rFonts w:ascii="Trebuchet MS" w:hAnsi="Trebuchet MS"/>
        </w:rPr>
        <w:t>Convener</w:t>
      </w:r>
      <w:r>
        <w:rPr>
          <w:rFonts w:ascii="Trebuchet MS" w:hAnsi="Trebuchet MS"/>
        </w:rPr>
        <w:t xml:space="preserve"> confirmed</w:t>
      </w:r>
      <w:r w:rsidR="00EC6916">
        <w:rPr>
          <w:rFonts w:ascii="Trebuchet MS" w:hAnsi="Trebuchet MS"/>
        </w:rPr>
        <w:t xml:space="preserve"> that </w:t>
      </w:r>
      <w:r w:rsidR="00DD4A06">
        <w:rPr>
          <w:rFonts w:ascii="Trebuchet MS" w:hAnsi="Trebuchet MS"/>
        </w:rPr>
        <w:t>the next meeting was due to be held on</w:t>
      </w:r>
      <w:r w:rsidR="00647DA4">
        <w:rPr>
          <w:rFonts w:ascii="Trebuchet MS" w:hAnsi="Trebuchet MS"/>
        </w:rPr>
        <w:t xml:space="preserve"> 3</w:t>
      </w:r>
      <w:r w:rsidR="00647DA4" w:rsidRPr="00647DA4">
        <w:rPr>
          <w:rFonts w:ascii="Trebuchet MS" w:hAnsi="Trebuchet MS"/>
          <w:vertAlign w:val="superscript"/>
        </w:rPr>
        <w:t>rd</w:t>
      </w:r>
      <w:r w:rsidR="00647DA4">
        <w:rPr>
          <w:rFonts w:ascii="Trebuchet MS" w:hAnsi="Trebuchet MS"/>
        </w:rPr>
        <w:t xml:space="preserve"> May</w:t>
      </w:r>
      <w:r w:rsidR="00517365">
        <w:rPr>
          <w:rFonts w:ascii="Trebuchet MS" w:hAnsi="Trebuchet MS"/>
        </w:rPr>
        <w:t>.</w:t>
      </w:r>
    </w:p>
    <w:p w14:paraId="175B41F9" w14:textId="77777777" w:rsidR="00EC6916" w:rsidRDefault="00EC6916" w:rsidP="00635D2B">
      <w:pPr>
        <w:spacing w:after="0" w:line="240" w:lineRule="auto"/>
        <w:ind w:left="284"/>
        <w:rPr>
          <w:rFonts w:ascii="Trebuchet MS" w:hAnsi="Trebuchet MS"/>
        </w:rPr>
      </w:pPr>
    </w:p>
    <w:p w14:paraId="40EE2F18" w14:textId="09642447" w:rsidR="00171C6B" w:rsidRPr="00CA7445" w:rsidRDefault="00984FA8" w:rsidP="00CA7445">
      <w:pPr>
        <w:spacing w:after="0" w:line="240" w:lineRule="auto"/>
        <w:ind w:left="284"/>
        <w:rPr>
          <w:rFonts w:ascii="Trebuchet MS" w:hAnsi="Trebuchet MS"/>
        </w:rPr>
      </w:pPr>
      <w:r>
        <w:rPr>
          <w:rFonts w:ascii="Trebuchet MS" w:hAnsi="Trebuchet MS"/>
        </w:rPr>
        <w:t>The Convener c</w:t>
      </w:r>
      <w:r w:rsidR="00647DA4">
        <w:rPr>
          <w:rFonts w:ascii="Trebuchet MS" w:hAnsi="Trebuchet MS"/>
        </w:rPr>
        <w:t>losed the meeting at 11:20</w:t>
      </w:r>
    </w:p>
    <w:sectPr w:rsidR="00171C6B" w:rsidRPr="00CA7445" w:rsidSect="0020217D">
      <w:pgSz w:w="11906" w:h="17338"/>
      <w:pgMar w:top="1878" w:right="1246" w:bottom="1440" w:left="138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695FA" w14:textId="77777777" w:rsidR="00165772" w:rsidRDefault="00165772" w:rsidP="00C42907">
      <w:pPr>
        <w:spacing w:after="0" w:line="240" w:lineRule="auto"/>
      </w:pPr>
      <w:r>
        <w:separator/>
      </w:r>
    </w:p>
  </w:endnote>
  <w:endnote w:type="continuationSeparator" w:id="0">
    <w:p w14:paraId="31A57ECC" w14:textId="77777777" w:rsidR="00165772" w:rsidRDefault="00165772" w:rsidP="00C4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FC85E" w14:textId="77777777" w:rsidR="00165772" w:rsidRDefault="00165772" w:rsidP="00C42907">
      <w:pPr>
        <w:spacing w:after="0" w:line="240" w:lineRule="auto"/>
      </w:pPr>
      <w:r>
        <w:separator/>
      </w:r>
    </w:p>
  </w:footnote>
  <w:footnote w:type="continuationSeparator" w:id="0">
    <w:p w14:paraId="03039CE8" w14:textId="77777777" w:rsidR="00165772" w:rsidRDefault="00165772" w:rsidP="00C42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2491"/>
    <w:multiLevelType w:val="hybridMultilevel"/>
    <w:tmpl w:val="6F34C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7D4D"/>
    <w:multiLevelType w:val="hybridMultilevel"/>
    <w:tmpl w:val="AD4CD3E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5547B68"/>
    <w:multiLevelType w:val="hybridMultilevel"/>
    <w:tmpl w:val="22B26B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6F0609"/>
    <w:multiLevelType w:val="hybridMultilevel"/>
    <w:tmpl w:val="72DCEC4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0D7862"/>
    <w:multiLevelType w:val="hybridMultilevel"/>
    <w:tmpl w:val="29063F0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537E26"/>
    <w:multiLevelType w:val="hybridMultilevel"/>
    <w:tmpl w:val="9166A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C4316"/>
    <w:multiLevelType w:val="hybridMultilevel"/>
    <w:tmpl w:val="DBA4C762"/>
    <w:lvl w:ilvl="0" w:tplc="07083B4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D33BB2"/>
    <w:multiLevelType w:val="hybridMultilevel"/>
    <w:tmpl w:val="04545158"/>
    <w:lvl w:ilvl="0" w:tplc="30E06916">
      <w:start w:val="1"/>
      <w:numFmt w:val="decimal"/>
      <w:lvlText w:val="%1."/>
      <w:lvlJc w:val="left"/>
      <w:pPr>
        <w:ind w:left="450" w:hanging="360"/>
      </w:pPr>
      <w:rPr>
        <w:i w:val="0"/>
        <w:strike w:val="0"/>
      </w:rPr>
    </w:lvl>
    <w:lvl w:ilvl="1" w:tplc="5F40A35C">
      <w:start w:val="1"/>
      <w:numFmt w:val="lowerLetter"/>
      <w:lvlText w:val="%2."/>
      <w:lvlJc w:val="left"/>
      <w:pPr>
        <w:ind w:left="1170" w:hanging="360"/>
      </w:pPr>
      <w:rPr>
        <w:i w:val="0"/>
      </w:r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FD01295"/>
    <w:multiLevelType w:val="hybridMultilevel"/>
    <w:tmpl w:val="51601FD6"/>
    <w:lvl w:ilvl="0" w:tplc="CB483F9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96B74"/>
    <w:multiLevelType w:val="hybridMultilevel"/>
    <w:tmpl w:val="5CA49350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4B63F7"/>
    <w:multiLevelType w:val="hybridMultilevel"/>
    <w:tmpl w:val="46C0BB94"/>
    <w:lvl w:ilvl="0" w:tplc="4852037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A1F60"/>
    <w:multiLevelType w:val="hybridMultilevel"/>
    <w:tmpl w:val="C5E6A27E"/>
    <w:lvl w:ilvl="0" w:tplc="D10C54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07"/>
    <w:rsid w:val="000069BB"/>
    <w:rsid w:val="00014302"/>
    <w:rsid w:val="00023CFA"/>
    <w:rsid w:val="00040959"/>
    <w:rsid w:val="000536AB"/>
    <w:rsid w:val="00075CAC"/>
    <w:rsid w:val="00086B3B"/>
    <w:rsid w:val="000A02A9"/>
    <w:rsid w:val="000B479D"/>
    <w:rsid w:val="000B796E"/>
    <w:rsid w:val="000C26B9"/>
    <w:rsid w:val="000C4641"/>
    <w:rsid w:val="000E0883"/>
    <w:rsid w:val="000E2128"/>
    <w:rsid w:val="00107B46"/>
    <w:rsid w:val="001261A6"/>
    <w:rsid w:val="00130E8B"/>
    <w:rsid w:val="00137BBE"/>
    <w:rsid w:val="00165772"/>
    <w:rsid w:val="00171C6B"/>
    <w:rsid w:val="00173DAF"/>
    <w:rsid w:val="00187BD7"/>
    <w:rsid w:val="001A0FF7"/>
    <w:rsid w:val="001B0D71"/>
    <w:rsid w:val="001D587E"/>
    <w:rsid w:val="001D7206"/>
    <w:rsid w:val="001E47BC"/>
    <w:rsid w:val="0020217D"/>
    <w:rsid w:val="00202E01"/>
    <w:rsid w:val="00206B97"/>
    <w:rsid w:val="002211C6"/>
    <w:rsid w:val="00221F25"/>
    <w:rsid w:val="002367D3"/>
    <w:rsid w:val="00240832"/>
    <w:rsid w:val="00252DDA"/>
    <w:rsid w:val="0026137F"/>
    <w:rsid w:val="00274E20"/>
    <w:rsid w:val="00283385"/>
    <w:rsid w:val="002A0B8A"/>
    <w:rsid w:val="002A6D8B"/>
    <w:rsid w:val="002B5410"/>
    <w:rsid w:val="002C0959"/>
    <w:rsid w:val="002C56A3"/>
    <w:rsid w:val="002E0197"/>
    <w:rsid w:val="002E4410"/>
    <w:rsid w:val="002F008D"/>
    <w:rsid w:val="00317621"/>
    <w:rsid w:val="00317FFB"/>
    <w:rsid w:val="0032119E"/>
    <w:rsid w:val="00325AC1"/>
    <w:rsid w:val="00335BB8"/>
    <w:rsid w:val="00340296"/>
    <w:rsid w:val="003420D4"/>
    <w:rsid w:val="00346C25"/>
    <w:rsid w:val="0035441B"/>
    <w:rsid w:val="0035780D"/>
    <w:rsid w:val="00372A1A"/>
    <w:rsid w:val="00393C00"/>
    <w:rsid w:val="00396AF7"/>
    <w:rsid w:val="003B5D53"/>
    <w:rsid w:val="003D77E6"/>
    <w:rsid w:val="003F0060"/>
    <w:rsid w:val="003F2CC7"/>
    <w:rsid w:val="00404214"/>
    <w:rsid w:val="00417815"/>
    <w:rsid w:val="00446DAD"/>
    <w:rsid w:val="0045761D"/>
    <w:rsid w:val="004578BC"/>
    <w:rsid w:val="00467A80"/>
    <w:rsid w:val="004753B2"/>
    <w:rsid w:val="00476645"/>
    <w:rsid w:val="004B294E"/>
    <w:rsid w:val="004C308A"/>
    <w:rsid w:val="004D5C5C"/>
    <w:rsid w:val="00507642"/>
    <w:rsid w:val="005139DB"/>
    <w:rsid w:val="00517365"/>
    <w:rsid w:val="0053099E"/>
    <w:rsid w:val="00555CB4"/>
    <w:rsid w:val="00571379"/>
    <w:rsid w:val="0057445D"/>
    <w:rsid w:val="0057657E"/>
    <w:rsid w:val="00592230"/>
    <w:rsid w:val="005A1F3D"/>
    <w:rsid w:val="005A7148"/>
    <w:rsid w:val="005B36D8"/>
    <w:rsid w:val="005B381B"/>
    <w:rsid w:val="005D3177"/>
    <w:rsid w:val="005F3240"/>
    <w:rsid w:val="0063587D"/>
    <w:rsid w:val="00635D2B"/>
    <w:rsid w:val="0064150E"/>
    <w:rsid w:val="006462EA"/>
    <w:rsid w:val="00647DA4"/>
    <w:rsid w:val="00650388"/>
    <w:rsid w:val="00651C16"/>
    <w:rsid w:val="00660B96"/>
    <w:rsid w:val="00673D11"/>
    <w:rsid w:val="006759DA"/>
    <w:rsid w:val="006803A6"/>
    <w:rsid w:val="00681BBC"/>
    <w:rsid w:val="006A1F0D"/>
    <w:rsid w:val="006A2C54"/>
    <w:rsid w:val="006A7ED9"/>
    <w:rsid w:val="006B3B4E"/>
    <w:rsid w:val="006B4AEC"/>
    <w:rsid w:val="006D08B5"/>
    <w:rsid w:val="006E64FC"/>
    <w:rsid w:val="006F1643"/>
    <w:rsid w:val="00721BC6"/>
    <w:rsid w:val="007259E0"/>
    <w:rsid w:val="007272BE"/>
    <w:rsid w:val="007469C0"/>
    <w:rsid w:val="00751A12"/>
    <w:rsid w:val="00763235"/>
    <w:rsid w:val="00783EB8"/>
    <w:rsid w:val="0078566B"/>
    <w:rsid w:val="00785F40"/>
    <w:rsid w:val="007871C3"/>
    <w:rsid w:val="00795F50"/>
    <w:rsid w:val="007C0562"/>
    <w:rsid w:val="007D31AE"/>
    <w:rsid w:val="008013D6"/>
    <w:rsid w:val="00821FA5"/>
    <w:rsid w:val="00834A4E"/>
    <w:rsid w:val="00841C64"/>
    <w:rsid w:val="00843597"/>
    <w:rsid w:val="008717CE"/>
    <w:rsid w:val="00881348"/>
    <w:rsid w:val="00892E99"/>
    <w:rsid w:val="008A0E23"/>
    <w:rsid w:val="008A4905"/>
    <w:rsid w:val="008D744B"/>
    <w:rsid w:val="009074DC"/>
    <w:rsid w:val="00911D45"/>
    <w:rsid w:val="0092378E"/>
    <w:rsid w:val="00923E57"/>
    <w:rsid w:val="00923FF2"/>
    <w:rsid w:val="0093370B"/>
    <w:rsid w:val="00965D44"/>
    <w:rsid w:val="00973927"/>
    <w:rsid w:val="00984FA8"/>
    <w:rsid w:val="00993F24"/>
    <w:rsid w:val="009D6249"/>
    <w:rsid w:val="009D7371"/>
    <w:rsid w:val="009E5A3F"/>
    <w:rsid w:val="009F17BE"/>
    <w:rsid w:val="00A109BC"/>
    <w:rsid w:val="00A20F7F"/>
    <w:rsid w:val="00A31B79"/>
    <w:rsid w:val="00A34A30"/>
    <w:rsid w:val="00A42352"/>
    <w:rsid w:val="00A4616F"/>
    <w:rsid w:val="00A51F3E"/>
    <w:rsid w:val="00A57E4E"/>
    <w:rsid w:val="00A660E2"/>
    <w:rsid w:val="00A719D9"/>
    <w:rsid w:val="00A7331C"/>
    <w:rsid w:val="00A87ED4"/>
    <w:rsid w:val="00AE4036"/>
    <w:rsid w:val="00B13861"/>
    <w:rsid w:val="00B3555F"/>
    <w:rsid w:val="00B41B6A"/>
    <w:rsid w:val="00B43047"/>
    <w:rsid w:val="00B44F02"/>
    <w:rsid w:val="00B60157"/>
    <w:rsid w:val="00B72CA1"/>
    <w:rsid w:val="00B732A4"/>
    <w:rsid w:val="00B8652A"/>
    <w:rsid w:val="00B92DC5"/>
    <w:rsid w:val="00BC1EFD"/>
    <w:rsid w:val="00BE0AA9"/>
    <w:rsid w:val="00BF51CD"/>
    <w:rsid w:val="00BF7F29"/>
    <w:rsid w:val="00C00251"/>
    <w:rsid w:val="00C11293"/>
    <w:rsid w:val="00C213A7"/>
    <w:rsid w:val="00C27698"/>
    <w:rsid w:val="00C31878"/>
    <w:rsid w:val="00C42907"/>
    <w:rsid w:val="00C46387"/>
    <w:rsid w:val="00C470A0"/>
    <w:rsid w:val="00C81A19"/>
    <w:rsid w:val="00C823C8"/>
    <w:rsid w:val="00CA287C"/>
    <w:rsid w:val="00CA7445"/>
    <w:rsid w:val="00CD3980"/>
    <w:rsid w:val="00CF067D"/>
    <w:rsid w:val="00D02B97"/>
    <w:rsid w:val="00D05E90"/>
    <w:rsid w:val="00D17FEF"/>
    <w:rsid w:val="00D30700"/>
    <w:rsid w:val="00D33ABE"/>
    <w:rsid w:val="00D44F13"/>
    <w:rsid w:val="00D5209C"/>
    <w:rsid w:val="00D52BD1"/>
    <w:rsid w:val="00D55492"/>
    <w:rsid w:val="00D55ED4"/>
    <w:rsid w:val="00D73C6D"/>
    <w:rsid w:val="00D82C45"/>
    <w:rsid w:val="00D9241C"/>
    <w:rsid w:val="00DC3623"/>
    <w:rsid w:val="00DD4A06"/>
    <w:rsid w:val="00DF0243"/>
    <w:rsid w:val="00E2783F"/>
    <w:rsid w:val="00E43DB2"/>
    <w:rsid w:val="00E6619B"/>
    <w:rsid w:val="00E70B9B"/>
    <w:rsid w:val="00E9377F"/>
    <w:rsid w:val="00EA1A4D"/>
    <w:rsid w:val="00EB0254"/>
    <w:rsid w:val="00EB236F"/>
    <w:rsid w:val="00EB433C"/>
    <w:rsid w:val="00EC6916"/>
    <w:rsid w:val="00EC71EF"/>
    <w:rsid w:val="00EC7E10"/>
    <w:rsid w:val="00ED17D6"/>
    <w:rsid w:val="00ED2897"/>
    <w:rsid w:val="00F44FE7"/>
    <w:rsid w:val="00F45C1B"/>
    <w:rsid w:val="00F46A81"/>
    <w:rsid w:val="00F4750F"/>
    <w:rsid w:val="00F55DF9"/>
    <w:rsid w:val="00F6592E"/>
    <w:rsid w:val="00F821D1"/>
    <w:rsid w:val="00FD2D22"/>
    <w:rsid w:val="00FD748E"/>
    <w:rsid w:val="00F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EDA19"/>
  <w15:chartTrackingRefBased/>
  <w15:docId w15:val="{CEB44BB3-0E02-4C2B-BA62-D014730C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907"/>
  </w:style>
  <w:style w:type="paragraph" w:styleId="Footer">
    <w:name w:val="footer"/>
    <w:basedOn w:val="Normal"/>
    <w:link w:val="FooterChar"/>
    <w:uiPriority w:val="99"/>
    <w:unhideWhenUsed/>
    <w:rsid w:val="00C42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907"/>
  </w:style>
  <w:style w:type="paragraph" w:customStyle="1" w:styleId="Default">
    <w:name w:val="Default"/>
    <w:rsid w:val="00C4290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st">
    <w:name w:val="st"/>
    <w:basedOn w:val="DefaultParagraphFont"/>
    <w:rsid w:val="00B92DC5"/>
  </w:style>
  <w:style w:type="character" w:styleId="Emphasis">
    <w:name w:val="Emphasis"/>
    <w:basedOn w:val="DefaultParagraphFont"/>
    <w:uiPriority w:val="20"/>
    <w:qFormat/>
    <w:rsid w:val="00B92DC5"/>
    <w:rPr>
      <w:i/>
      <w:iCs/>
    </w:rPr>
  </w:style>
  <w:style w:type="paragraph" w:styleId="ListParagraph">
    <w:name w:val="List Paragraph"/>
    <w:basedOn w:val="Normal"/>
    <w:uiPriority w:val="34"/>
    <w:qFormat/>
    <w:rsid w:val="003176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5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CAC"/>
    <w:pPr>
      <w:spacing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CAC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AC"/>
    <w:rPr>
      <w:rFonts w:ascii="Segoe UI" w:hAnsi="Segoe UI" w:cs="Segoe UI"/>
      <w:sz w:val="18"/>
      <w:szCs w:val="18"/>
    </w:rPr>
  </w:style>
  <w:style w:type="character" w:customStyle="1" w:styleId="street-address">
    <w:name w:val="street-address"/>
    <w:basedOn w:val="DefaultParagraphFont"/>
    <w:rsid w:val="00B44F02"/>
  </w:style>
  <w:style w:type="paragraph" w:styleId="FootnoteText">
    <w:name w:val="footnote text"/>
    <w:basedOn w:val="Normal"/>
    <w:link w:val="FootnoteTextChar"/>
    <w:uiPriority w:val="99"/>
    <w:semiHidden/>
    <w:unhideWhenUsed/>
    <w:rsid w:val="005713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13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1379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235"/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235"/>
    <w:rPr>
      <w:rFonts w:ascii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578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9488F-A2E9-4DE0-8D02-A879CED6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Hamid</dc:creator>
  <cp:keywords/>
  <dc:description/>
  <cp:lastModifiedBy>Emma O'Hara</cp:lastModifiedBy>
  <cp:revision>2</cp:revision>
  <dcterms:created xsi:type="dcterms:W3CDTF">2022-08-05T09:56:00Z</dcterms:created>
  <dcterms:modified xsi:type="dcterms:W3CDTF">2022-08-05T09:56:00Z</dcterms:modified>
</cp:coreProperties>
</file>