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Pr="006C0E0B" w:rsidRDefault="0023662B" w:rsidP="000575B3">
      <w:pPr>
        <w:ind w:left="14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bookmarkStart w:id="0" w:name="_GoBack"/>
      <w:bookmarkEnd w:id="0"/>
      <w:r w:rsidR="00B26F64" w:rsidRPr="006C0E0B">
        <w:rPr>
          <w:sz w:val="24"/>
          <w:szCs w:val="24"/>
        </w:rPr>
        <w:t>Report No:</w:t>
      </w:r>
      <w:r w:rsidR="00E755E4" w:rsidRPr="006C0E0B">
        <w:rPr>
          <w:sz w:val="24"/>
          <w:szCs w:val="24"/>
        </w:rPr>
        <w:t xml:space="preserve"> </w:t>
      </w:r>
      <w:r w:rsidR="0002748C" w:rsidRPr="006C0E0B">
        <w:rPr>
          <w:b/>
          <w:color w:val="000000" w:themeColor="text1"/>
          <w:sz w:val="24"/>
          <w:szCs w:val="24"/>
        </w:rPr>
        <w:t>SLAB/20</w:t>
      </w:r>
      <w:r w:rsidR="009203F8" w:rsidRPr="006C0E0B">
        <w:rPr>
          <w:b/>
          <w:color w:val="000000" w:themeColor="text1"/>
          <w:sz w:val="24"/>
          <w:szCs w:val="24"/>
        </w:rPr>
        <w:t>2</w:t>
      </w:r>
      <w:r w:rsidR="00D876E3" w:rsidRPr="006C0E0B">
        <w:rPr>
          <w:b/>
          <w:color w:val="000000" w:themeColor="text1"/>
          <w:sz w:val="24"/>
          <w:szCs w:val="24"/>
        </w:rPr>
        <w:t>2</w:t>
      </w:r>
      <w:r w:rsidR="00E755E4" w:rsidRPr="006C0E0B">
        <w:rPr>
          <w:b/>
          <w:color w:val="000000" w:themeColor="text1"/>
          <w:sz w:val="24"/>
          <w:szCs w:val="24"/>
        </w:rPr>
        <w:t>/</w:t>
      </w:r>
      <w:r w:rsidR="009A3515" w:rsidRPr="006C0E0B">
        <w:rPr>
          <w:b/>
          <w:sz w:val="24"/>
          <w:szCs w:val="24"/>
        </w:rPr>
        <w:t>2</w:t>
      </w:r>
      <w:r w:rsidR="006C0E0B" w:rsidRPr="006C0E0B">
        <w:rPr>
          <w:b/>
          <w:sz w:val="24"/>
          <w:szCs w:val="24"/>
        </w:rPr>
        <w:t>8</w:t>
      </w:r>
    </w:p>
    <w:p w:rsidR="00B26F64" w:rsidRPr="00D6012C" w:rsidRDefault="00B26F64" w:rsidP="00B26F64">
      <w:pPr>
        <w:jc w:val="right"/>
        <w:rPr>
          <w:sz w:val="24"/>
          <w:szCs w:val="24"/>
        </w:rPr>
      </w:pPr>
      <w:r w:rsidRPr="006C0E0B">
        <w:rPr>
          <w:sz w:val="24"/>
          <w:szCs w:val="24"/>
        </w:rPr>
        <w:t>Agenda Item:</w:t>
      </w:r>
      <w:r w:rsidR="00E755E4" w:rsidRPr="006C0E0B">
        <w:rPr>
          <w:sz w:val="24"/>
          <w:szCs w:val="24"/>
        </w:rPr>
        <w:t xml:space="preserve"> </w:t>
      </w:r>
      <w:r w:rsidR="00E4674F" w:rsidRPr="006C0E0B">
        <w:rPr>
          <w:b/>
          <w:sz w:val="24"/>
          <w:szCs w:val="24"/>
        </w:rPr>
        <w:t>04</w:t>
      </w:r>
    </w:p>
    <w:p w:rsidR="00B26F64" w:rsidRPr="00DE249E" w:rsidRDefault="00B26F64" w:rsidP="00B26F64">
      <w:pPr>
        <w:jc w:val="right"/>
        <w:rPr>
          <w:sz w:val="24"/>
          <w:szCs w:val="24"/>
          <w:highlight w:val="yellow"/>
        </w:rPr>
      </w:pPr>
    </w:p>
    <w:p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B86375">
                <w:pPr>
                  <w:rPr>
                    <w:sz w:val="24"/>
                    <w:szCs w:val="24"/>
                  </w:rPr>
                </w:pPr>
                <w:r w:rsidRPr="00576202">
                  <w:rPr>
                    <w:sz w:val="24"/>
                    <w:szCs w:val="24"/>
                  </w:rPr>
                  <w:t>The Board</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Meeting Date:</w:t>
            </w:r>
          </w:p>
        </w:tc>
        <w:tc>
          <w:tcPr>
            <w:tcW w:w="7088" w:type="dxa"/>
          </w:tcPr>
          <w:p w:rsidR="00A52E01" w:rsidRPr="00576202" w:rsidRDefault="00634899" w:rsidP="00A52E01">
            <w:pPr>
              <w:rPr>
                <w:sz w:val="24"/>
                <w:szCs w:val="24"/>
              </w:rPr>
            </w:pPr>
            <w:r>
              <w:rPr>
                <w:sz w:val="24"/>
                <w:szCs w:val="24"/>
              </w:rPr>
              <w:t>15 August</w:t>
            </w:r>
            <w:r w:rsidR="00D876E3">
              <w:rPr>
                <w:sz w:val="24"/>
                <w:szCs w:val="24"/>
              </w:rPr>
              <w:t xml:space="preserve"> 2022</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Title</w:t>
            </w:r>
          </w:p>
        </w:tc>
        <w:tc>
          <w:tcPr>
            <w:tcW w:w="7088" w:type="dxa"/>
          </w:tcPr>
          <w:p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rsidTr="00F666E1">
        <w:tc>
          <w:tcPr>
            <w:tcW w:w="2405" w:type="dxa"/>
            <w:shd w:val="clear" w:color="auto" w:fill="D9D9D9" w:themeFill="background1" w:themeFillShade="D9"/>
          </w:tcPr>
          <w:p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205332" w:rsidP="009D2260">
                <w:pPr>
                  <w:rPr>
                    <w:sz w:val="24"/>
                    <w:szCs w:val="24"/>
                  </w:rPr>
                </w:pPr>
                <w:r w:rsidRPr="00576202">
                  <w:rPr>
                    <w:sz w:val="24"/>
                    <w:szCs w:val="24"/>
                  </w:rPr>
                  <w:t>For Information</w:t>
                </w:r>
              </w:p>
            </w:sdtContent>
          </w:sdt>
        </w:tc>
      </w:tr>
      <w:tr w:rsidR="00246439" w:rsidRPr="00DE249E" w:rsidTr="00F666E1">
        <w:tc>
          <w:tcPr>
            <w:tcW w:w="2405" w:type="dxa"/>
            <w:shd w:val="clear" w:color="auto" w:fill="D9D9D9" w:themeFill="background1" w:themeFillShade="D9"/>
          </w:tcPr>
          <w:p w:rsidR="00246439" w:rsidRPr="00576202" w:rsidRDefault="00246439" w:rsidP="002C16D3">
            <w:pPr>
              <w:rPr>
                <w:b/>
                <w:sz w:val="24"/>
                <w:szCs w:val="24"/>
              </w:rPr>
            </w:pPr>
            <w:r w:rsidRPr="00576202">
              <w:rPr>
                <w:b/>
                <w:sz w:val="24"/>
                <w:szCs w:val="24"/>
              </w:rPr>
              <w:t>Issue status:</w:t>
            </w:r>
          </w:p>
          <w:p w:rsidR="00246439" w:rsidRPr="00576202"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331BF0" w:rsidP="00331BF0">
            <w:pPr>
              <w:rPr>
                <w:sz w:val="24"/>
                <w:szCs w:val="24"/>
              </w:rPr>
            </w:pPr>
            <w:r>
              <w:rPr>
                <w:sz w:val="24"/>
                <w:szCs w:val="24"/>
              </w:rPr>
              <w:t>Audrey Crawford</w:t>
            </w:r>
          </w:p>
        </w:tc>
      </w:tr>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7088" w:type="dxa"/>
          </w:tcPr>
          <w:p w:rsidR="00B26F64" w:rsidRPr="00576202" w:rsidRDefault="00D876E3" w:rsidP="00B86375">
            <w:pPr>
              <w:rPr>
                <w:sz w:val="24"/>
                <w:szCs w:val="24"/>
              </w:rPr>
            </w:pPr>
            <w:r>
              <w:rPr>
                <w:sz w:val="24"/>
                <w:szCs w:val="24"/>
              </w:rPr>
              <w:t>Linda Ross</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Presented by:</w:t>
            </w:r>
          </w:p>
        </w:tc>
        <w:tc>
          <w:tcPr>
            <w:tcW w:w="7088" w:type="dxa"/>
          </w:tcPr>
          <w:p w:rsidR="00B26F64" w:rsidRPr="00576202" w:rsidRDefault="00D876E3" w:rsidP="00205332">
            <w:pPr>
              <w:rPr>
                <w:sz w:val="24"/>
                <w:szCs w:val="24"/>
              </w:rPr>
            </w:pPr>
            <w:r>
              <w:rPr>
                <w:sz w:val="24"/>
                <w:szCs w:val="24"/>
              </w:rPr>
              <w:t>Linda Ross</w:t>
            </w:r>
          </w:p>
        </w:tc>
      </w:tr>
      <w:tr w:rsidR="00BB64D3" w:rsidRPr="00DE249E" w:rsidTr="00F666E1">
        <w:tc>
          <w:tcPr>
            <w:tcW w:w="2405" w:type="dxa"/>
            <w:shd w:val="clear" w:color="auto" w:fill="D9D9D9" w:themeFill="background1" w:themeFillShade="D9"/>
          </w:tcPr>
          <w:p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D876E3" w:rsidP="00205332">
            <w:pPr>
              <w:rPr>
                <w:sz w:val="24"/>
                <w:szCs w:val="24"/>
              </w:rPr>
            </w:pPr>
            <w:r>
              <w:rPr>
                <w:sz w:val="24"/>
                <w:szCs w:val="24"/>
              </w:rPr>
              <w:t>rossli</w:t>
            </w:r>
            <w:r w:rsidR="00205332" w:rsidRPr="00576202">
              <w:rPr>
                <w:sz w:val="24"/>
                <w:szCs w:val="24"/>
              </w:rPr>
              <w:t>@slab.org.uk</w:t>
            </w:r>
          </w:p>
        </w:tc>
      </w:tr>
    </w:tbl>
    <w:p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rsidTr="00B86375">
        <w:tc>
          <w:tcPr>
            <w:tcW w:w="9493" w:type="dxa"/>
            <w:gridSpan w:val="2"/>
            <w:shd w:val="clear" w:color="auto" w:fill="D9D9D9" w:themeFill="background1" w:themeFillShade="D9"/>
          </w:tcPr>
          <w:p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9E32FC" w:rsidRPr="00DE249E" w:rsidTr="00390110">
        <w:tc>
          <w:tcPr>
            <w:tcW w:w="2405" w:type="dxa"/>
          </w:tcPr>
          <w:p w:rsidR="009E32FC" w:rsidRPr="00835827" w:rsidRDefault="009E32FC" w:rsidP="009E32FC">
            <w:pPr>
              <w:rPr>
                <w:sz w:val="24"/>
                <w:szCs w:val="24"/>
              </w:rPr>
            </w:pPr>
            <w:r w:rsidRPr="00835827">
              <w:rPr>
                <w:sz w:val="24"/>
                <w:szCs w:val="24"/>
              </w:rPr>
              <w:t xml:space="preserve">Select the Strategic Objective(s) relevant to the issues </w:t>
            </w:r>
          </w:p>
        </w:tc>
        <w:tc>
          <w:tcPr>
            <w:tcW w:w="7088" w:type="dxa"/>
          </w:tcPr>
          <w:p w:rsidR="009E32FC" w:rsidRPr="00AD695C" w:rsidRDefault="009E32FC" w:rsidP="00093873">
            <w:pPr>
              <w:numPr>
                <w:ilvl w:val="0"/>
                <w:numId w:val="12"/>
              </w:numPr>
              <w:ind w:left="316"/>
              <w:rPr>
                <w:sz w:val="24"/>
                <w:szCs w:val="24"/>
              </w:rPr>
            </w:pPr>
            <w:r w:rsidRPr="00AD695C">
              <w:rPr>
                <w:sz w:val="24"/>
                <w:szCs w:val="24"/>
              </w:rPr>
              <w:t>We deliver a high quality user focussed service</w:t>
            </w:r>
          </w:p>
          <w:p w:rsidR="009E32FC" w:rsidRPr="00835827" w:rsidRDefault="009E32FC" w:rsidP="009E32FC">
            <w:pPr>
              <w:spacing w:after="120"/>
              <w:rPr>
                <w:sz w:val="24"/>
                <w:szCs w:val="24"/>
              </w:rPr>
            </w:pPr>
          </w:p>
        </w:tc>
      </w:tr>
    </w:tbl>
    <w:p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246439">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B86375">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DA7163" w:rsidRDefault="005C6194" w:rsidP="00634899">
            <w:pPr>
              <w:spacing w:before="120" w:after="120"/>
              <w:rPr>
                <w:sz w:val="24"/>
                <w:szCs w:val="24"/>
              </w:rPr>
            </w:pPr>
            <w:r w:rsidRPr="00FC59C3">
              <w:rPr>
                <w:sz w:val="24"/>
                <w:szCs w:val="24"/>
              </w:rPr>
              <w:t>E</w:t>
            </w:r>
            <w:r w:rsidR="00255D5A" w:rsidRPr="00FC59C3">
              <w:rPr>
                <w:sz w:val="24"/>
                <w:szCs w:val="24"/>
              </w:rPr>
              <w:t xml:space="preserve">xpenditure </w:t>
            </w:r>
            <w:r w:rsidR="000938DC" w:rsidRPr="00FC59C3">
              <w:rPr>
                <w:sz w:val="24"/>
                <w:szCs w:val="24"/>
              </w:rPr>
              <w:t xml:space="preserve">for the </w:t>
            </w:r>
            <w:r w:rsidR="000575B3">
              <w:rPr>
                <w:sz w:val="24"/>
                <w:szCs w:val="24"/>
              </w:rPr>
              <w:t>period</w:t>
            </w:r>
            <w:r w:rsidR="00634899">
              <w:rPr>
                <w:sz w:val="24"/>
                <w:szCs w:val="24"/>
              </w:rPr>
              <w:t xml:space="preserve"> ended 30</w:t>
            </w:r>
            <w:r w:rsidR="00634899" w:rsidRPr="00634899">
              <w:rPr>
                <w:sz w:val="24"/>
                <w:szCs w:val="24"/>
                <w:vertAlign w:val="superscript"/>
              </w:rPr>
              <w:t>th</w:t>
            </w:r>
            <w:r w:rsidR="00634899">
              <w:rPr>
                <w:sz w:val="24"/>
                <w:szCs w:val="24"/>
              </w:rPr>
              <w:t xml:space="preserve"> June</w:t>
            </w:r>
            <w:r w:rsidR="00D876E3">
              <w:rPr>
                <w:sz w:val="24"/>
                <w:szCs w:val="24"/>
              </w:rPr>
              <w:t xml:space="preserve"> 2022</w:t>
            </w:r>
            <w:r w:rsidR="00DA7163" w:rsidRPr="006D3AD3">
              <w:rPr>
                <w:sz w:val="24"/>
                <w:szCs w:val="24"/>
              </w:rPr>
              <w:t xml:space="preserve"> </w:t>
            </w:r>
            <w:r w:rsidR="00255D5A" w:rsidRPr="006766E2">
              <w:rPr>
                <w:sz w:val="24"/>
                <w:szCs w:val="24"/>
              </w:rPr>
              <w:t xml:space="preserve">is </w:t>
            </w:r>
            <w:r w:rsidR="000E4149" w:rsidRPr="006766E2">
              <w:rPr>
                <w:sz w:val="24"/>
                <w:szCs w:val="24"/>
              </w:rPr>
              <w:t>£</w:t>
            </w:r>
            <w:r w:rsidR="006D3D00">
              <w:rPr>
                <w:sz w:val="24"/>
                <w:szCs w:val="24"/>
              </w:rPr>
              <w:t>3.5</w:t>
            </w:r>
            <w:r w:rsidR="00255D5A" w:rsidRPr="006766E2">
              <w:rPr>
                <w:sz w:val="24"/>
                <w:szCs w:val="24"/>
              </w:rPr>
              <w:t>m</w:t>
            </w:r>
            <w:r w:rsidR="002A6406">
              <w:rPr>
                <w:sz w:val="24"/>
                <w:szCs w:val="24"/>
              </w:rPr>
              <w:t xml:space="preserve"> which is broadly in </w:t>
            </w:r>
            <w:r w:rsidR="006D3D00">
              <w:rPr>
                <w:sz w:val="24"/>
                <w:szCs w:val="24"/>
              </w:rPr>
              <w:t>line with budget profile of £3.6m (a 3.7</w:t>
            </w:r>
            <w:r w:rsidR="002A6406">
              <w:rPr>
                <w:sz w:val="24"/>
                <w:szCs w:val="24"/>
              </w:rPr>
              <w:t>% variance)</w:t>
            </w:r>
          </w:p>
        </w:tc>
      </w:tr>
    </w:tbl>
    <w:p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Detail</w:t>
            </w:r>
          </w:p>
        </w:tc>
      </w:tr>
      <w:tr w:rsidR="00D82F86" w:rsidRPr="003C5DEA" w:rsidTr="00B668B4">
        <w:tc>
          <w:tcPr>
            <w:tcW w:w="2410" w:type="dxa"/>
            <w:tcBorders>
              <w:left w:val="single" w:sz="4" w:space="0" w:color="000000"/>
            </w:tcBorders>
          </w:tcPr>
          <w:p w:rsidR="00D82F86" w:rsidRPr="00331BF0" w:rsidRDefault="00634899" w:rsidP="00960B67">
            <w:pPr>
              <w:spacing w:before="120" w:after="120"/>
              <w:rPr>
                <w:sz w:val="24"/>
                <w:szCs w:val="24"/>
                <w:highlight w:val="yellow"/>
              </w:rPr>
            </w:pPr>
            <w:r>
              <w:rPr>
                <w:sz w:val="24"/>
                <w:szCs w:val="24"/>
              </w:rPr>
              <w:t>27</w:t>
            </w:r>
            <w:r w:rsidR="009203F8" w:rsidRPr="009203F8">
              <w:rPr>
                <w:sz w:val="24"/>
                <w:szCs w:val="24"/>
                <w:vertAlign w:val="superscript"/>
              </w:rPr>
              <w:t>th</w:t>
            </w:r>
            <w:r w:rsidR="00236D42">
              <w:rPr>
                <w:sz w:val="24"/>
                <w:szCs w:val="24"/>
              </w:rPr>
              <w:t xml:space="preserve"> </w:t>
            </w:r>
            <w:r>
              <w:rPr>
                <w:sz w:val="24"/>
                <w:szCs w:val="24"/>
              </w:rPr>
              <w:t>June</w:t>
            </w:r>
            <w:r w:rsidR="000575B3">
              <w:rPr>
                <w:sz w:val="24"/>
                <w:szCs w:val="24"/>
              </w:rPr>
              <w:t xml:space="preserve"> 2022</w:t>
            </w:r>
            <w:r w:rsidR="0002748C">
              <w:rPr>
                <w:sz w:val="22"/>
                <w:szCs w:val="22"/>
              </w:rPr>
              <w:t xml:space="preserve"> -</w:t>
            </w:r>
            <w:r>
              <w:rPr>
                <w:sz w:val="24"/>
                <w:szCs w:val="24"/>
              </w:rPr>
              <w:t>SLAB/2022/21</w:t>
            </w:r>
          </w:p>
        </w:tc>
        <w:tc>
          <w:tcPr>
            <w:tcW w:w="7083" w:type="dxa"/>
            <w:tcBorders>
              <w:left w:val="single" w:sz="4" w:space="0" w:color="000000"/>
            </w:tcBorders>
          </w:tcPr>
          <w:p w:rsidR="00F41C80" w:rsidRPr="00331BF0" w:rsidRDefault="0037522E" w:rsidP="00D876E3">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634899">
              <w:rPr>
                <w:sz w:val="24"/>
                <w:szCs w:val="24"/>
              </w:rPr>
              <w:t>for the period</w:t>
            </w:r>
            <w:r w:rsidR="00A529FE">
              <w:rPr>
                <w:sz w:val="24"/>
                <w:szCs w:val="24"/>
              </w:rPr>
              <w:t xml:space="preserve"> ended</w:t>
            </w:r>
            <w:r w:rsidR="00D876E3">
              <w:rPr>
                <w:sz w:val="24"/>
                <w:szCs w:val="24"/>
              </w:rPr>
              <w:t xml:space="preserve"> 31</w:t>
            </w:r>
            <w:r w:rsidR="00D876E3" w:rsidRPr="00D876E3">
              <w:rPr>
                <w:sz w:val="24"/>
                <w:szCs w:val="24"/>
                <w:vertAlign w:val="superscript"/>
              </w:rPr>
              <w:t>st</w:t>
            </w:r>
            <w:r w:rsidR="00634899">
              <w:rPr>
                <w:sz w:val="24"/>
                <w:szCs w:val="24"/>
              </w:rPr>
              <w:t xml:space="preserve"> May</w:t>
            </w:r>
            <w:r w:rsidR="000575B3">
              <w:rPr>
                <w:sz w:val="24"/>
                <w:szCs w:val="24"/>
              </w:rPr>
              <w:t xml:space="preserve"> 2022</w:t>
            </w:r>
            <w:r w:rsidR="002C7D14">
              <w:rPr>
                <w:sz w:val="24"/>
                <w:szCs w:val="24"/>
              </w:rPr>
              <w:t xml:space="preserve">.  </w:t>
            </w:r>
          </w:p>
        </w:tc>
      </w:tr>
    </w:tbl>
    <w:p w:rsidR="00E93C63" w:rsidRPr="00DE249E" w:rsidRDefault="00E93C63">
      <w:pPr>
        <w:rPr>
          <w:highlight w:val="yellow"/>
        </w:rPr>
      </w:pPr>
    </w:p>
    <w:p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516"/>
        <w:tblW w:w="9493" w:type="dxa"/>
        <w:tblLook w:val="04A0" w:firstRow="1" w:lastRow="0" w:firstColumn="1" w:lastColumn="0" w:noHBand="0" w:noVBand="1"/>
      </w:tblPr>
      <w:tblGrid>
        <w:gridCol w:w="9493"/>
      </w:tblGrid>
      <w:tr w:rsidR="008C0F50" w:rsidRPr="00DE249E" w:rsidTr="008C0F50">
        <w:tc>
          <w:tcPr>
            <w:tcW w:w="9493" w:type="dxa"/>
            <w:shd w:val="clear" w:color="auto" w:fill="D9D9D9" w:themeFill="background1" w:themeFillShade="D9"/>
          </w:tcPr>
          <w:p w:rsidR="008C0F50" w:rsidRPr="00DE249E" w:rsidRDefault="008C0F50" w:rsidP="008C0F50">
            <w:pPr>
              <w:rPr>
                <w:b/>
                <w:sz w:val="24"/>
                <w:szCs w:val="24"/>
                <w:highlight w:val="yellow"/>
              </w:rPr>
            </w:pPr>
            <w:r w:rsidRPr="005B73BF">
              <w:rPr>
                <w:b/>
                <w:sz w:val="24"/>
                <w:szCs w:val="24"/>
              </w:rPr>
              <w:lastRenderedPageBreak/>
              <w:t>Report</w:t>
            </w:r>
          </w:p>
        </w:tc>
      </w:tr>
    </w:tbl>
    <w:p w:rsidR="001E4721" w:rsidRPr="001E4721" w:rsidRDefault="008C0F50" w:rsidP="001E4721">
      <w:pPr>
        <w:pStyle w:val="ListParagraph"/>
        <w:keepNext/>
        <w:numPr>
          <w:ilvl w:val="0"/>
          <w:numId w:val="15"/>
        </w:numPr>
        <w:spacing w:before="120" w:after="120"/>
        <w:outlineLvl w:val="1"/>
        <w:rPr>
          <w:rFonts w:eastAsia="Times New Roman" w:cs="Times New Roman"/>
          <w:b/>
          <w:sz w:val="24"/>
          <w:szCs w:val="24"/>
        </w:rPr>
      </w:pPr>
      <w:r w:rsidRPr="001E4721">
        <w:rPr>
          <w:rFonts w:eastAsia="Times New Roman" w:cs="Times New Roman"/>
          <w:b/>
          <w:sz w:val="24"/>
          <w:szCs w:val="24"/>
        </w:rPr>
        <w:t>Grant-in-Aid Funding</w:t>
      </w:r>
    </w:p>
    <w:p w:rsidR="000C6ADA" w:rsidRPr="001E4721" w:rsidRDefault="000C6ADA" w:rsidP="000C6ADA">
      <w:pPr>
        <w:spacing w:before="120"/>
        <w:rPr>
          <w:rFonts w:eastAsia="Times New Roman" w:cs="Times New Roman"/>
          <w:sz w:val="22"/>
          <w:szCs w:val="22"/>
          <w:vertAlign w:val="superscript"/>
        </w:rPr>
      </w:pPr>
      <w:r>
        <w:rPr>
          <w:sz w:val="24"/>
          <w:szCs w:val="24"/>
        </w:rPr>
        <w:t xml:space="preserve">A breakdown of the total available finding for the year is shown in the table below. A detailed explanation for the various entries – and in particular the changed arrangements relating to the budgeting of pension payments – was set out in the paper to the last meeting. </w:t>
      </w:r>
    </w:p>
    <w:p w:rsidR="00691767" w:rsidRPr="001E4721" w:rsidRDefault="00691767" w:rsidP="009F438A">
      <w:pPr>
        <w:spacing w:after="240"/>
        <w:rPr>
          <w:rFonts w:eastAsia="Times New Roman" w:cs="Times New Roman"/>
          <w:sz w:val="22"/>
          <w:szCs w:val="2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7"/>
        <w:gridCol w:w="1739"/>
        <w:gridCol w:w="1616"/>
      </w:tblGrid>
      <w:tr w:rsidR="00691767" w:rsidRPr="00691767" w:rsidTr="00642518">
        <w:trPr>
          <w:trHeight w:hRule="exact" w:val="562"/>
        </w:trPr>
        <w:tc>
          <w:tcPr>
            <w:tcW w:w="3200" w:type="pct"/>
            <w:tcBorders>
              <w:bottom w:val="single" w:sz="4" w:space="0" w:color="auto"/>
            </w:tcBorders>
          </w:tcPr>
          <w:p w:rsidR="00691767" w:rsidRPr="00691767" w:rsidRDefault="00691767" w:rsidP="00691767">
            <w:pPr>
              <w:spacing w:after="120"/>
              <w:jc w:val="both"/>
              <w:rPr>
                <w:rFonts w:eastAsia="Times New Roman" w:cs="Times New Roman"/>
                <w:b/>
                <w:sz w:val="24"/>
                <w:szCs w:val="24"/>
              </w:rPr>
            </w:pPr>
            <w:r w:rsidRPr="00691767">
              <w:rPr>
                <w:rFonts w:eastAsia="Times New Roman" w:cs="Times New Roman"/>
                <w:b/>
                <w:sz w:val="24"/>
                <w:szCs w:val="24"/>
              </w:rPr>
              <w:t>Funding</w:t>
            </w:r>
          </w:p>
        </w:tc>
        <w:tc>
          <w:tcPr>
            <w:tcW w:w="933" w:type="pct"/>
            <w:tcBorders>
              <w:bottom w:val="single" w:sz="4" w:space="0" w:color="auto"/>
            </w:tcBorders>
          </w:tcPr>
          <w:p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2021-22</w:t>
            </w:r>
          </w:p>
          <w:p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Budget</w:t>
            </w:r>
          </w:p>
        </w:tc>
        <w:tc>
          <w:tcPr>
            <w:tcW w:w="867" w:type="pct"/>
            <w:tcBorders>
              <w:bottom w:val="single" w:sz="4" w:space="0" w:color="auto"/>
            </w:tcBorders>
          </w:tcPr>
          <w:p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2022-23</w:t>
            </w:r>
          </w:p>
          <w:p w:rsidR="00691767" w:rsidRPr="00691767" w:rsidRDefault="00691767" w:rsidP="00691767">
            <w:pPr>
              <w:spacing w:after="120"/>
              <w:jc w:val="center"/>
              <w:rPr>
                <w:rFonts w:eastAsia="Times New Roman" w:cs="Times New Roman"/>
                <w:b/>
                <w:sz w:val="24"/>
                <w:szCs w:val="24"/>
              </w:rPr>
            </w:pPr>
            <w:r w:rsidRPr="00691767">
              <w:rPr>
                <w:rFonts w:eastAsia="Times New Roman" w:cs="Times New Roman"/>
                <w:b/>
                <w:sz w:val="24"/>
                <w:szCs w:val="24"/>
              </w:rPr>
              <w:t>Budget</w:t>
            </w:r>
          </w:p>
        </w:tc>
      </w:tr>
      <w:tr w:rsidR="00691767" w:rsidRPr="00691767" w:rsidTr="00642518">
        <w:trPr>
          <w:trHeight w:hRule="exact" w:val="332"/>
        </w:trPr>
        <w:tc>
          <w:tcPr>
            <w:tcW w:w="3200" w:type="pct"/>
            <w:tcBorders>
              <w:bottom w:val="nil"/>
            </w:tcBorders>
          </w:tcPr>
          <w:p w:rsidR="00691767" w:rsidRPr="00691767" w:rsidRDefault="00691767" w:rsidP="00691767">
            <w:pPr>
              <w:spacing w:after="120"/>
              <w:jc w:val="both"/>
              <w:rPr>
                <w:rFonts w:eastAsia="Times New Roman" w:cs="Times New Roman"/>
                <w:sz w:val="24"/>
                <w:szCs w:val="24"/>
              </w:rPr>
            </w:pPr>
          </w:p>
        </w:tc>
        <w:tc>
          <w:tcPr>
            <w:tcW w:w="933" w:type="pct"/>
            <w:tcBorders>
              <w:bottom w:val="nil"/>
            </w:tcBorders>
          </w:tcPr>
          <w:p w:rsidR="00691767" w:rsidRPr="00691767" w:rsidRDefault="00691767" w:rsidP="00691767">
            <w:pPr>
              <w:spacing w:after="120"/>
              <w:jc w:val="center"/>
              <w:rPr>
                <w:rFonts w:eastAsia="Times New Roman" w:cs="Times New Roman"/>
                <w:b/>
                <w:sz w:val="24"/>
                <w:szCs w:val="24"/>
              </w:rPr>
            </w:pPr>
            <w:r w:rsidRPr="00691767">
              <w:rPr>
                <w:rFonts w:eastAsia="Times New Roman" w:cs="Times New Roman"/>
                <w:b/>
                <w:sz w:val="24"/>
                <w:szCs w:val="24"/>
              </w:rPr>
              <w:t>£k</w:t>
            </w:r>
          </w:p>
        </w:tc>
        <w:tc>
          <w:tcPr>
            <w:tcW w:w="867" w:type="pct"/>
            <w:tcBorders>
              <w:bottom w:val="nil"/>
            </w:tcBorders>
          </w:tcPr>
          <w:p w:rsidR="00691767" w:rsidRPr="00691767" w:rsidRDefault="00691767" w:rsidP="00691767">
            <w:pPr>
              <w:spacing w:after="120"/>
              <w:jc w:val="center"/>
              <w:rPr>
                <w:rFonts w:eastAsia="Times New Roman" w:cs="Times New Roman"/>
                <w:sz w:val="24"/>
                <w:szCs w:val="24"/>
              </w:rPr>
            </w:pPr>
            <w:r w:rsidRPr="00691767">
              <w:rPr>
                <w:rFonts w:eastAsia="Times New Roman" w:cs="Times New Roman"/>
                <w:b/>
                <w:sz w:val="24"/>
                <w:szCs w:val="24"/>
              </w:rPr>
              <w:t>£k</w:t>
            </w:r>
          </w:p>
        </w:tc>
      </w:tr>
      <w:tr w:rsidR="00691767" w:rsidRPr="00691767" w:rsidTr="00642518">
        <w:trPr>
          <w:trHeight w:hRule="exact" w:val="328"/>
        </w:trPr>
        <w:tc>
          <w:tcPr>
            <w:tcW w:w="3200" w:type="pct"/>
            <w:tcBorders>
              <w:top w:val="nil"/>
              <w:bottom w:val="nil"/>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Core SG Funding (Actual/draft SG budget)</w:t>
            </w:r>
          </w:p>
        </w:tc>
        <w:tc>
          <w:tcPr>
            <w:tcW w:w="933" w:type="pct"/>
            <w:tcBorders>
              <w:top w:val="nil"/>
              <w:bottom w:val="nil"/>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12,150</w:t>
            </w:r>
          </w:p>
        </w:tc>
        <w:tc>
          <w:tcPr>
            <w:tcW w:w="867" w:type="pct"/>
            <w:tcBorders>
              <w:top w:val="nil"/>
              <w:bottom w:val="nil"/>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12,530</w:t>
            </w:r>
          </w:p>
        </w:tc>
      </w:tr>
      <w:tr w:rsidR="00691767" w:rsidRPr="00691767" w:rsidTr="00642518">
        <w:trPr>
          <w:trHeight w:hRule="exact" w:val="332"/>
        </w:trPr>
        <w:tc>
          <w:tcPr>
            <w:tcW w:w="3200" w:type="pct"/>
            <w:tcBorders>
              <w:top w:val="nil"/>
              <w:bottom w:val="nil"/>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Non cash funding for Depreciation</w:t>
            </w:r>
          </w:p>
        </w:tc>
        <w:tc>
          <w:tcPr>
            <w:tcW w:w="933" w:type="pct"/>
            <w:tcBorders>
              <w:top w:val="nil"/>
              <w:bottom w:val="nil"/>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(550)</w:t>
            </w:r>
          </w:p>
        </w:tc>
        <w:tc>
          <w:tcPr>
            <w:tcW w:w="867" w:type="pct"/>
            <w:tcBorders>
              <w:top w:val="nil"/>
              <w:bottom w:val="nil"/>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(550)</w:t>
            </w:r>
          </w:p>
        </w:tc>
      </w:tr>
      <w:tr w:rsidR="00691767" w:rsidRPr="00691767" w:rsidTr="00642518">
        <w:trPr>
          <w:trHeight w:hRule="exact" w:val="332"/>
        </w:trPr>
        <w:tc>
          <w:tcPr>
            <w:tcW w:w="3200" w:type="pct"/>
            <w:tcBorders>
              <w:top w:val="nil"/>
              <w:left w:val="single" w:sz="4" w:space="0" w:color="auto"/>
              <w:bottom w:val="nil"/>
              <w:right w:val="single" w:sz="4" w:space="0" w:color="auto"/>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Retained superannuation receipts</w:t>
            </w:r>
          </w:p>
        </w:tc>
        <w:tc>
          <w:tcPr>
            <w:tcW w:w="933"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250</w:t>
            </w:r>
          </w:p>
        </w:tc>
        <w:tc>
          <w:tcPr>
            <w:tcW w:w="867"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250</w:t>
            </w:r>
          </w:p>
        </w:tc>
      </w:tr>
      <w:tr w:rsidR="00691767" w:rsidRPr="00691767" w:rsidTr="00642518">
        <w:trPr>
          <w:trHeight w:hRule="exact" w:val="332"/>
        </w:trPr>
        <w:tc>
          <w:tcPr>
            <w:tcW w:w="3200" w:type="pct"/>
            <w:tcBorders>
              <w:top w:val="nil"/>
              <w:left w:val="single" w:sz="4" w:space="0" w:color="auto"/>
              <w:bottom w:val="nil"/>
              <w:right w:val="single" w:sz="4" w:space="0" w:color="auto"/>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 xml:space="preserve">Additional funding for Grant Funding/ SWRC </w:t>
            </w:r>
          </w:p>
        </w:tc>
        <w:tc>
          <w:tcPr>
            <w:tcW w:w="933"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vertAlign w:val="superscript"/>
              </w:rPr>
            </w:pPr>
            <w:r w:rsidRPr="00691767">
              <w:rPr>
                <w:rFonts w:eastAsia="Times New Roman" w:cs="Times New Roman"/>
                <w:b/>
                <w:sz w:val="24"/>
                <w:szCs w:val="24"/>
              </w:rPr>
              <w:t>62</w:t>
            </w:r>
            <w:r w:rsidRPr="00691767">
              <w:rPr>
                <w:rFonts w:eastAsia="Times New Roman" w:cs="Times New Roman"/>
                <w:b/>
                <w:sz w:val="24"/>
                <w:szCs w:val="24"/>
                <w:vertAlign w:val="superscript"/>
              </w:rPr>
              <w:t>1</w:t>
            </w:r>
          </w:p>
          <w:p w:rsidR="00691767" w:rsidRPr="00691767" w:rsidRDefault="00691767" w:rsidP="00691767">
            <w:pPr>
              <w:ind w:right="601"/>
              <w:jc w:val="center"/>
              <w:rPr>
                <w:rFonts w:eastAsia="Times New Roman" w:cs="Times New Roman"/>
                <w:b/>
                <w:sz w:val="24"/>
                <w:szCs w:val="24"/>
              </w:rPr>
            </w:pPr>
          </w:p>
        </w:tc>
        <w:tc>
          <w:tcPr>
            <w:tcW w:w="867"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vertAlign w:val="superscript"/>
              </w:rPr>
            </w:pPr>
            <w:r w:rsidRPr="00691767">
              <w:rPr>
                <w:rFonts w:eastAsia="Times New Roman" w:cs="Times New Roman"/>
                <w:b/>
                <w:sz w:val="24"/>
                <w:szCs w:val="24"/>
              </w:rPr>
              <w:t>62</w:t>
            </w:r>
            <w:r w:rsidRPr="00691767">
              <w:rPr>
                <w:rFonts w:eastAsia="Times New Roman" w:cs="Times New Roman"/>
                <w:b/>
                <w:sz w:val="24"/>
                <w:szCs w:val="24"/>
                <w:vertAlign w:val="superscript"/>
              </w:rPr>
              <w:t>1</w:t>
            </w:r>
          </w:p>
          <w:p w:rsidR="00691767" w:rsidRPr="00691767" w:rsidRDefault="00691767" w:rsidP="00691767">
            <w:pPr>
              <w:ind w:right="601"/>
              <w:jc w:val="center"/>
              <w:rPr>
                <w:rFonts w:eastAsia="Times New Roman" w:cs="Times New Roman"/>
                <w:b/>
                <w:sz w:val="24"/>
                <w:szCs w:val="24"/>
              </w:rPr>
            </w:pPr>
          </w:p>
        </w:tc>
      </w:tr>
      <w:tr w:rsidR="00691767" w:rsidRPr="00691767" w:rsidTr="00642518">
        <w:trPr>
          <w:trHeight w:hRule="exact" w:val="332"/>
        </w:trPr>
        <w:tc>
          <w:tcPr>
            <w:tcW w:w="3200" w:type="pct"/>
            <w:tcBorders>
              <w:top w:val="nil"/>
              <w:left w:val="single" w:sz="4" w:space="0" w:color="auto"/>
              <w:bottom w:val="nil"/>
              <w:right w:val="single" w:sz="4" w:space="0" w:color="auto"/>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Additional Capital awarded by SG</w:t>
            </w:r>
          </w:p>
        </w:tc>
        <w:tc>
          <w:tcPr>
            <w:tcW w:w="933"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30</w:t>
            </w:r>
          </w:p>
        </w:tc>
        <w:tc>
          <w:tcPr>
            <w:tcW w:w="867"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w:t>
            </w:r>
          </w:p>
        </w:tc>
      </w:tr>
      <w:tr w:rsidR="00691767" w:rsidRPr="00691767" w:rsidTr="00642518">
        <w:trPr>
          <w:trHeight w:hRule="exact" w:val="332"/>
        </w:trPr>
        <w:tc>
          <w:tcPr>
            <w:tcW w:w="3200" w:type="pct"/>
            <w:tcBorders>
              <w:top w:val="nil"/>
              <w:left w:val="single" w:sz="4" w:space="0" w:color="auto"/>
              <w:bottom w:val="nil"/>
              <w:right w:val="single" w:sz="4" w:space="0" w:color="auto"/>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 xml:space="preserve">Pension costs above £327k (up to £1,020k) </w:t>
            </w:r>
          </w:p>
        </w:tc>
        <w:tc>
          <w:tcPr>
            <w:tcW w:w="933"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1,423</w:t>
            </w:r>
            <w:r w:rsidRPr="00691767">
              <w:rPr>
                <w:rFonts w:eastAsia="Times New Roman" w:cs="Times New Roman"/>
                <w:b/>
                <w:sz w:val="24"/>
                <w:szCs w:val="24"/>
                <w:vertAlign w:val="superscript"/>
              </w:rPr>
              <w:t>2</w:t>
            </w:r>
          </w:p>
        </w:tc>
        <w:tc>
          <w:tcPr>
            <w:tcW w:w="867"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1,020</w:t>
            </w:r>
            <w:r w:rsidRPr="00691767">
              <w:rPr>
                <w:rFonts w:eastAsia="Times New Roman" w:cs="Times New Roman"/>
                <w:b/>
                <w:sz w:val="24"/>
                <w:szCs w:val="24"/>
                <w:vertAlign w:val="superscript"/>
              </w:rPr>
              <w:t>2</w:t>
            </w:r>
          </w:p>
        </w:tc>
      </w:tr>
      <w:tr w:rsidR="00691767" w:rsidRPr="00691767" w:rsidTr="00642518">
        <w:trPr>
          <w:trHeight w:hRule="exact" w:val="332"/>
        </w:trPr>
        <w:tc>
          <w:tcPr>
            <w:tcW w:w="3200" w:type="pct"/>
            <w:tcBorders>
              <w:top w:val="nil"/>
              <w:left w:val="single" w:sz="4" w:space="0" w:color="auto"/>
              <w:bottom w:val="nil"/>
              <w:right w:val="single" w:sz="4" w:space="0" w:color="auto"/>
            </w:tcBorders>
            <w:vAlign w:val="center"/>
          </w:tcPr>
          <w:p w:rsidR="00691767" w:rsidRPr="00691767" w:rsidRDefault="00691767" w:rsidP="00691767">
            <w:pPr>
              <w:rPr>
                <w:rFonts w:eastAsia="Times New Roman" w:cs="Times New Roman"/>
                <w:sz w:val="24"/>
                <w:szCs w:val="24"/>
              </w:rPr>
            </w:pPr>
            <w:r w:rsidRPr="00691767">
              <w:rPr>
                <w:rFonts w:eastAsia="Times New Roman" w:cs="Times New Roman"/>
                <w:sz w:val="24"/>
                <w:szCs w:val="24"/>
              </w:rPr>
              <w:t>Pensions costs above £327k (exceeding the £1,020k)</w:t>
            </w:r>
          </w:p>
        </w:tc>
        <w:tc>
          <w:tcPr>
            <w:tcW w:w="933"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w:t>
            </w:r>
          </w:p>
        </w:tc>
        <w:tc>
          <w:tcPr>
            <w:tcW w:w="867" w:type="pct"/>
            <w:tcBorders>
              <w:top w:val="nil"/>
              <w:left w:val="single" w:sz="4" w:space="0" w:color="auto"/>
              <w:bottom w:val="nil"/>
              <w:right w:val="single" w:sz="4" w:space="0" w:color="auto"/>
            </w:tcBorders>
            <w:vAlign w:val="center"/>
          </w:tcPr>
          <w:p w:rsidR="00691767" w:rsidRPr="00691767" w:rsidRDefault="00691767" w:rsidP="00691767">
            <w:pPr>
              <w:ind w:right="601"/>
              <w:jc w:val="right"/>
              <w:rPr>
                <w:rFonts w:eastAsia="Times New Roman" w:cs="Times New Roman"/>
                <w:b/>
                <w:sz w:val="24"/>
                <w:szCs w:val="24"/>
                <w:vertAlign w:val="superscript"/>
              </w:rPr>
            </w:pPr>
            <w:r w:rsidRPr="00691767">
              <w:rPr>
                <w:rFonts w:eastAsia="Times New Roman" w:cs="Times New Roman"/>
                <w:b/>
                <w:sz w:val="24"/>
                <w:szCs w:val="24"/>
              </w:rPr>
              <w:t>253</w:t>
            </w:r>
            <w:r w:rsidRPr="00691767">
              <w:rPr>
                <w:rFonts w:eastAsia="Times New Roman" w:cs="Times New Roman"/>
                <w:b/>
                <w:sz w:val="24"/>
                <w:szCs w:val="24"/>
                <w:vertAlign w:val="superscript"/>
              </w:rPr>
              <w:t>2</w:t>
            </w:r>
          </w:p>
        </w:tc>
      </w:tr>
      <w:tr w:rsidR="00691767" w:rsidRPr="00691767" w:rsidTr="00642518">
        <w:trPr>
          <w:trHeight w:hRule="exact" w:val="415"/>
        </w:trPr>
        <w:tc>
          <w:tcPr>
            <w:tcW w:w="3200" w:type="pct"/>
            <w:tcBorders>
              <w:top w:val="single" w:sz="4" w:space="0" w:color="auto"/>
              <w:bottom w:val="nil"/>
            </w:tcBorders>
            <w:vAlign w:val="center"/>
          </w:tcPr>
          <w:p w:rsidR="00691767" w:rsidRPr="00691767" w:rsidRDefault="00691767" w:rsidP="00691767">
            <w:pPr>
              <w:rPr>
                <w:rFonts w:eastAsia="Times New Roman" w:cs="Times New Roman"/>
                <w:b/>
                <w:bCs/>
                <w:sz w:val="24"/>
                <w:szCs w:val="24"/>
              </w:rPr>
            </w:pPr>
            <w:r w:rsidRPr="00691767">
              <w:rPr>
                <w:rFonts w:eastAsia="Times New Roman" w:cs="Times New Roman"/>
                <w:b/>
                <w:bCs/>
                <w:sz w:val="24"/>
                <w:szCs w:val="24"/>
              </w:rPr>
              <w:t>Total in year funding</w:t>
            </w:r>
          </w:p>
        </w:tc>
        <w:tc>
          <w:tcPr>
            <w:tcW w:w="933" w:type="pct"/>
            <w:tcBorders>
              <w:top w:val="single" w:sz="4" w:space="0" w:color="auto"/>
              <w:bottom w:val="nil"/>
            </w:tcBorders>
            <w:vAlign w:val="center"/>
          </w:tcPr>
          <w:p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13,365</w:t>
            </w:r>
          </w:p>
        </w:tc>
        <w:tc>
          <w:tcPr>
            <w:tcW w:w="867" w:type="pct"/>
            <w:tcBorders>
              <w:top w:val="single" w:sz="4" w:space="0" w:color="auto"/>
              <w:bottom w:val="nil"/>
            </w:tcBorders>
            <w:vAlign w:val="center"/>
          </w:tcPr>
          <w:p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13,565</w:t>
            </w:r>
          </w:p>
        </w:tc>
      </w:tr>
      <w:tr w:rsidR="00691767" w:rsidRPr="00691767" w:rsidTr="00642518">
        <w:trPr>
          <w:trHeight w:hRule="exact" w:val="332"/>
        </w:trPr>
        <w:tc>
          <w:tcPr>
            <w:tcW w:w="3200" w:type="pct"/>
            <w:tcBorders>
              <w:top w:val="nil"/>
              <w:left w:val="single" w:sz="4" w:space="0" w:color="auto"/>
              <w:bottom w:val="single" w:sz="4" w:space="0" w:color="auto"/>
              <w:right w:val="single" w:sz="4" w:space="0" w:color="auto"/>
            </w:tcBorders>
            <w:vAlign w:val="center"/>
          </w:tcPr>
          <w:p w:rsidR="00691767" w:rsidRPr="00691767" w:rsidRDefault="00691767" w:rsidP="00691767">
            <w:pPr>
              <w:rPr>
                <w:rFonts w:eastAsia="Times New Roman" w:cs="Times New Roman"/>
                <w:bCs/>
                <w:sz w:val="24"/>
                <w:szCs w:val="24"/>
              </w:rPr>
            </w:pPr>
            <w:r w:rsidRPr="00691767">
              <w:rPr>
                <w:rFonts w:eastAsia="Times New Roman" w:cs="Times New Roman"/>
                <w:b/>
                <w:bCs/>
                <w:sz w:val="24"/>
                <w:szCs w:val="24"/>
              </w:rPr>
              <w:t>Bank balance brought forward from previous year</w:t>
            </w:r>
          </w:p>
        </w:tc>
        <w:tc>
          <w:tcPr>
            <w:tcW w:w="933" w:type="pct"/>
            <w:tcBorders>
              <w:top w:val="nil"/>
              <w:left w:val="single" w:sz="4" w:space="0" w:color="auto"/>
              <w:bottom w:val="single" w:sz="4" w:space="0" w:color="auto"/>
              <w:right w:val="single" w:sz="4" w:space="0" w:color="auto"/>
            </w:tcBorders>
            <w:vAlign w:val="center"/>
          </w:tcPr>
          <w:p w:rsidR="00691767" w:rsidRPr="00691767" w:rsidRDefault="00691767" w:rsidP="00691767">
            <w:pPr>
              <w:ind w:right="601"/>
              <w:jc w:val="right"/>
              <w:rPr>
                <w:rFonts w:eastAsia="Times New Roman" w:cs="Times New Roman"/>
                <w:b/>
                <w:bCs/>
                <w:sz w:val="24"/>
                <w:szCs w:val="24"/>
                <w:vertAlign w:val="superscript"/>
              </w:rPr>
            </w:pPr>
            <w:r w:rsidRPr="00691767">
              <w:rPr>
                <w:rFonts w:eastAsia="Times New Roman" w:cs="Times New Roman"/>
                <w:b/>
                <w:bCs/>
                <w:sz w:val="24"/>
                <w:szCs w:val="24"/>
              </w:rPr>
              <w:t>759</w:t>
            </w:r>
          </w:p>
        </w:tc>
        <w:tc>
          <w:tcPr>
            <w:tcW w:w="867" w:type="pct"/>
            <w:tcBorders>
              <w:top w:val="nil"/>
              <w:left w:val="single" w:sz="4" w:space="0" w:color="auto"/>
              <w:bottom w:val="single" w:sz="4" w:space="0" w:color="auto"/>
              <w:right w:val="single" w:sz="4" w:space="0" w:color="auto"/>
            </w:tcBorders>
            <w:vAlign w:val="center"/>
          </w:tcPr>
          <w:p w:rsidR="00691767" w:rsidRPr="00691767" w:rsidRDefault="00691767" w:rsidP="00691767">
            <w:pPr>
              <w:ind w:right="601"/>
              <w:jc w:val="right"/>
              <w:rPr>
                <w:rFonts w:eastAsia="Times New Roman" w:cs="Times New Roman"/>
                <w:b/>
                <w:bCs/>
                <w:sz w:val="24"/>
                <w:szCs w:val="24"/>
                <w:vertAlign w:val="superscript"/>
              </w:rPr>
            </w:pPr>
            <w:r w:rsidRPr="00691767">
              <w:rPr>
                <w:rFonts w:eastAsia="Times New Roman" w:cs="Times New Roman"/>
                <w:b/>
                <w:bCs/>
                <w:sz w:val="24"/>
                <w:szCs w:val="24"/>
              </w:rPr>
              <w:t>266</w:t>
            </w:r>
          </w:p>
        </w:tc>
      </w:tr>
      <w:tr w:rsidR="00691767" w:rsidRPr="00691767" w:rsidTr="00642518">
        <w:trPr>
          <w:trHeight w:hRule="exact" w:val="405"/>
        </w:trPr>
        <w:tc>
          <w:tcPr>
            <w:tcW w:w="3200" w:type="pct"/>
            <w:tcBorders>
              <w:top w:val="single" w:sz="4" w:space="0" w:color="auto"/>
              <w:bottom w:val="single" w:sz="4" w:space="0" w:color="auto"/>
            </w:tcBorders>
            <w:vAlign w:val="center"/>
          </w:tcPr>
          <w:p w:rsidR="00691767" w:rsidRPr="00691767" w:rsidRDefault="00691767" w:rsidP="00691767">
            <w:pPr>
              <w:tabs>
                <w:tab w:val="left" w:pos="3990"/>
              </w:tabs>
              <w:rPr>
                <w:rFonts w:eastAsia="Times New Roman" w:cs="Times New Roman"/>
                <w:b/>
                <w:bCs/>
                <w:sz w:val="24"/>
                <w:szCs w:val="24"/>
              </w:rPr>
            </w:pPr>
            <w:r w:rsidRPr="00691767">
              <w:rPr>
                <w:rFonts w:eastAsia="Times New Roman" w:cs="Times New Roman"/>
                <w:b/>
                <w:bCs/>
                <w:sz w:val="24"/>
                <w:szCs w:val="24"/>
              </w:rPr>
              <w:t>Total available funding for the year</w:t>
            </w:r>
          </w:p>
        </w:tc>
        <w:tc>
          <w:tcPr>
            <w:tcW w:w="933" w:type="pct"/>
            <w:tcBorders>
              <w:top w:val="single" w:sz="4" w:space="0" w:color="auto"/>
              <w:bottom w:val="single" w:sz="4" w:space="0" w:color="auto"/>
            </w:tcBorders>
            <w:vAlign w:val="center"/>
          </w:tcPr>
          <w:p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14,124</w:t>
            </w:r>
          </w:p>
        </w:tc>
        <w:tc>
          <w:tcPr>
            <w:tcW w:w="867" w:type="pct"/>
            <w:tcBorders>
              <w:top w:val="single" w:sz="4" w:space="0" w:color="auto"/>
              <w:bottom w:val="single" w:sz="4" w:space="0" w:color="auto"/>
            </w:tcBorders>
            <w:vAlign w:val="center"/>
          </w:tcPr>
          <w:p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13,831</w:t>
            </w:r>
          </w:p>
        </w:tc>
      </w:tr>
    </w:tbl>
    <w:p w:rsidR="00691767" w:rsidRPr="00691767" w:rsidRDefault="00691767" w:rsidP="009F438A">
      <w:pPr>
        <w:ind w:left="142"/>
        <w:rPr>
          <w:rFonts w:eastAsia="Times New Roman" w:cs="Times New Roman"/>
          <w:sz w:val="20"/>
          <w:szCs w:val="20"/>
          <w:vertAlign w:val="superscript"/>
        </w:rPr>
      </w:pPr>
      <w:r w:rsidRPr="00691767">
        <w:rPr>
          <w:rFonts w:eastAsia="Times New Roman" w:cs="Times New Roman"/>
          <w:sz w:val="20"/>
          <w:szCs w:val="20"/>
          <w:vertAlign w:val="superscript"/>
        </w:rPr>
        <w:t>1 Admin fees - £42k for GF and £20k from Justice for SWRC</w:t>
      </w:r>
    </w:p>
    <w:p w:rsidR="00691767" w:rsidRPr="000C6ADA" w:rsidRDefault="00691767" w:rsidP="000C6ADA">
      <w:pPr>
        <w:spacing w:after="120"/>
        <w:rPr>
          <w:rFonts w:eastAsia="Times New Roman" w:cs="Times New Roman"/>
          <w:sz w:val="20"/>
          <w:szCs w:val="20"/>
          <w:vertAlign w:val="superscript"/>
        </w:rPr>
      </w:pPr>
      <w:r w:rsidRPr="00691767">
        <w:rPr>
          <w:rFonts w:eastAsia="Times New Roman" w:cs="Times New Roman"/>
          <w:sz w:val="20"/>
          <w:szCs w:val="20"/>
          <w:vertAlign w:val="superscript"/>
        </w:rPr>
        <w:t>2 Pension costs in 2021-22 (at final indent) were £1,750k (327+1,423=1,750) forecast for 2022-23 is currently £1,600k (327+1,020+253=1,600</w:t>
      </w:r>
    </w:p>
    <w:p w:rsidR="000C6ADA" w:rsidRPr="000C6ADA" w:rsidRDefault="000C6ADA" w:rsidP="000C6ADA">
      <w:pPr>
        <w:pStyle w:val="ListParagraph"/>
        <w:spacing w:after="120"/>
        <w:ind w:left="349"/>
        <w:jc w:val="both"/>
        <w:rPr>
          <w:rFonts w:eastAsia="Times New Roman" w:cs="Times New Roman"/>
          <w:b/>
          <w:sz w:val="24"/>
          <w:szCs w:val="24"/>
        </w:rPr>
      </w:pPr>
    </w:p>
    <w:p w:rsidR="00255D5A" w:rsidRPr="00ED2793" w:rsidRDefault="00255D5A" w:rsidP="00ED2793">
      <w:pPr>
        <w:pStyle w:val="ListParagraph"/>
        <w:numPr>
          <w:ilvl w:val="0"/>
          <w:numId w:val="15"/>
        </w:numPr>
        <w:spacing w:after="120"/>
        <w:jc w:val="both"/>
        <w:rPr>
          <w:rFonts w:eastAsia="Times New Roman" w:cs="Times New Roman"/>
          <w:b/>
          <w:sz w:val="24"/>
          <w:szCs w:val="24"/>
        </w:rPr>
      </w:pPr>
      <w:r w:rsidRPr="00ED2793">
        <w:rPr>
          <w:rFonts w:eastAsia="Times New Roman" w:cs="Times New Roman"/>
          <w:b/>
          <w:sz w:val="24"/>
          <w:szCs w:val="24"/>
        </w:rPr>
        <w:t>Grant-in-Aid</w:t>
      </w:r>
      <w:r w:rsidR="003E2074" w:rsidRPr="00ED2793">
        <w:rPr>
          <w:rFonts w:eastAsia="Times New Roman" w:cs="Times New Roman"/>
          <w:b/>
          <w:sz w:val="24"/>
          <w:szCs w:val="24"/>
        </w:rPr>
        <w:t xml:space="preserve"> Budgets and </w:t>
      </w:r>
      <w:r w:rsidRPr="00ED2793">
        <w:rPr>
          <w:rFonts w:eastAsia="Times New Roman" w:cs="Times New Roman"/>
          <w:b/>
          <w:sz w:val="24"/>
          <w:szCs w:val="24"/>
        </w:rPr>
        <w:t xml:space="preserve">Expenditure </w:t>
      </w:r>
    </w:p>
    <w:p w:rsidR="006D3AD3" w:rsidRPr="006320A5" w:rsidRDefault="006D3AD3" w:rsidP="002B18F1">
      <w:pPr>
        <w:spacing w:before="120"/>
        <w:jc w:val="both"/>
        <w:rPr>
          <w:sz w:val="24"/>
          <w:szCs w:val="24"/>
          <w:highlight w:val="yellow"/>
        </w:rPr>
      </w:pPr>
    </w:p>
    <w:tbl>
      <w:tblPr>
        <w:tblW w:w="4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046"/>
        <w:gridCol w:w="1154"/>
        <w:gridCol w:w="1037"/>
        <w:gridCol w:w="1037"/>
        <w:gridCol w:w="1034"/>
        <w:gridCol w:w="1140"/>
      </w:tblGrid>
      <w:tr w:rsidR="006D3D00" w:rsidRPr="006D3D00" w:rsidTr="000C6ADA">
        <w:trPr>
          <w:trHeight w:hRule="exact" w:val="765"/>
          <w:tblHeader/>
        </w:trPr>
        <w:tc>
          <w:tcPr>
            <w:tcW w:w="869" w:type="pct"/>
          </w:tcPr>
          <w:p w:rsidR="006D3D00" w:rsidRPr="006D3D00" w:rsidRDefault="006D3D00" w:rsidP="006D3D00">
            <w:pPr>
              <w:jc w:val="center"/>
              <w:rPr>
                <w:rFonts w:eastAsia="Times New Roman" w:cs="Times New Roman"/>
                <w:b/>
                <w:sz w:val="20"/>
                <w:szCs w:val="20"/>
              </w:rPr>
            </w:pPr>
            <w:r w:rsidRPr="006D3D00">
              <w:rPr>
                <w:rFonts w:eastAsia="Times New Roman" w:cs="Times New Roman"/>
                <w:sz w:val="20"/>
                <w:szCs w:val="20"/>
              </w:rPr>
              <w:br w:type="page"/>
            </w:r>
            <w:r w:rsidRPr="006D3D00">
              <w:rPr>
                <w:rFonts w:eastAsia="Times New Roman" w:cs="Times New Roman"/>
                <w:b/>
                <w:sz w:val="20"/>
                <w:szCs w:val="20"/>
              </w:rPr>
              <w:br w:type="page"/>
              <w:t xml:space="preserve"> Department</w:t>
            </w:r>
          </w:p>
        </w:tc>
        <w:tc>
          <w:tcPr>
            <w:tcW w:w="683" w:type="pct"/>
            <w:shd w:val="clear" w:color="auto" w:fill="D9D9D9"/>
          </w:tcPr>
          <w:p w:rsidR="006D3D00" w:rsidRPr="006D3D00" w:rsidRDefault="006D3D00" w:rsidP="006D3D00">
            <w:pPr>
              <w:jc w:val="center"/>
              <w:rPr>
                <w:rFonts w:eastAsia="Times New Roman" w:cs="Times New Roman"/>
                <w:b/>
                <w:bCs/>
                <w:sz w:val="20"/>
                <w:szCs w:val="20"/>
              </w:rPr>
            </w:pPr>
            <w:r w:rsidRPr="006D3D00">
              <w:rPr>
                <w:rFonts w:eastAsia="Times New Roman" w:cs="Times New Roman"/>
                <w:b/>
                <w:bCs/>
                <w:sz w:val="20"/>
                <w:szCs w:val="20"/>
              </w:rPr>
              <w:t>Original Annual Budget</w:t>
            </w:r>
          </w:p>
        </w:tc>
        <w:tc>
          <w:tcPr>
            <w:tcW w:w="677" w:type="pct"/>
            <w:shd w:val="clear" w:color="auto" w:fill="DDDDDD"/>
          </w:tcPr>
          <w:p w:rsidR="006D3D00" w:rsidRPr="006D3D00" w:rsidRDefault="006D3D00" w:rsidP="006D3D00">
            <w:pPr>
              <w:jc w:val="center"/>
              <w:rPr>
                <w:rFonts w:eastAsia="Times New Roman" w:cs="Times New Roman"/>
                <w:b/>
                <w:sz w:val="20"/>
                <w:szCs w:val="20"/>
              </w:rPr>
            </w:pPr>
            <w:r>
              <w:rPr>
                <w:rFonts w:eastAsia="Times New Roman" w:cs="Times New Roman"/>
                <w:b/>
                <w:bCs/>
                <w:sz w:val="20"/>
                <w:szCs w:val="20"/>
              </w:rPr>
              <w:t>Qtr 1 Revised</w:t>
            </w:r>
            <w:r w:rsidRPr="006D3D00">
              <w:rPr>
                <w:rFonts w:eastAsia="Times New Roman" w:cs="Times New Roman"/>
                <w:b/>
                <w:bCs/>
                <w:sz w:val="20"/>
                <w:szCs w:val="20"/>
              </w:rPr>
              <w:t xml:space="preserve"> Budget</w:t>
            </w:r>
          </w:p>
        </w:tc>
        <w:tc>
          <w:tcPr>
            <w:tcW w:w="677" w:type="pct"/>
            <w:tcBorders>
              <w:top w:val="single" w:sz="6" w:space="0" w:color="auto"/>
              <w:left w:val="single" w:sz="6" w:space="0" w:color="auto"/>
              <w:bottom w:val="single" w:sz="6" w:space="0" w:color="auto"/>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 xml:space="preserve">Actual </w:t>
            </w:r>
          </w:p>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YTD</w:t>
            </w:r>
          </w:p>
        </w:tc>
        <w:tc>
          <w:tcPr>
            <w:tcW w:w="677" w:type="pct"/>
            <w:tcBorders>
              <w:top w:val="single" w:sz="6" w:space="0" w:color="auto"/>
              <w:left w:val="single" w:sz="6" w:space="0" w:color="auto"/>
              <w:bottom w:val="single" w:sz="6" w:space="0" w:color="auto"/>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Budget</w:t>
            </w:r>
          </w:p>
          <w:p w:rsidR="006D3D00" w:rsidRPr="006D3D00" w:rsidRDefault="006D3D00" w:rsidP="006D3D00">
            <w:pPr>
              <w:spacing w:after="120"/>
              <w:jc w:val="center"/>
              <w:rPr>
                <w:rFonts w:eastAsia="Times New Roman" w:cs="Times New Roman"/>
                <w:sz w:val="20"/>
                <w:szCs w:val="20"/>
              </w:rPr>
            </w:pPr>
            <w:r w:rsidRPr="006D3D00">
              <w:rPr>
                <w:rFonts w:eastAsia="Times New Roman" w:cs="Times New Roman"/>
                <w:b/>
                <w:sz w:val="20"/>
                <w:szCs w:val="20"/>
              </w:rPr>
              <w:t>YTD</w:t>
            </w:r>
          </w:p>
        </w:tc>
        <w:tc>
          <w:tcPr>
            <w:tcW w:w="675" w:type="pct"/>
            <w:tcBorders>
              <w:top w:val="single" w:sz="6" w:space="0" w:color="auto"/>
              <w:left w:val="single" w:sz="6" w:space="0" w:color="auto"/>
              <w:bottom w:val="single" w:sz="6" w:space="0" w:color="auto"/>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Variance</w:t>
            </w:r>
          </w:p>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YTD</w:t>
            </w:r>
          </w:p>
        </w:tc>
        <w:tc>
          <w:tcPr>
            <w:tcW w:w="744" w:type="pct"/>
            <w:tcBorders>
              <w:top w:val="single" w:sz="6" w:space="0" w:color="auto"/>
              <w:left w:val="single" w:sz="6" w:space="0" w:color="auto"/>
              <w:bottom w:val="single" w:sz="6" w:space="0" w:color="auto"/>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Variance</w:t>
            </w:r>
          </w:p>
          <w:p w:rsidR="006D3D00" w:rsidRPr="006D3D00" w:rsidRDefault="00DC3C97" w:rsidP="006D3D00">
            <w:pPr>
              <w:jc w:val="center"/>
              <w:rPr>
                <w:rFonts w:eastAsia="Times New Roman" w:cs="Times New Roman"/>
                <w:b/>
                <w:sz w:val="20"/>
                <w:szCs w:val="20"/>
              </w:rPr>
            </w:pPr>
            <w:r>
              <w:rPr>
                <w:rFonts w:eastAsia="Times New Roman" w:cs="Times New Roman"/>
                <w:b/>
                <w:sz w:val="20"/>
                <w:szCs w:val="20"/>
              </w:rPr>
              <w:t>%</w:t>
            </w:r>
          </w:p>
        </w:tc>
      </w:tr>
      <w:tr w:rsidR="006D3D00" w:rsidRPr="006D3D00" w:rsidTr="000C6ADA">
        <w:trPr>
          <w:trHeight w:val="225"/>
        </w:trPr>
        <w:tc>
          <w:tcPr>
            <w:tcW w:w="869" w:type="pct"/>
            <w:tcBorders>
              <w:bottom w:val="nil"/>
            </w:tcBorders>
          </w:tcPr>
          <w:p w:rsidR="006D3D00" w:rsidRPr="006D3D00" w:rsidRDefault="006D3D00" w:rsidP="006D3D00">
            <w:pPr>
              <w:jc w:val="both"/>
              <w:rPr>
                <w:rFonts w:eastAsia="Times New Roman" w:cs="Times New Roman"/>
                <w:sz w:val="20"/>
                <w:szCs w:val="20"/>
              </w:rPr>
            </w:pPr>
          </w:p>
        </w:tc>
        <w:tc>
          <w:tcPr>
            <w:tcW w:w="683" w:type="pct"/>
            <w:tcBorders>
              <w:bottom w:val="nil"/>
            </w:tcBorders>
            <w:shd w:val="clear" w:color="auto" w:fill="D9D9D9" w:themeFill="background1" w:themeFillShade="D9"/>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£k</w:t>
            </w:r>
          </w:p>
        </w:tc>
        <w:tc>
          <w:tcPr>
            <w:tcW w:w="677" w:type="pct"/>
            <w:tcBorders>
              <w:bottom w:val="nil"/>
            </w:tcBorders>
            <w:shd w:val="clear" w:color="auto" w:fill="DDDDDD"/>
          </w:tcPr>
          <w:p w:rsidR="006D3D00" w:rsidRPr="007A39DE" w:rsidRDefault="006D3D00" w:rsidP="006D3D00">
            <w:pPr>
              <w:ind w:right="-108"/>
              <w:jc w:val="center"/>
              <w:rPr>
                <w:rFonts w:eastAsia="Times New Roman" w:cs="Times New Roman"/>
                <w:b/>
                <w:sz w:val="20"/>
                <w:szCs w:val="20"/>
              </w:rPr>
            </w:pPr>
            <w:r w:rsidRPr="007A39DE">
              <w:rPr>
                <w:rFonts w:eastAsia="Times New Roman" w:cs="Times New Roman"/>
                <w:b/>
                <w:sz w:val="20"/>
                <w:szCs w:val="20"/>
              </w:rPr>
              <w:t>£k</w:t>
            </w:r>
          </w:p>
        </w:tc>
        <w:tc>
          <w:tcPr>
            <w:tcW w:w="677" w:type="pct"/>
            <w:tcBorders>
              <w:top w:val="single" w:sz="6" w:space="0" w:color="auto"/>
              <w:left w:val="single" w:sz="6" w:space="0" w:color="auto"/>
              <w:bottom w:val="nil"/>
              <w:right w:val="single" w:sz="6" w:space="0" w:color="auto"/>
            </w:tcBorders>
          </w:tcPr>
          <w:p w:rsidR="006D3D00" w:rsidRPr="006D3D00" w:rsidRDefault="006D3D00" w:rsidP="006D3D00">
            <w:pPr>
              <w:ind w:right="-108"/>
              <w:jc w:val="center"/>
              <w:rPr>
                <w:rFonts w:eastAsia="Times New Roman" w:cs="Times New Roman"/>
                <w:b/>
                <w:sz w:val="20"/>
                <w:szCs w:val="20"/>
              </w:rPr>
            </w:pPr>
            <w:r w:rsidRPr="006D3D00">
              <w:rPr>
                <w:rFonts w:eastAsia="Times New Roman" w:cs="Times New Roman"/>
                <w:b/>
                <w:sz w:val="20"/>
                <w:szCs w:val="20"/>
              </w:rPr>
              <w:t>£k</w:t>
            </w:r>
          </w:p>
        </w:tc>
        <w:tc>
          <w:tcPr>
            <w:tcW w:w="677" w:type="pct"/>
            <w:tcBorders>
              <w:top w:val="single" w:sz="6" w:space="0" w:color="auto"/>
              <w:left w:val="single" w:sz="6" w:space="0" w:color="auto"/>
              <w:bottom w:val="nil"/>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£k</w:t>
            </w:r>
          </w:p>
        </w:tc>
        <w:tc>
          <w:tcPr>
            <w:tcW w:w="675" w:type="pct"/>
            <w:tcBorders>
              <w:top w:val="single" w:sz="6" w:space="0" w:color="auto"/>
              <w:left w:val="single" w:sz="6" w:space="0" w:color="auto"/>
              <w:bottom w:val="nil"/>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£k</w:t>
            </w:r>
          </w:p>
        </w:tc>
        <w:tc>
          <w:tcPr>
            <w:tcW w:w="744" w:type="pct"/>
            <w:tcBorders>
              <w:top w:val="single" w:sz="6" w:space="0" w:color="auto"/>
              <w:left w:val="single" w:sz="6" w:space="0" w:color="auto"/>
              <w:bottom w:val="nil"/>
              <w:right w:val="single" w:sz="6" w:space="0" w:color="auto"/>
            </w:tcBorders>
          </w:tcPr>
          <w:p w:rsidR="006D3D00" w:rsidRPr="006D3D00" w:rsidRDefault="006D3D00" w:rsidP="006D3D00">
            <w:pPr>
              <w:jc w:val="center"/>
              <w:rPr>
                <w:rFonts w:eastAsia="Times New Roman" w:cs="Times New Roman"/>
                <w:b/>
                <w:sz w:val="20"/>
                <w:szCs w:val="20"/>
              </w:rPr>
            </w:pPr>
            <w:r w:rsidRPr="006D3D00">
              <w:rPr>
                <w:rFonts w:eastAsia="Times New Roman" w:cs="Times New Roman"/>
                <w:b/>
                <w:sz w:val="20"/>
                <w:szCs w:val="20"/>
              </w:rPr>
              <w:t>%</w:t>
            </w:r>
          </w:p>
        </w:tc>
      </w:tr>
      <w:tr w:rsidR="006D3D00" w:rsidRPr="006D3D00" w:rsidTr="000C6ADA">
        <w:trPr>
          <w:trHeight w:val="225"/>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Staff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631</w:t>
            </w:r>
          </w:p>
        </w:tc>
        <w:tc>
          <w:tcPr>
            <w:tcW w:w="677" w:type="pct"/>
            <w:tcBorders>
              <w:top w:val="nil"/>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612</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121</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158</w:t>
            </w:r>
          </w:p>
        </w:tc>
        <w:tc>
          <w:tcPr>
            <w:tcW w:w="675" w:type="pct"/>
            <w:tcBorders>
              <w:top w:val="nil"/>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37</w:t>
            </w:r>
          </w:p>
        </w:tc>
        <w:tc>
          <w:tcPr>
            <w:tcW w:w="744" w:type="pct"/>
            <w:tcBorders>
              <w:top w:val="nil"/>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23.4</w:t>
            </w:r>
          </w:p>
        </w:tc>
      </w:tr>
      <w:tr w:rsidR="006D3D00" w:rsidRPr="006D3D00" w:rsidTr="000C6ADA">
        <w:trPr>
          <w:trHeight w:val="225"/>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Run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8</w:t>
            </w:r>
          </w:p>
        </w:tc>
        <w:tc>
          <w:tcPr>
            <w:tcW w:w="677" w:type="pct"/>
            <w:tcBorders>
              <w:top w:val="nil"/>
              <w:bottom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8</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w:t>
            </w:r>
          </w:p>
        </w:tc>
        <w:tc>
          <w:tcPr>
            <w:tcW w:w="675" w:type="pct"/>
            <w:tcBorders>
              <w:top w:val="nil"/>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color w:val="000000"/>
                <w:sz w:val="20"/>
                <w:szCs w:val="20"/>
              </w:rPr>
            </w:pPr>
            <w:r w:rsidRPr="006D3D00">
              <w:rPr>
                <w:rFonts w:eastAsia="Times New Roman" w:cs="Times New Roman"/>
                <w:color w:val="000000"/>
                <w:sz w:val="20"/>
                <w:szCs w:val="20"/>
              </w:rPr>
              <w:t>1</w:t>
            </w:r>
          </w:p>
        </w:tc>
        <w:tc>
          <w:tcPr>
            <w:tcW w:w="744" w:type="pct"/>
            <w:tcBorders>
              <w:top w:val="nil"/>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color w:val="000000"/>
                <w:sz w:val="20"/>
                <w:szCs w:val="20"/>
              </w:rPr>
            </w:pPr>
            <w:r w:rsidRPr="006D3D00">
              <w:rPr>
                <w:rFonts w:eastAsia="Times New Roman" w:cs="Times New Roman"/>
                <w:color w:val="000000"/>
                <w:sz w:val="20"/>
                <w:szCs w:val="20"/>
              </w:rPr>
              <w:t>100.0</w:t>
            </w:r>
          </w:p>
        </w:tc>
      </w:tr>
      <w:tr w:rsidR="006D3D00" w:rsidRPr="006D3D00" w:rsidTr="000C6ADA">
        <w:trPr>
          <w:trHeight w:val="225"/>
        </w:trPr>
        <w:tc>
          <w:tcPr>
            <w:tcW w:w="869" w:type="pct"/>
            <w:tcBorders>
              <w:top w:val="nil"/>
            </w:tcBorders>
            <w:vAlign w:val="bottom"/>
          </w:tcPr>
          <w:p w:rsidR="006D3D00" w:rsidRPr="006D3D00" w:rsidRDefault="006D3D00" w:rsidP="006D3D00">
            <w:pPr>
              <w:ind w:right="-188"/>
              <w:jc w:val="right"/>
              <w:rPr>
                <w:rFonts w:eastAsia="Times New Roman" w:cs="Times New Roman"/>
                <w:sz w:val="20"/>
                <w:szCs w:val="20"/>
              </w:rPr>
            </w:pPr>
            <w:r w:rsidRPr="006D3D00">
              <w:rPr>
                <w:rFonts w:eastAsia="Times New Roman" w:cs="Times New Roman"/>
                <w:sz w:val="20"/>
                <w:szCs w:val="20"/>
              </w:rPr>
              <w:t>Capital Cost s</w:t>
            </w:r>
          </w:p>
        </w:tc>
        <w:tc>
          <w:tcPr>
            <w:tcW w:w="683" w:type="pct"/>
            <w:tcBorders>
              <w:top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w:t>
            </w:r>
          </w:p>
        </w:tc>
        <w:tc>
          <w:tcPr>
            <w:tcW w:w="677" w:type="pct"/>
            <w:tcBorders>
              <w:top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5"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w:t>
            </w:r>
          </w:p>
        </w:tc>
        <w:tc>
          <w:tcPr>
            <w:tcW w:w="744"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w:t>
            </w:r>
          </w:p>
        </w:tc>
      </w:tr>
      <w:tr w:rsidR="006D3D00" w:rsidRPr="006D3D00" w:rsidTr="000C6ADA">
        <w:trPr>
          <w:trHeight w:val="225"/>
        </w:trPr>
        <w:tc>
          <w:tcPr>
            <w:tcW w:w="869" w:type="pct"/>
            <w:shd w:val="pct15" w:color="auto" w:fill="FFFFFF"/>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Total Chief Exec</w:t>
            </w:r>
          </w:p>
        </w:tc>
        <w:tc>
          <w:tcPr>
            <w:tcW w:w="683" w:type="pct"/>
            <w:shd w:val="clear" w:color="auto" w:fill="D9D9D9" w:themeFill="background1" w:themeFillShade="D9"/>
            <w:vAlign w:val="center"/>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639</w:t>
            </w:r>
          </w:p>
        </w:tc>
        <w:tc>
          <w:tcPr>
            <w:tcW w:w="677" w:type="pct"/>
            <w:shd w:val="clear" w:color="auto" w:fill="DDDDDD"/>
            <w:vAlign w:val="center"/>
          </w:tcPr>
          <w:p w:rsidR="006D3D00" w:rsidRPr="007A39DE" w:rsidRDefault="00AB6E70"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620</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121</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159</w:t>
            </w:r>
          </w:p>
        </w:tc>
        <w:tc>
          <w:tcPr>
            <w:tcW w:w="675"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38</w:t>
            </w:r>
          </w:p>
        </w:tc>
        <w:tc>
          <w:tcPr>
            <w:tcW w:w="744"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84"/>
              <w:jc w:val="right"/>
              <w:rPr>
                <w:rFonts w:eastAsia="Times New Roman" w:cs="Times New Roman"/>
                <w:b/>
                <w:color w:val="000000"/>
                <w:sz w:val="20"/>
                <w:szCs w:val="20"/>
              </w:rPr>
            </w:pPr>
            <w:r w:rsidRPr="006D3D00">
              <w:rPr>
                <w:rFonts w:eastAsia="Times New Roman" w:cs="Times New Roman"/>
                <w:b/>
                <w:color w:val="000000"/>
                <w:sz w:val="20"/>
                <w:szCs w:val="20"/>
              </w:rPr>
              <w:t>23.9</w:t>
            </w:r>
          </w:p>
        </w:tc>
      </w:tr>
      <w:tr w:rsidR="006D3D00" w:rsidRPr="006D3D00" w:rsidTr="000C6ADA">
        <w:trPr>
          <w:trHeight w:hRule="exact" w:val="332"/>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Staff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906</w:t>
            </w:r>
          </w:p>
        </w:tc>
        <w:tc>
          <w:tcPr>
            <w:tcW w:w="677" w:type="pct"/>
            <w:tcBorders>
              <w:top w:val="nil"/>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912</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227</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218</w:t>
            </w:r>
          </w:p>
        </w:tc>
        <w:tc>
          <w:tcPr>
            <w:tcW w:w="675" w:type="pct"/>
            <w:tcBorders>
              <w:top w:val="nil"/>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(9)</w:t>
            </w:r>
          </w:p>
        </w:tc>
        <w:tc>
          <w:tcPr>
            <w:tcW w:w="744" w:type="pct"/>
            <w:tcBorders>
              <w:top w:val="nil"/>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(4.1)</w:t>
            </w:r>
          </w:p>
        </w:tc>
      </w:tr>
      <w:tr w:rsidR="006D3D00" w:rsidRPr="006D3D00" w:rsidTr="000C6ADA">
        <w:trPr>
          <w:trHeight w:val="225"/>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Run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137</w:t>
            </w:r>
          </w:p>
        </w:tc>
        <w:tc>
          <w:tcPr>
            <w:tcW w:w="677" w:type="pct"/>
            <w:tcBorders>
              <w:top w:val="nil"/>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67</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7</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8</w:t>
            </w:r>
          </w:p>
        </w:tc>
        <w:tc>
          <w:tcPr>
            <w:tcW w:w="675" w:type="pct"/>
            <w:tcBorders>
              <w:top w:val="nil"/>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color w:val="000000"/>
                <w:sz w:val="20"/>
                <w:szCs w:val="20"/>
              </w:rPr>
            </w:pPr>
            <w:r w:rsidRPr="006D3D00">
              <w:rPr>
                <w:rFonts w:eastAsia="Times New Roman" w:cs="Times New Roman"/>
                <w:color w:val="000000"/>
                <w:sz w:val="20"/>
                <w:szCs w:val="20"/>
              </w:rPr>
              <w:t>1</w:t>
            </w:r>
          </w:p>
        </w:tc>
        <w:tc>
          <w:tcPr>
            <w:tcW w:w="744" w:type="pct"/>
            <w:tcBorders>
              <w:top w:val="nil"/>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color w:val="000000"/>
                <w:sz w:val="20"/>
                <w:szCs w:val="20"/>
              </w:rPr>
            </w:pPr>
            <w:r w:rsidRPr="006D3D00">
              <w:rPr>
                <w:rFonts w:eastAsia="Times New Roman" w:cs="Times New Roman"/>
                <w:color w:val="000000"/>
                <w:sz w:val="20"/>
                <w:szCs w:val="20"/>
              </w:rPr>
              <w:t>12.5</w:t>
            </w:r>
          </w:p>
        </w:tc>
      </w:tr>
      <w:tr w:rsidR="006D3D00" w:rsidRPr="006D3D00" w:rsidTr="000C6ADA">
        <w:trPr>
          <w:trHeight w:val="240"/>
        </w:trPr>
        <w:tc>
          <w:tcPr>
            <w:tcW w:w="869" w:type="pct"/>
            <w:tcBorders>
              <w:top w:val="nil"/>
            </w:tcBorders>
            <w:vAlign w:val="bottom"/>
          </w:tcPr>
          <w:p w:rsidR="006D3D00" w:rsidRPr="006D3D00" w:rsidRDefault="006D3D00" w:rsidP="006D3D00">
            <w:pPr>
              <w:ind w:right="-188"/>
              <w:jc w:val="right"/>
              <w:rPr>
                <w:rFonts w:eastAsia="Times New Roman" w:cs="Times New Roman"/>
                <w:sz w:val="20"/>
                <w:szCs w:val="20"/>
              </w:rPr>
            </w:pPr>
            <w:r w:rsidRPr="006D3D00">
              <w:rPr>
                <w:rFonts w:eastAsia="Times New Roman" w:cs="Times New Roman"/>
                <w:sz w:val="20"/>
                <w:szCs w:val="20"/>
              </w:rPr>
              <w:t>Capital Cost s</w:t>
            </w:r>
          </w:p>
        </w:tc>
        <w:tc>
          <w:tcPr>
            <w:tcW w:w="683" w:type="pct"/>
            <w:tcBorders>
              <w:top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w:t>
            </w:r>
          </w:p>
        </w:tc>
        <w:tc>
          <w:tcPr>
            <w:tcW w:w="677" w:type="pct"/>
            <w:tcBorders>
              <w:top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5"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w:t>
            </w:r>
          </w:p>
        </w:tc>
        <w:tc>
          <w:tcPr>
            <w:tcW w:w="744"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w:t>
            </w:r>
          </w:p>
        </w:tc>
      </w:tr>
      <w:tr w:rsidR="006D3D00" w:rsidRPr="006D3D00" w:rsidTr="000C6ADA">
        <w:trPr>
          <w:trHeight w:hRule="exact" w:val="598"/>
        </w:trPr>
        <w:tc>
          <w:tcPr>
            <w:tcW w:w="869" w:type="pct"/>
            <w:shd w:val="pct15" w:color="auto" w:fill="FFFFFF"/>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Total Strat Dev</w:t>
            </w:r>
          </w:p>
        </w:tc>
        <w:tc>
          <w:tcPr>
            <w:tcW w:w="683" w:type="pct"/>
            <w:shd w:val="clear" w:color="auto" w:fill="D9D9D9" w:themeFill="background1" w:themeFillShade="D9"/>
            <w:vAlign w:val="center"/>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1,043</w:t>
            </w:r>
          </w:p>
        </w:tc>
        <w:tc>
          <w:tcPr>
            <w:tcW w:w="677" w:type="pct"/>
            <w:shd w:val="clear" w:color="auto" w:fill="DDDDDD"/>
            <w:vAlign w:val="center"/>
          </w:tcPr>
          <w:p w:rsidR="006D3D00" w:rsidRPr="007A39DE" w:rsidRDefault="00AB6E70"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979</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234</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226</w:t>
            </w:r>
          </w:p>
        </w:tc>
        <w:tc>
          <w:tcPr>
            <w:tcW w:w="675"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(8)</w:t>
            </w:r>
          </w:p>
        </w:tc>
        <w:tc>
          <w:tcPr>
            <w:tcW w:w="744"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84"/>
              <w:jc w:val="right"/>
              <w:rPr>
                <w:rFonts w:eastAsia="Times New Roman" w:cs="Times New Roman"/>
                <w:b/>
                <w:color w:val="000000"/>
                <w:sz w:val="20"/>
                <w:szCs w:val="20"/>
              </w:rPr>
            </w:pPr>
            <w:r w:rsidRPr="006D3D00">
              <w:rPr>
                <w:rFonts w:eastAsia="Times New Roman" w:cs="Times New Roman"/>
                <w:b/>
                <w:color w:val="000000"/>
                <w:sz w:val="20"/>
                <w:szCs w:val="20"/>
              </w:rPr>
              <w:t>(3.5)</w:t>
            </w:r>
          </w:p>
        </w:tc>
      </w:tr>
      <w:tr w:rsidR="006D3D00" w:rsidRPr="006D3D00" w:rsidTr="000C6ADA">
        <w:trPr>
          <w:trHeight w:hRule="exact" w:val="224"/>
        </w:trPr>
        <w:tc>
          <w:tcPr>
            <w:tcW w:w="869" w:type="pct"/>
            <w:tcBorders>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Staff Costs</w:t>
            </w:r>
          </w:p>
        </w:tc>
        <w:tc>
          <w:tcPr>
            <w:tcW w:w="683" w:type="pct"/>
            <w:tcBorders>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4,900</w:t>
            </w:r>
          </w:p>
        </w:tc>
        <w:tc>
          <w:tcPr>
            <w:tcW w:w="677" w:type="pct"/>
            <w:tcBorders>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4,833</w:t>
            </w:r>
          </w:p>
        </w:tc>
        <w:tc>
          <w:tcPr>
            <w:tcW w:w="677"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1,134</w:t>
            </w:r>
          </w:p>
        </w:tc>
        <w:tc>
          <w:tcPr>
            <w:tcW w:w="677"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1,207</w:t>
            </w:r>
          </w:p>
        </w:tc>
        <w:tc>
          <w:tcPr>
            <w:tcW w:w="675"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340"/>
              <w:jc w:val="right"/>
              <w:rPr>
                <w:rFonts w:eastAsia="Times New Roman" w:cs="Times New Roman"/>
                <w:color w:val="000000"/>
                <w:sz w:val="20"/>
                <w:szCs w:val="20"/>
              </w:rPr>
            </w:pPr>
            <w:r w:rsidRPr="006D3D00">
              <w:rPr>
                <w:rFonts w:eastAsia="Times New Roman" w:cs="Times New Roman"/>
                <w:color w:val="000000"/>
                <w:sz w:val="20"/>
                <w:szCs w:val="20"/>
              </w:rPr>
              <w:t>73</w:t>
            </w:r>
          </w:p>
        </w:tc>
        <w:tc>
          <w:tcPr>
            <w:tcW w:w="744"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6.0</w:t>
            </w:r>
          </w:p>
        </w:tc>
      </w:tr>
      <w:tr w:rsidR="006D3D00" w:rsidRPr="006D3D00" w:rsidTr="000C6ADA">
        <w:trPr>
          <w:trHeight w:val="238"/>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vertAlign w:val="superscript"/>
              </w:rPr>
              <w:t>1</w:t>
            </w:r>
            <w:r w:rsidRPr="006D3D00">
              <w:rPr>
                <w:rFonts w:eastAsia="Times New Roman" w:cs="Times New Roman"/>
                <w:sz w:val="20"/>
                <w:szCs w:val="20"/>
              </w:rPr>
              <w:t>Run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vertAlign w:val="superscript"/>
              </w:rPr>
            </w:pPr>
            <w:r w:rsidRPr="006D3D00">
              <w:rPr>
                <w:rFonts w:eastAsia="Times New Roman" w:cs="Times New Roman"/>
                <w:b/>
                <w:color w:val="000000"/>
                <w:sz w:val="20"/>
                <w:szCs w:val="20"/>
              </w:rPr>
              <w:t>1,444</w:t>
            </w:r>
          </w:p>
        </w:tc>
        <w:tc>
          <w:tcPr>
            <w:tcW w:w="677" w:type="pct"/>
            <w:tcBorders>
              <w:top w:val="nil"/>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1,349</w:t>
            </w:r>
            <w:r w:rsidR="006D3D00" w:rsidRPr="007A39DE">
              <w:rPr>
                <w:rFonts w:eastAsia="Times New Roman" w:cs="Times New Roman"/>
                <w:b/>
                <w:color w:val="000000"/>
                <w:sz w:val="20"/>
                <w:szCs w:val="20"/>
                <w:vertAlign w:val="superscript"/>
              </w:rPr>
              <w:t>1</w:t>
            </w:r>
          </w:p>
        </w:tc>
        <w:tc>
          <w:tcPr>
            <w:tcW w:w="677" w:type="pct"/>
            <w:tcBorders>
              <w:top w:val="nil"/>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329</w:t>
            </w:r>
          </w:p>
        </w:tc>
        <w:tc>
          <w:tcPr>
            <w:tcW w:w="677" w:type="pct"/>
            <w:tcBorders>
              <w:top w:val="nil"/>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349</w:t>
            </w:r>
          </w:p>
        </w:tc>
        <w:tc>
          <w:tcPr>
            <w:tcW w:w="675" w:type="pct"/>
            <w:tcBorders>
              <w:top w:val="nil"/>
              <w:left w:val="single" w:sz="6" w:space="0" w:color="auto"/>
              <w:bottom w:val="nil"/>
              <w:right w:val="single" w:sz="6" w:space="0" w:color="auto"/>
            </w:tcBorders>
            <w:shd w:val="clear" w:color="auto" w:fill="auto"/>
            <w:vAlign w:val="bottom"/>
          </w:tcPr>
          <w:p w:rsidR="006D3D00" w:rsidRPr="006D3D00" w:rsidRDefault="006D3D00" w:rsidP="006D3D00">
            <w:pPr>
              <w:ind w:right="340"/>
              <w:jc w:val="right"/>
              <w:rPr>
                <w:rFonts w:eastAsia="Times New Roman" w:cs="Times New Roman"/>
                <w:color w:val="000000"/>
                <w:sz w:val="20"/>
                <w:szCs w:val="20"/>
              </w:rPr>
            </w:pPr>
            <w:r w:rsidRPr="006D3D00">
              <w:rPr>
                <w:rFonts w:eastAsia="Times New Roman" w:cs="Times New Roman"/>
                <w:color w:val="000000"/>
                <w:sz w:val="20"/>
                <w:szCs w:val="20"/>
              </w:rPr>
              <w:t>20</w:t>
            </w:r>
          </w:p>
        </w:tc>
        <w:tc>
          <w:tcPr>
            <w:tcW w:w="744" w:type="pct"/>
            <w:tcBorders>
              <w:top w:val="nil"/>
              <w:left w:val="single" w:sz="6" w:space="0" w:color="auto"/>
              <w:bottom w:val="nil"/>
              <w:right w:val="single" w:sz="6" w:space="0" w:color="auto"/>
            </w:tcBorders>
            <w:shd w:val="clear" w:color="auto" w:fill="auto"/>
            <w:vAlign w:val="center"/>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5.7</w:t>
            </w:r>
          </w:p>
        </w:tc>
      </w:tr>
      <w:tr w:rsidR="006D3D00" w:rsidRPr="006D3D00" w:rsidTr="000C6ADA">
        <w:trPr>
          <w:trHeight w:val="284"/>
        </w:trPr>
        <w:tc>
          <w:tcPr>
            <w:tcW w:w="869" w:type="pct"/>
            <w:tcBorders>
              <w:top w:val="nil"/>
            </w:tcBorders>
            <w:vAlign w:val="bottom"/>
          </w:tcPr>
          <w:p w:rsidR="006D3D00" w:rsidRPr="006D3D00" w:rsidRDefault="006D3D00" w:rsidP="006D3D00">
            <w:pPr>
              <w:ind w:right="-188"/>
              <w:jc w:val="right"/>
              <w:rPr>
                <w:rFonts w:eastAsia="Times New Roman" w:cs="Times New Roman"/>
                <w:sz w:val="20"/>
                <w:szCs w:val="20"/>
              </w:rPr>
            </w:pPr>
            <w:r w:rsidRPr="006D3D00">
              <w:rPr>
                <w:rFonts w:eastAsia="Times New Roman" w:cs="Times New Roman"/>
                <w:sz w:val="20"/>
                <w:szCs w:val="20"/>
              </w:rPr>
              <w:t>Capital Cost s</w:t>
            </w:r>
          </w:p>
        </w:tc>
        <w:tc>
          <w:tcPr>
            <w:tcW w:w="683" w:type="pct"/>
            <w:tcBorders>
              <w:top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100</w:t>
            </w:r>
          </w:p>
        </w:tc>
        <w:tc>
          <w:tcPr>
            <w:tcW w:w="677" w:type="pct"/>
            <w:tcBorders>
              <w:top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100</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58</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71</w:t>
            </w:r>
          </w:p>
        </w:tc>
        <w:tc>
          <w:tcPr>
            <w:tcW w:w="675"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340"/>
              <w:jc w:val="right"/>
              <w:rPr>
                <w:rFonts w:eastAsia="Times New Roman" w:cs="Times New Roman"/>
                <w:color w:val="000000"/>
                <w:sz w:val="20"/>
                <w:szCs w:val="20"/>
              </w:rPr>
            </w:pPr>
            <w:r w:rsidRPr="006D3D00">
              <w:rPr>
                <w:rFonts w:eastAsia="Times New Roman" w:cs="Times New Roman"/>
                <w:color w:val="000000"/>
                <w:sz w:val="20"/>
                <w:szCs w:val="20"/>
              </w:rPr>
              <w:t>13</w:t>
            </w:r>
          </w:p>
        </w:tc>
        <w:tc>
          <w:tcPr>
            <w:tcW w:w="744"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18.3</w:t>
            </w:r>
          </w:p>
        </w:tc>
      </w:tr>
      <w:tr w:rsidR="006D3D00" w:rsidRPr="006D3D00" w:rsidTr="000C6ADA">
        <w:trPr>
          <w:trHeight w:hRule="exact" w:val="543"/>
        </w:trPr>
        <w:tc>
          <w:tcPr>
            <w:tcW w:w="869" w:type="pct"/>
            <w:shd w:val="pct15" w:color="auto" w:fill="FFFFFF"/>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 xml:space="preserve">Total Corp Serv </w:t>
            </w:r>
          </w:p>
        </w:tc>
        <w:tc>
          <w:tcPr>
            <w:tcW w:w="683" w:type="pct"/>
            <w:shd w:val="clear" w:color="auto" w:fill="D9D9D9" w:themeFill="background1" w:themeFillShade="D9"/>
            <w:vAlign w:val="center"/>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6,444</w:t>
            </w:r>
          </w:p>
        </w:tc>
        <w:tc>
          <w:tcPr>
            <w:tcW w:w="677" w:type="pct"/>
            <w:shd w:val="clear" w:color="auto" w:fill="DDDDDD"/>
            <w:vAlign w:val="center"/>
          </w:tcPr>
          <w:p w:rsidR="006D3D00" w:rsidRPr="007A39DE" w:rsidRDefault="00AB6E70"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6,282</w:t>
            </w:r>
          </w:p>
        </w:tc>
        <w:tc>
          <w:tcPr>
            <w:tcW w:w="67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1,521</w:t>
            </w:r>
          </w:p>
        </w:tc>
        <w:tc>
          <w:tcPr>
            <w:tcW w:w="67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3D00" w:rsidRPr="006D3D00" w:rsidRDefault="006D3D00" w:rsidP="006D3D00">
            <w:pPr>
              <w:ind w:right="278"/>
              <w:jc w:val="right"/>
              <w:rPr>
                <w:rFonts w:eastAsia="Times New Roman" w:cs="Times New Roman"/>
                <w:b/>
                <w:sz w:val="20"/>
                <w:szCs w:val="20"/>
              </w:rPr>
            </w:pPr>
            <w:r w:rsidRPr="006D3D00">
              <w:rPr>
                <w:rFonts w:eastAsia="Times New Roman" w:cs="Times New Roman"/>
                <w:b/>
                <w:sz w:val="20"/>
                <w:szCs w:val="20"/>
              </w:rPr>
              <w:t>1,627</w:t>
            </w:r>
          </w:p>
        </w:tc>
        <w:tc>
          <w:tcPr>
            <w:tcW w:w="6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106</w:t>
            </w:r>
          </w:p>
        </w:tc>
        <w:tc>
          <w:tcPr>
            <w:tcW w:w="74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3D00" w:rsidRPr="006D3D00" w:rsidRDefault="006D3D00" w:rsidP="006D3D00">
            <w:pPr>
              <w:ind w:right="284"/>
              <w:jc w:val="right"/>
              <w:rPr>
                <w:rFonts w:eastAsia="Times New Roman" w:cs="Times New Roman"/>
                <w:b/>
                <w:sz w:val="20"/>
                <w:szCs w:val="20"/>
              </w:rPr>
            </w:pPr>
            <w:r w:rsidRPr="006D3D00">
              <w:rPr>
                <w:rFonts w:eastAsia="Times New Roman" w:cs="Times New Roman"/>
                <w:b/>
                <w:sz w:val="20"/>
                <w:szCs w:val="20"/>
              </w:rPr>
              <w:t>6.5</w:t>
            </w:r>
          </w:p>
        </w:tc>
      </w:tr>
      <w:tr w:rsidR="006D3D00" w:rsidRPr="006D3D00" w:rsidTr="000C6ADA">
        <w:trPr>
          <w:trHeight w:val="184"/>
        </w:trPr>
        <w:tc>
          <w:tcPr>
            <w:tcW w:w="869" w:type="pct"/>
            <w:tcBorders>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Staff Costs</w:t>
            </w:r>
          </w:p>
        </w:tc>
        <w:tc>
          <w:tcPr>
            <w:tcW w:w="683" w:type="pct"/>
            <w:tcBorders>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3,730</w:t>
            </w:r>
          </w:p>
        </w:tc>
        <w:tc>
          <w:tcPr>
            <w:tcW w:w="677" w:type="pct"/>
            <w:tcBorders>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3,657</w:t>
            </w:r>
          </w:p>
        </w:tc>
        <w:tc>
          <w:tcPr>
            <w:tcW w:w="677"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884</w:t>
            </w:r>
          </w:p>
        </w:tc>
        <w:tc>
          <w:tcPr>
            <w:tcW w:w="677"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938</w:t>
            </w:r>
          </w:p>
        </w:tc>
        <w:tc>
          <w:tcPr>
            <w:tcW w:w="675" w:type="pct"/>
            <w:tcBorders>
              <w:top w:val="single" w:sz="6" w:space="0" w:color="auto"/>
              <w:left w:val="single" w:sz="6" w:space="0" w:color="auto"/>
              <w:bottom w:val="nil"/>
              <w:right w:val="single" w:sz="6" w:space="0" w:color="auto"/>
            </w:tcBorders>
            <w:vAlign w:val="bottom"/>
          </w:tcPr>
          <w:p w:rsidR="006D3D00" w:rsidRPr="006D3D00" w:rsidRDefault="006D3D00" w:rsidP="006D3D00">
            <w:pPr>
              <w:tabs>
                <w:tab w:val="left" w:pos="895"/>
              </w:tabs>
              <w:ind w:right="340"/>
              <w:jc w:val="right"/>
              <w:rPr>
                <w:rFonts w:eastAsia="Times New Roman" w:cs="Times New Roman"/>
                <w:sz w:val="20"/>
                <w:szCs w:val="20"/>
              </w:rPr>
            </w:pPr>
            <w:r w:rsidRPr="006D3D00">
              <w:rPr>
                <w:rFonts w:eastAsia="Times New Roman" w:cs="Times New Roman"/>
                <w:sz w:val="20"/>
                <w:szCs w:val="20"/>
              </w:rPr>
              <w:t>54</w:t>
            </w:r>
          </w:p>
        </w:tc>
        <w:tc>
          <w:tcPr>
            <w:tcW w:w="744"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5.8</w:t>
            </w:r>
          </w:p>
        </w:tc>
      </w:tr>
      <w:tr w:rsidR="006D3D00" w:rsidRPr="006D3D00" w:rsidTr="000C6ADA">
        <w:trPr>
          <w:trHeight w:val="225"/>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Run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55</w:t>
            </w:r>
          </w:p>
        </w:tc>
        <w:tc>
          <w:tcPr>
            <w:tcW w:w="677" w:type="pct"/>
            <w:tcBorders>
              <w:top w:val="nil"/>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57</w:t>
            </w:r>
          </w:p>
        </w:tc>
        <w:tc>
          <w:tcPr>
            <w:tcW w:w="677" w:type="pct"/>
            <w:tcBorders>
              <w:top w:val="nil"/>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9</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11</w:t>
            </w:r>
          </w:p>
        </w:tc>
        <w:tc>
          <w:tcPr>
            <w:tcW w:w="675" w:type="pct"/>
            <w:tcBorders>
              <w:top w:val="nil"/>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2</w:t>
            </w:r>
          </w:p>
        </w:tc>
        <w:tc>
          <w:tcPr>
            <w:tcW w:w="744" w:type="pct"/>
            <w:tcBorders>
              <w:top w:val="nil"/>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18.2</w:t>
            </w:r>
          </w:p>
        </w:tc>
      </w:tr>
      <w:tr w:rsidR="006D3D00" w:rsidRPr="006D3D00" w:rsidTr="000C6ADA">
        <w:trPr>
          <w:trHeight w:val="225"/>
        </w:trPr>
        <w:tc>
          <w:tcPr>
            <w:tcW w:w="869" w:type="pct"/>
            <w:tcBorders>
              <w:top w:val="nil"/>
              <w:bottom w:val="single" w:sz="4" w:space="0" w:color="auto"/>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Capital Cost</w:t>
            </w:r>
          </w:p>
        </w:tc>
        <w:tc>
          <w:tcPr>
            <w:tcW w:w="683" w:type="pct"/>
            <w:tcBorders>
              <w:top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w:t>
            </w:r>
          </w:p>
        </w:tc>
        <w:tc>
          <w:tcPr>
            <w:tcW w:w="677" w:type="pct"/>
            <w:tcBorders>
              <w:top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7"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5"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w:t>
            </w:r>
          </w:p>
        </w:tc>
        <w:tc>
          <w:tcPr>
            <w:tcW w:w="744"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284"/>
              <w:jc w:val="right"/>
              <w:rPr>
                <w:rFonts w:eastAsia="Times New Roman" w:cs="Times New Roman"/>
                <w:color w:val="000000"/>
                <w:sz w:val="20"/>
                <w:szCs w:val="20"/>
              </w:rPr>
            </w:pPr>
            <w:r w:rsidRPr="006D3D00">
              <w:rPr>
                <w:rFonts w:eastAsia="Times New Roman" w:cs="Times New Roman"/>
                <w:color w:val="000000"/>
                <w:sz w:val="20"/>
                <w:szCs w:val="20"/>
              </w:rPr>
              <w:t>-</w:t>
            </w:r>
          </w:p>
        </w:tc>
      </w:tr>
      <w:tr w:rsidR="006D3D00" w:rsidRPr="006D3D00" w:rsidTr="000C6ADA">
        <w:trPr>
          <w:trHeight w:val="397"/>
        </w:trPr>
        <w:tc>
          <w:tcPr>
            <w:tcW w:w="869" w:type="pct"/>
            <w:tcBorders>
              <w:bottom w:val="single" w:sz="4" w:space="0" w:color="auto"/>
            </w:tcBorders>
            <w:shd w:val="clear" w:color="auto" w:fill="D9D9D9"/>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lastRenderedPageBreak/>
              <w:t>Total Operations</w:t>
            </w:r>
          </w:p>
        </w:tc>
        <w:tc>
          <w:tcPr>
            <w:tcW w:w="683" w:type="pct"/>
            <w:tcBorders>
              <w:bottom w:val="single" w:sz="4" w:space="0" w:color="auto"/>
            </w:tcBorders>
            <w:shd w:val="clear" w:color="auto" w:fill="D9D9D9" w:themeFill="background1" w:themeFillShade="D9"/>
            <w:vAlign w:val="center"/>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3,785</w:t>
            </w:r>
          </w:p>
        </w:tc>
        <w:tc>
          <w:tcPr>
            <w:tcW w:w="677" w:type="pct"/>
            <w:tcBorders>
              <w:bottom w:val="single" w:sz="4" w:space="0" w:color="auto"/>
            </w:tcBorders>
            <w:shd w:val="clear" w:color="auto" w:fill="DDDDDD"/>
            <w:vAlign w:val="center"/>
          </w:tcPr>
          <w:p w:rsidR="006D3D00" w:rsidRPr="007A39DE" w:rsidRDefault="00AB6E70"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3,714</w:t>
            </w:r>
          </w:p>
        </w:tc>
        <w:tc>
          <w:tcPr>
            <w:tcW w:w="67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893</w:t>
            </w:r>
          </w:p>
        </w:tc>
        <w:tc>
          <w:tcPr>
            <w:tcW w:w="677" w:type="pct"/>
            <w:tcBorders>
              <w:top w:val="single" w:sz="6" w:space="0" w:color="auto"/>
              <w:left w:val="single" w:sz="6" w:space="0" w:color="auto"/>
              <w:bottom w:val="single" w:sz="4" w:space="0" w:color="auto"/>
              <w:right w:val="single" w:sz="6" w:space="0" w:color="auto"/>
            </w:tcBorders>
            <w:shd w:val="clear" w:color="auto" w:fill="D9D9D9"/>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949</w:t>
            </w:r>
          </w:p>
        </w:tc>
        <w:tc>
          <w:tcPr>
            <w:tcW w:w="675" w:type="pct"/>
            <w:tcBorders>
              <w:top w:val="single" w:sz="6" w:space="0" w:color="auto"/>
              <w:left w:val="single" w:sz="6" w:space="0" w:color="auto"/>
              <w:bottom w:val="single" w:sz="4" w:space="0" w:color="auto"/>
              <w:right w:val="single" w:sz="6" w:space="0" w:color="auto"/>
            </w:tcBorders>
            <w:shd w:val="clear" w:color="auto" w:fill="D9D9D9"/>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56</w:t>
            </w:r>
          </w:p>
        </w:tc>
        <w:tc>
          <w:tcPr>
            <w:tcW w:w="744" w:type="pct"/>
            <w:tcBorders>
              <w:top w:val="single" w:sz="6" w:space="0" w:color="auto"/>
              <w:left w:val="single" w:sz="6" w:space="0" w:color="auto"/>
              <w:bottom w:val="single" w:sz="4" w:space="0" w:color="auto"/>
              <w:right w:val="single" w:sz="6" w:space="0" w:color="auto"/>
            </w:tcBorders>
            <w:shd w:val="clear" w:color="auto" w:fill="D9D9D9"/>
            <w:vAlign w:val="center"/>
          </w:tcPr>
          <w:p w:rsidR="006D3D00" w:rsidRPr="006D3D00" w:rsidRDefault="006D3D00" w:rsidP="006D3D00">
            <w:pPr>
              <w:ind w:right="284"/>
              <w:jc w:val="right"/>
              <w:rPr>
                <w:rFonts w:eastAsia="Times New Roman" w:cs="Times New Roman"/>
                <w:b/>
                <w:sz w:val="20"/>
                <w:szCs w:val="20"/>
              </w:rPr>
            </w:pPr>
            <w:r w:rsidRPr="006D3D00">
              <w:rPr>
                <w:rFonts w:eastAsia="Times New Roman" w:cs="Times New Roman"/>
                <w:b/>
                <w:sz w:val="20"/>
                <w:szCs w:val="20"/>
              </w:rPr>
              <w:t>5.9</w:t>
            </w:r>
          </w:p>
        </w:tc>
      </w:tr>
      <w:tr w:rsidR="006D3D00" w:rsidRPr="006D3D00" w:rsidTr="000C6ADA">
        <w:trPr>
          <w:trHeight w:val="306"/>
        </w:trPr>
        <w:tc>
          <w:tcPr>
            <w:tcW w:w="869" w:type="pct"/>
            <w:tcBorders>
              <w:bottom w:val="nil"/>
            </w:tcBorders>
            <w:vAlign w:val="bottom"/>
          </w:tcPr>
          <w:p w:rsidR="006D3D00" w:rsidRPr="006D3D00" w:rsidRDefault="006D3D00" w:rsidP="006D3D00">
            <w:pPr>
              <w:jc w:val="right"/>
              <w:rPr>
                <w:rFonts w:eastAsia="Times New Roman" w:cs="Times New Roman"/>
                <w:sz w:val="20"/>
                <w:szCs w:val="20"/>
              </w:rPr>
            </w:pPr>
            <w:r w:rsidRPr="006D3D00">
              <w:rPr>
                <w:rFonts w:eastAsia="Times New Roman" w:cs="Times New Roman"/>
                <w:sz w:val="20"/>
                <w:szCs w:val="20"/>
              </w:rPr>
              <w:t>Staff Costs</w:t>
            </w:r>
          </w:p>
        </w:tc>
        <w:tc>
          <w:tcPr>
            <w:tcW w:w="683" w:type="pct"/>
            <w:tcBorders>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226</w:t>
            </w:r>
          </w:p>
        </w:tc>
        <w:tc>
          <w:tcPr>
            <w:tcW w:w="677" w:type="pct"/>
            <w:tcBorders>
              <w:bottom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226</w:t>
            </w:r>
          </w:p>
        </w:tc>
        <w:tc>
          <w:tcPr>
            <w:tcW w:w="677"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56</w:t>
            </w:r>
          </w:p>
        </w:tc>
        <w:tc>
          <w:tcPr>
            <w:tcW w:w="677"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56</w:t>
            </w:r>
          </w:p>
        </w:tc>
        <w:tc>
          <w:tcPr>
            <w:tcW w:w="675"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w:t>
            </w:r>
          </w:p>
        </w:tc>
        <w:tc>
          <w:tcPr>
            <w:tcW w:w="744"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color w:val="000000"/>
                <w:sz w:val="20"/>
                <w:szCs w:val="20"/>
              </w:rPr>
              <w:t>-</w:t>
            </w:r>
          </w:p>
        </w:tc>
      </w:tr>
      <w:tr w:rsidR="006D3D00" w:rsidRPr="006D3D00" w:rsidTr="000C6ADA">
        <w:trPr>
          <w:trHeight w:val="225"/>
        </w:trPr>
        <w:tc>
          <w:tcPr>
            <w:tcW w:w="869" w:type="pct"/>
            <w:tcBorders>
              <w:top w:val="nil"/>
              <w:bottom w:val="nil"/>
            </w:tcBorders>
            <w:vAlign w:val="bottom"/>
          </w:tcPr>
          <w:p w:rsidR="006D3D00" w:rsidRPr="006D3D00" w:rsidRDefault="006D3D00" w:rsidP="006D3D00">
            <w:pPr>
              <w:jc w:val="right"/>
              <w:rPr>
                <w:rFonts w:eastAsia="Times New Roman" w:cs="Times New Roman"/>
                <w:sz w:val="20"/>
                <w:szCs w:val="20"/>
                <w:vertAlign w:val="superscript"/>
              </w:rPr>
            </w:pPr>
            <w:r w:rsidRPr="006D3D00">
              <w:rPr>
                <w:rFonts w:eastAsia="Times New Roman" w:cs="Times New Roman"/>
                <w:sz w:val="20"/>
                <w:szCs w:val="20"/>
                <w:vertAlign w:val="superscript"/>
              </w:rPr>
              <w:t>2</w:t>
            </w:r>
            <w:r w:rsidRPr="006D3D00">
              <w:rPr>
                <w:rFonts w:eastAsia="Times New Roman" w:cs="Times New Roman"/>
                <w:sz w:val="20"/>
                <w:szCs w:val="20"/>
              </w:rPr>
              <w:t>Run Costs</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vertAlign w:val="superscript"/>
              </w:rPr>
            </w:pPr>
            <w:r w:rsidRPr="006D3D00">
              <w:rPr>
                <w:rFonts w:eastAsia="Times New Roman" w:cs="Times New Roman"/>
                <w:b/>
                <w:color w:val="000000"/>
                <w:sz w:val="20"/>
                <w:szCs w:val="20"/>
              </w:rPr>
              <w:t>40</w:t>
            </w:r>
          </w:p>
        </w:tc>
        <w:tc>
          <w:tcPr>
            <w:tcW w:w="677" w:type="pct"/>
            <w:tcBorders>
              <w:top w:val="nil"/>
              <w:bottom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40</w:t>
            </w:r>
            <w:r w:rsidRPr="007A39DE">
              <w:rPr>
                <w:rFonts w:eastAsia="Times New Roman" w:cs="Times New Roman"/>
                <w:b/>
                <w:color w:val="000000"/>
                <w:sz w:val="20"/>
                <w:szCs w:val="20"/>
                <w:vertAlign w:val="superscript"/>
              </w:rPr>
              <w:t>2</w:t>
            </w:r>
          </w:p>
        </w:tc>
        <w:tc>
          <w:tcPr>
            <w:tcW w:w="677" w:type="pct"/>
            <w:tcBorders>
              <w:top w:val="nil"/>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40</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(6)</w:t>
            </w:r>
          </w:p>
        </w:tc>
        <w:tc>
          <w:tcPr>
            <w:tcW w:w="675" w:type="pct"/>
            <w:tcBorders>
              <w:top w:val="nil"/>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(46)</w:t>
            </w:r>
          </w:p>
        </w:tc>
        <w:tc>
          <w:tcPr>
            <w:tcW w:w="744" w:type="pct"/>
            <w:tcBorders>
              <w:top w:val="nil"/>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(115.0)</w:t>
            </w:r>
          </w:p>
        </w:tc>
      </w:tr>
      <w:tr w:rsidR="006D3D00" w:rsidRPr="006D3D00" w:rsidTr="000C6ADA">
        <w:trPr>
          <w:trHeight w:val="225"/>
        </w:trPr>
        <w:tc>
          <w:tcPr>
            <w:tcW w:w="869" w:type="pct"/>
            <w:tcBorders>
              <w:top w:val="nil"/>
              <w:bottom w:val="single" w:sz="4" w:space="0" w:color="auto"/>
            </w:tcBorders>
            <w:vAlign w:val="bottom"/>
          </w:tcPr>
          <w:p w:rsidR="006D3D00" w:rsidRPr="006D3D00" w:rsidRDefault="006D3D00" w:rsidP="006D3D00">
            <w:pPr>
              <w:ind w:right="-188"/>
              <w:jc w:val="right"/>
              <w:rPr>
                <w:rFonts w:eastAsia="Times New Roman" w:cs="Times New Roman"/>
                <w:sz w:val="20"/>
                <w:szCs w:val="20"/>
              </w:rPr>
            </w:pPr>
            <w:r w:rsidRPr="006D3D00">
              <w:rPr>
                <w:rFonts w:eastAsia="Times New Roman" w:cs="Times New Roman"/>
                <w:sz w:val="20"/>
                <w:szCs w:val="20"/>
              </w:rPr>
              <w:t>Capital Cost s</w:t>
            </w:r>
          </w:p>
        </w:tc>
        <w:tc>
          <w:tcPr>
            <w:tcW w:w="683" w:type="pct"/>
            <w:tcBorders>
              <w:top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w:t>
            </w:r>
          </w:p>
        </w:tc>
        <w:tc>
          <w:tcPr>
            <w:tcW w:w="677" w:type="pct"/>
            <w:tcBorders>
              <w:top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w:t>
            </w:r>
          </w:p>
        </w:tc>
        <w:tc>
          <w:tcPr>
            <w:tcW w:w="677"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7"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5"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w:t>
            </w:r>
          </w:p>
        </w:tc>
        <w:tc>
          <w:tcPr>
            <w:tcW w:w="744"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w:t>
            </w:r>
          </w:p>
        </w:tc>
      </w:tr>
      <w:tr w:rsidR="006D3D00" w:rsidRPr="006D3D00" w:rsidTr="000C6ADA">
        <w:trPr>
          <w:trHeight w:val="397"/>
        </w:trPr>
        <w:tc>
          <w:tcPr>
            <w:tcW w:w="869" w:type="pct"/>
            <w:tcBorders>
              <w:bottom w:val="nil"/>
            </w:tcBorders>
            <w:shd w:val="clear" w:color="auto" w:fill="D9D9D9"/>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Total Legal Serv</w:t>
            </w:r>
          </w:p>
        </w:tc>
        <w:tc>
          <w:tcPr>
            <w:tcW w:w="683" w:type="pct"/>
            <w:tcBorders>
              <w:bottom w:val="nil"/>
            </w:tcBorders>
            <w:shd w:val="clear" w:color="auto" w:fill="D9D9D9" w:themeFill="background1" w:themeFillShade="D9"/>
            <w:vAlign w:val="center"/>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266</w:t>
            </w:r>
          </w:p>
        </w:tc>
        <w:tc>
          <w:tcPr>
            <w:tcW w:w="677" w:type="pct"/>
            <w:tcBorders>
              <w:bottom w:val="nil"/>
            </w:tcBorders>
            <w:shd w:val="clear" w:color="auto" w:fill="DDDDDD"/>
            <w:vAlign w:val="center"/>
          </w:tcPr>
          <w:p w:rsidR="006D3D00" w:rsidRPr="007A39DE" w:rsidRDefault="006D3D00"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266</w:t>
            </w:r>
          </w:p>
        </w:tc>
        <w:tc>
          <w:tcPr>
            <w:tcW w:w="677" w:type="pct"/>
            <w:tcBorders>
              <w:top w:val="single" w:sz="6" w:space="0" w:color="auto"/>
              <w:left w:val="single" w:sz="6" w:space="0" w:color="auto"/>
              <w:bottom w:val="nil"/>
              <w:right w:val="single" w:sz="6" w:space="0" w:color="auto"/>
            </w:tcBorders>
            <w:shd w:val="clear" w:color="auto" w:fill="D9D9D9" w:themeFill="background1" w:themeFillShade="D9"/>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96</w:t>
            </w:r>
          </w:p>
        </w:tc>
        <w:tc>
          <w:tcPr>
            <w:tcW w:w="677" w:type="pct"/>
            <w:tcBorders>
              <w:top w:val="single" w:sz="6" w:space="0" w:color="auto"/>
              <w:left w:val="single" w:sz="6" w:space="0" w:color="auto"/>
              <w:bottom w:val="nil"/>
              <w:right w:val="single" w:sz="6" w:space="0" w:color="auto"/>
            </w:tcBorders>
            <w:shd w:val="clear" w:color="auto" w:fill="D9D9D9"/>
            <w:vAlign w:val="center"/>
          </w:tcPr>
          <w:p w:rsidR="006D3D00" w:rsidRPr="006D3D00" w:rsidRDefault="006D3D00" w:rsidP="006D3D00">
            <w:pPr>
              <w:ind w:right="278"/>
              <w:jc w:val="right"/>
              <w:rPr>
                <w:rFonts w:eastAsia="Times New Roman" w:cs="Times New Roman"/>
                <w:b/>
                <w:sz w:val="20"/>
                <w:szCs w:val="20"/>
              </w:rPr>
            </w:pPr>
            <w:r w:rsidRPr="006D3D00">
              <w:rPr>
                <w:rFonts w:eastAsia="Times New Roman" w:cs="Times New Roman"/>
                <w:b/>
                <w:sz w:val="20"/>
                <w:szCs w:val="20"/>
              </w:rPr>
              <w:t>50</w:t>
            </w:r>
          </w:p>
        </w:tc>
        <w:tc>
          <w:tcPr>
            <w:tcW w:w="675" w:type="pct"/>
            <w:tcBorders>
              <w:top w:val="single" w:sz="6" w:space="0" w:color="auto"/>
              <w:left w:val="single" w:sz="6" w:space="0" w:color="auto"/>
              <w:bottom w:val="nil"/>
              <w:right w:val="single" w:sz="6" w:space="0" w:color="auto"/>
            </w:tcBorders>
            <w:shd w:val="clear" w:color="auto" w:fill="D9D9D9"/>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(46)</w:t>
            </w:r>
          </w:p>
        </w:tc>
        <w:tc>
          <w:tcPr>
            <w:tcW w:w="744" w:type="pct"/>
            <w:tcBorders>
              <w:top w:val="single" w:sz="6" w:space="0" w:color="auto"/>
              <w:left w:val="single" w:sz="6" w:space="0" w:color="auto"/>
              <w:bottom w:val="nil"/>
              <w:right w:val="single" w:sz="6" w:space="0" w:color="auto"/>
            </w:tcBorders>
            <w:shd w:val="clear" w:color="auto" w:fill="D9D9D9"/>
            <w:vAlign w:val="center"/>
          </w:tcPr>
          <w:p w:rsidR="006D3D00" w:rsidRPr="006D3D00" w:rsidRDefault="006D3D00" w:rsidP="006D3D00">
            <w:pPr>
              <w:ind w:right="284"/>
              <w:jc w:val="right"/>
              <w:rPr>
                <w:rFonts w:eastAsia="Times New Roman" w:cs="Times New Roman"/>
                <w:b/>
                <w:sz w:val="20"/>
                <w:szCs w:val="20"/>
              </w:rPr>
            </w:pPr>
            <w:r w:rsidRPr="006D3D00">
              <w:rPr>
                <w:rFonts w:eastAsia="Times New Roman" w:cs="Times New Roman"/>
                <w:b/>
                <w:sz w:val="20"/>
                <w:szCs w:val="20"/>
              </w:rPr>
              <w:t>(92.0)</w:t>
            </w:r>
          </w:p>
        </w:tc>
      </w:tr>
      <w:tr w:rsidR="006D3D00" w:rsidRPr="006D3D00" w:rsidTr="000C6ADA">
        <w:trPr>
          <w:trHeight w:val="261"/>
        </w:trPr>
        <w:tc>
          <w:tcPr>
            <w:tcW w:w="869" w:type="pct"/>
            <w:tcBorders>
              <w:bottom w:val="nil"/>
            </w:tcBorders>
            <w:vAlign w:val="bottom"/>
          </w:tcPr>
          <w:p w:rsidR="006D3D00" w:rsidRPr="006D3D00" w:rsidRDefault="006D3D00" w:rsidP="006D3D00">
            <w:pPr>
              <w:ind w:right="-46"/>
              <w:jc w:val="right"/>
              <w:rPr>
                <w:rFonts w:eastAsia="Times New Roman" w:cs="Times New Roman"/>
                <w:sz w:val="20"/>
                <w:szCs w:val="20"/>
              </w:rPr>
            </w:pPr>
            <w:r w:rsidRPr="006D3D00">
              <w:rPr>
                <w:rFonts w:eastAsia="Times New Roman" w:cs="Times New Roman"/>
                <w:sz w:val="20"/>
                <w:szCs w:val="20"/>
              </w:rPr>
              <w:t>Vacancy Gap</w:t>
            </w:r>
          </w:p>
        </w:tc>
        <w:tc>
          <w:tcPr>
            <w:tcW w:w="683" w:type="pct"/>
            <w:tcBorders>
              <w:bottom w:val="nil"/>
            </w:tcBorders>
            <w:shd w:val="clear" w:color="auto" w:fill="D9D9D9"/>
            <w:vAlign w:val="bottom"/>
          </w:tcPr>
          <w:p w:rsidR="006D3D00" w:rsidRPr="006D3D00" w:rsidRDefault="006D3D00" w:rsidP="006D3D00">
            <w:pPr>
              <w:ind w:right="170"/>
              <w:jc w:val="right"/>
              <w:rPr>
                <w:rFonts w:eastAsia="Times New Roman" w:cs="Times New Roman"/>
                <w:b/>
                <w:color w:val="FF0000"/>
                <w:sz w:val="20"/>
                <w:szCs w:val="20"/>
              </w:rPr>
            </w:pPr>
            <w:r w:rsidRPr="006D3D00">
              <w:rPr>
                <w:rFonts w:eastAsia="Times New Roman" w:cs="Times New Roman"/>
                <w:b/>
                <w:color w:val="FF0000"/>
                <w:sz w:val="20"/>
                <w:szCs w:val="20"/>
              </w:rPr>
              <w:t>(200)</w:t>
            </w:r>
          </w:p>
        </w:tc>
        <w:tc>
          <w:tcPr>
            <w:tcW w:w="677" w:type="pct"/>
            <w:tcBorders>
              <w:bottom w:val="nil"/>
            </w:tcBorders>
            <w:shd w:val="clear" w:color="auto" w:fill="DDDDDD"/>
            <w:vAlign w:val="bottom"/>
          </w:tcPr>
          <w:p w:rsidR="006D3D00" w:rsidRPr="007A39DE" w:rsidRDefault="00AB6E70" w:rsidP="006D3D00">
            <w:pPr>
              <w:ind w:right="278"/>
              <w:jc w:val="right"/>
              <w:rPr>
                <w:rFonts w:eastAsia="Times New Roman" w:cs="Times New Roman"/>
                <w:color w:val="000000"/>
                <w:sz w:val="20"/>
                <w:szCs w:val="20"/>
              </w:rPr>
            </w:pPr>
            <w:r w:rsidRPr="007A39DE">
              <w:rPr>
                <w:rFonts w:eastAsia="Times New Roman" w:cs="Times New Roman"/>
                <w:b/>
                <w:color w:val="FF0000"/>
                <w:sz w:val="20"/>
                <w:szCs w:val="20"/>
              </w:rPr>
              <w:t>(47</w:t>
            </w:r>
            <w:r w:rsidR="006D3D00" w:rsidRPr="007A39DE">
              <w:rPr>
                <w:rFonts w:eastAsia="Times New Roman" w:cs="Times New Roman"/>
                <w:b/>
                <w:color w:val="FF0000"/>
                <w:sz w:val="20"/>
                <w:szCs w:val="20"/>
              </w:rPr>
              <w:t>)</w:t>
            </w:r>
          </w:p>
        </w:tc>
        <w:tc>
          <w:tcPr>
            <w:tcW w:w="677" w:type="pct"/>
            <w:tcBorders>
              <w:top w:val="single" w:sz="6" w:space="0" w:color="auto"/>
              <w:left w:val="single" w:sz="6" w:space="0" w:color="auto"/>
              <w:bottom w:val="nil"/>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7"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w:t>
            </w:r>
          </w:p>
        </w:tc>
        <w:tc>
          <w:tcPr>
            <w:tcW w:w="675"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w:t>
            </w:r>
          </w:p>
        </w:tc>
        <w:tc>
          <w:tcPr>
            <w:tcW w:w="744" w:type="pct"/>
            <w:tcBorders>
              <w:top w:val="single" w:sz="6" w:space="0" w:color="auto"/>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w:t>
            </w:r>
          </w:p>
        </w:tc>
      </w:tr>
      <w:tr w:rsidR="006D3D00" w:rsidRPr="006D3D00" w:rsidTr="000C6ADA">
        <w:trPr>
          <w:trHeight w:val="397"/>
        </w:trPr>
        <w:tc>
          <w:tcPr>
            <w:tcW w:w="869" w:type="pct"/>
            <w:tcBorders>
              <w:top w:val="single" w:sz="4" w:space="0" w:color="auto"/>
              <w:bottom w:val="single" w:sz="4" w:space="0" w:color="auto"/>
              <w:right w:val="single" w:sz="4" w:space="0" w:color="auto"/>
            </w:tcBorders>
            <w:shd w:val="clear" w:color="auto" w:fill="D9D9D9"/>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Total Vacancies</w:t>
            </w:r>
          </w:p>
        </w:tc>
        <w:tc>
          <w:tcPr>
            <w:tcW w:w="683" w:type="pct"/>
            <w:tcBorders>
              <w:top w:val="single" w:sz="4" w:space="0" w:color="auto"/>
              <w:bottom w:val="single" w:sz="4" w:space="0" w:color="auto"/>
              <w:right w:val="single" w:sz="4" w:space="0" w:color="auto"/>
            </w:tcBorders>
            <w:shd w:val="clear" w:color="auto" w:fill="D9D9D9" w:themeFill="background1" w:themeFillShade="D9"/>
            <w:vAlign w:val="center"/>
          </w:tcPr>
          <w:p w:rsidR="006D3D00" w:rsidRPr="006D3D00" w:rsidRDefault="006D3D00" w:rsidP="006D3D00">
            <w:pPr>
              <w:ind w:right="170"/>
              <w:jc w:val="right"/>
              <w:rPr>
                <w:rFonts w:eastAsia="Times New Roman" w:cs="Times New Roman"/>
                <w:b/>
                <w:color w:val="FF0000"/>
                <w:sz w:val="20"/>
                <w:szCs w:val="20"/>
              </w:rPr>
            </w:pPr>
            <w:r w:rsidRPr="006D3D00">
              <w:rPr>
                <w:rFonts w:eastAsia="Times New Roman" w:cs="Times New Roman"/>
                <w:b/>
                <w:color w:val="FF0000"/>
                <w:sz w:val="20"/>
                <w:szCs w:val="20"/>
              </w:rPr>
              <w:t>(200)</w:t>
            </w:r>
          </w:p>
        </w:tc>
        <w:tc>
          <w:tcPr>
            <w:tcW w:w="677" w:type="pct"/>
            <w:tcBorders>
              <w:top w:val="single" w:sz="4" w:space="0" w:color="auto"/>
              <w:bottom w:val="single" w:sz="4" w:space="0" w:color="auto"/>
              <w:right w:val="single" w:sz="4" w:space="0" w:color="auto"/>
            </w:tcBorders>
            <w:shd w:val="clear" w:color="auto" w:fill="DDDDDD"/>
            <w:vAlign w:val="center"/>
          </w:tcPr>
          <w:p w:rsidR="006D3D00" w:rsidRPr="007A39DE" w:rsidRDefault="00AB6E70" w:rsidP="006D3D00">
            <w:pPr>
              <w:ind w:right="278"/>
              <w:jc w:val="right"/>
              <w:rPr>
                <w:rFonts w:eastAsia="Times New Roman" w:cs="Times New Roman"/>
                <w:b/>
                <w:color w:val="000000"/>
                <w:sz w:val="20"/>
                <w:szCs w:val="20"/>
              </w:rPr>
            </w:pPr>
            <w:r w:rsidRPr="007A39DE">
              <w:rPr>
                <w:rFonts w:eastAsia="Times New Roman" w:cs="Times New Roman"/>
                <w:b/>
                <w:color w:val="FF0000"/>
                <w:sz w:val="20"/>
                <w:szCs w:val="20"/>
              </w:rPr>
              <w:t>(47</w:t>
            </w:r>
            <w:r w:rsidR="006D3D00" w:rsidRPr="007A39DE">
              <w:rPr>
                <w:rFonts w:eastAsia="Times New Roman" w:cs="Times New Roman"/>
                <w:b/>
                <w:color w:val="FF0000"/>
                <w:sz w:val="20"/>
                <w:szCs w:val="20"/>
              </w:rPr>
              <w:t>)</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rsidR="006D3D00" w:rsidRPr="006D3D00" w:rsidRDefault="006D3D00" w:rsidP="006D3D00">
            <w:pPr>
              <w:ind w:right="278"/>
              <w:jc w:val="right"/>
              <w:rPr>
                <w:rFonts w:eastAsia="Times New Roman" w:cs="Times New Roman"/>
                <w:b/>
                <w:sz w:val="20"/>
                <w:szCs w:val="20"/>
              </w:rPr>
            </w:pPr>
            <w:r w:rsidRPr="006D3D00">
              <w:rPr>
                <w:rFonts w:eastAsia="Times New Roman" w:cs="Times New Roman"/>
                <w:b/>
                <w:sz w:val="20"/>
                <w:szCs w:val="20"/>
              </w:rPr>
              <w:t>-</w:t>
            </w:r>
          </w:p>
        </w:tc>
        <w:tc>
          <w:tcPr>
            <w:tcW w:w="675" w:type="pct"/>
            <w:tcBorders>
              <w:top w:val="single" w:sz="4" w:space="0" w:color="auto"/>
              <w:left w:val="single" w:sz="4" w:space="0" w:color="auto"/>
              <w:bottom w:val="single" w:sz="4" w:space="0" w:color="auto"/>
              <w:right w:val="single" w:sz="4" w:space="0" w:color="auto"/>
            </w:tcBorders>
            <w:shd w:val="clear" w:color="auto" w:fill="D9D9D9"/>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w:t>
            </w:r>
          </w:p>
        </w:tc>
        <w:tc>
          <w:tcPr>
            <w:tcW w:w="744" w:type="pct"/>
            <w:tcBorders>
              <w:top w:val="single" w:sz="4" w:space="0" w:color="auto"/>
              <w:left w:val="single" w:sz="4" w:space="0" w:color="auto"/>
              <w:bottom w:val="single" w:sz="4" w:space="0" w:color="auto"/>
              <w:right w:val="single" w:sz="4" w:space="0" w:color="auto"/>
            </w:tcBorders>
            <w:shd w:val="clear" w:color="auto" w:fill="D9D9D9"/>
            <w:vAlign w:val="center"/>
          </w:tcPr>
          <w:p w:rsidR="006D3D00" w:rsidRPr="006D3D00" w:rsidRDefault="006D3D00" w:rsidP="006D3D00">
            <w:pPr>
              <w:ind w:right="284"/>
              <w:jc w:val="right"/>
              <w:rPr>
                <w:rFonts w:eastAsia="Times New Roman" w:cs="Times New Roman"/>
                <w:b/>
                <w:sz w:val="20"/>
                <w:szCs w:val="20"/>
              </w:rPr>
            </w:pPr>
            <w:r w:rsidRPr="006D3D00">
              <w:rPr>
                <w:rFonts w:eastAsia="Times New Roman" w:cs="Times New Roman"/>
                <w:b/>
                <w:sz w:val="20"/>
                <w:szCs w:val="20"/>
              </w:rPr>
              <w:t>-</w:t>
            </w:r>
          </w:p>
        </w:tc>
      </w:tr>
      <w:tr w:rsidR="006D3D00" w:rsidRPr="006D3D00" w:rsidTr="000C6ADA">
        <w:trPr>
          <w:trHeight w:hRule="exact" w:val="274"/>
        </w:trPr>
        <w:tc>
          <w:tcPr>
            <w:tcW w:w="869" w:type="pct"/>
            <w:tcBorders>
              <w:top w:val="single" w:sz="4" w:space="0" w:color="auto"/>
              <w:bottom w:val="nil"/>
            </w:tcBorders>
            <w:vAlign w:val="bottom"/>
          </w:tcPr>
          <w:p w:rsidR="006D3D00" w:rsidRPr="006D3D00" w:rsidRDefault="006D3D00" w:rsidP="006D3D00">
            <w:pPr>
              <w:jc w:val="right"/>
              <w:rPr>
                <w:rFonts w:eastAsia="Times New Roman" w:cs="Times New Roman"/>
                <w:b/>
                <w:sz w:val="20"/>
                <w:szCs w:val="20"/>
              </w:rPr>
            </w:pPr>
            <w:r w:rsidRPr="006D3D00">
              <w:rPr>
                <w:rFonts w:eastAsia="Times New Roman" w:cs="Times New Roman"/>
                <w:b/>
                <w:sz w:val="20"/>
                <w:szCs w:val="20"/>
              </w:rPr>
              <w:t>Total Staff</w:t>
            </w:r>
          </w:p>
        </w:tc>
        <w:tc>
          <w:tcPr>
            <w:tcW w:w="683" w:type="pct"/>
            <w:tcBorders>
              <w:top w:val="single" w:sz="4" w:space="0" w:color="auto"/>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10,193</w:t>
            </w:r>
          </w:p>
        </w:tc>
        <w:tc>
          <w:tcPr>
            <w:tcW w:w="677" w:type="pct"/>
            <w:tcBorders>
              <w:top w:val="single" w:sz="4" w:space="0" w:color="auto"/>
              <w:bottom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10,193</w:t>
            </w:r>
          </w:p>
        </w:tc>
        <w:tc>
          <w:tcPr>
            <w:tcW w:w="677" w:type="pct"/>
            <w:tcBorders>
              <w:top w:val="single" w:sz="4" w:space="0" w:color="auto"/>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2,422</w:t>
            </w:r>
          </w:p>
        </w:tc>
        <w:tc>
          <w:tcPr>
            <w:tcW w:w="677" w:type="pct"/>
            <w:tcBorders>
              <w:top w:val="single" w:sz="4" w:space="0" w:color="auto"/>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2,577</w:t>
            </w:r>
          </w:p>
        </w:tc>
        <w:tc>
          <w:tcPr>
            <w:tcW w:w="675" w:type="pct"/>
            <w:tcBorders>
              <w:top w:val="single" w:sz="4" w:space="0" w:color="auto"/>
              <w:left w:val="single" w:sz="6" w:space="0" w:color="auto"/>
              <w:bottom w:val="nil"/>
              <w:right w:val="single" w:sz="6" w:space="0" w:color="auto"/>
            </w:tcBorders>
            <w:shd w:val="clear" w:color="auto" w:fill="auto"/>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155</w:t>
            </w:r>
          </w:p>
        </w:tc>
        <w:tc>
          <w:tcPr>
            <w:tcW w:w="744" w:type="pct"/>
            <w:tcBorders>
              <w:top w:val="single" w:sz="4" w:space="0" w:color="auto"/>
              <w:left w:val="single" w:sz="6" w:space="0" w:color="auto"/>
              <w:bottom w:val="nil"/>
              <w:right w:val="single" w:sz="6" w:space="0" w:color="auto"/>
            </w:tcBorders>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6.0</w:t>
            </w:r>
          </w:p>
        </w:tc>
      </w:tr>
      <w:tr w:rsidR="006D3D00" w:rsidRPr="006D3D00" w:rsidTr="000C6ADA">
        <w:trPr>
          <w:trHeight w:hRule="exact" w:val="253"/>
        </w:trPr>
        <w:tc>
          <w:tcPr>
            <w:tcW w:w="869" w:type="pct"/>
            <w:tcBorders>
              <w:top w:val="nil"/>
              <w:bottom w:val="nil"/>
            </w:tcBorders>
            <w:vAlign w:val="bottom"/>
          </w:tcPr>
          <w:p w:rsidR="006D3D00" w:rsidRPr="006D3D00" w:rsidRDefault="006D3D00" w:rsidP="006D3D00">
            <w:pPr>
              <w:jc w:val="right"/>
              <w:rPr>
                <w:rFonts w:eastAsia="Times New Roman" w:cs="Times New Roman"/>
                <w:b/>
                <w:sz w:val="20"/>
                <w:szCs w:val="20"/>
              </w:rPr>
            </w:pPr>
            <w:r w:rsidRPr="006D3D00">
              <w:rPr>
                <w:rFonts w:eastAsia="Times New Roman" w:cs="Times New Roman"/>
                <w:b/>
                <w:sz w:val="20"/>
                <w:szCs w:val="20"/>
              </w:rPr>
              <w:t xml:space="preserve">Total Run </w:t>
            </w:r>
          </w:p>
        </w:tc>
        <w:tc>
          <w:tcPr>
            <w:tcW w:w="683" w:type="pct"/>
            <w:tcBorders>
              <w:top w:val="nil"/>
              <w:bottom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1,684</w:t>
            </w:r>
          </w:p>
        </w:tc>
        <w:tc>
          <w:tcPr>
            <w:tcW w:w="677" w:type="pct"/>
            <w:tcBorders>
              <w:top w:val="nil"/>
              <w:bottom w:val="nil"/>
            </w:tcBorders>
            <w:shd w:val="clear" w:color="auto" w:fill="DDDDDD"/>
            <w:vAlign w:val="bottom"/>
          </w:tcPr>
          <w:p w:rsidR="006D3D00" w:rsidRPr="007A39DE" w:rsidRDefault="005E768C"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1,521</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385</w:t>
            </w:r>
          </w:p>
        </w:tc>
        <w:tc>
          <w:tcPr>
            <w:tcW w:w="677" w:type="pct"/>
            <w:tcBorders>
              <w:top w:val="nil"/>
              <w:left w:val="single" w:sz="6" w:space="0" w:color="auto"/>
              <w:bottom w:val="nil"/>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363</w:t>
            </w:r>
          </w:p>
        </w:tc>
        <w:tc>
          <w:tcPr>
            <w:tcW w:w="675" w:type="pct"/>
            <w:tcBorders>
              <w:top w:val="nil"/>
              <w:left w:val="single" w:sz="6" w:space="0" w:color="auto"/>
              <w:bottom w:val="nil"/>
              <w:right w:val="single" w:sz="6" w:space="0" w:color="auto"/>
            </w:tcBorders>
            <w:shd w:val="clear" w:color="auto" w:fill="auto"/>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(22)</w:t>
            </w:r>
          </w:p>
        </w:tc>
        <w:tc>
          <w:tcPr>
            <w:tcW w:w="744" w:type="pct"/>
            <w:tcBorders>
              <w:top w:val="nil"/>
              <w:left w:val="single" w:sz="6" w:space="0" w:color="auto"/>
              <w:bottom w:val="nil"/>
              <w:right w:val="single" w:sz="6" w:space="0" w:color="auto"/>
            </w:tcBorders>
            <w:vAlign w:val="center"/>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(6.1)</w:t>
            </w:r>
          </w:p>
        </w:tc>
      </w:tr>
      <w:tr w:rsidR="006D3D00" w:rsidRPr="006D3D00" w:rsidTr="000C6ADA">
        <w:trPr>
          <w:trHeight w:hRule="exact" w:val="271"/>
        </w:trPr>
        <w:tc>
          <w:tcPr>
            <w:tcW w:w="869" w:type="pct"/>
            <w:tcBorders>
              <w:top w:val="nil"/>
              <w:bottom w:val="single" w:sz="4" w:space="0" w:color="auto"/>
            </w:tcBorders>
            <w:vAlign w:val="bottom"/>
          </w:tcPr>
          <w:p w:rsidR="006D3D00" w:rsidRPr="006D3D00" w:rsidRDefault="006D3D00" w:rsidP="006D3D00">
            <w:pPr>
              <w:jc w:val="right"/>
              <w:rPr>
                <w:rFonts w:eastAsia="Times New Roman" w:cs="Times New Roman"/>
                <w:b/>
                <w:sz w:val="20"/>
                <w:szCs w:val="20"/>
              </w:rPr>
            </w:pPr>
            <w:r w:rsidRPr="006D3D00">
              <w:rPr>
                <w:rFonts w:eastAsia="Times New Roman" w:cs="Times New Roman"/>
                <w:b/>
                <w:sz w:val="20"/>
                <w:szCs w:val="20"/>
              </w:rPr>
              <w:t>Total Cap</w:t>
            </w:r>
          </w:p>
        </w:tc>
        <w:tc>
          <w:tcPr>
            <w:tcW w:w="683" w:type="pct"/>
            <w:tcBorders>
              <w:top w:val="nil"/>
            </w:tcBorders>
            <w:shd w:val="clear" w:color="auto" w:fill="D9D9D9" w:themeFill="background1" w:themeFillShade="D9"/>
            <w:vAlign w:val="bottom"/>
          </w:tcPr>
          <w:p w:rsidR="006D3D00" w:rsidRPr="006D3D00" w:rsidRDefault="006D3D00" w:rsidP="006D3D00">
            <w:pPr>
              <w:ind w:right="170"/>
              <w:jc w:val="right"/>
              <w:rPr>
                <w:rFonts w:eastAsia="Times New Roman" w:cs="Times New Roman"/>
                <w:b/>
                <w:color w:val="000000"/>
                <w:sz w:val="20"/>
                <w:szCs w:val="20"/>
              </w:rPr>
            </w:pPr>
            <w:r w:rsidRPr="006D3D00">
              <w:rPr>
                <w:rFonts w:eastAsia="Times New Roman" w:cs="Times New Roman"/>
                <w:b/>
                <w:color w:val="000000"/>
                <w:sz w:val="20"/>
                <w:szCs w:val="20"/>
              </w:rPr>
              <w:t>100</w:t>
            </w:r>
          </w:p>
        </w:tc>
        <w:tc>
          <w:tcPr>
            <w:tcW w:w="677" w:type="pct"/>
            <w:tcBorders>
              <w:top w:val="nil"/>
            </w:tcBorders>
            <w:shd w:val="clear" w:color="auto" w:fill="DDDDDD"/>
            <w:vAlign w:val="bottom"/>
          </w:tcPr>
          <w:p w:rsidR="006D3D00" w:rsidRPr="007A39DE" w:rsidRDefault="006D3D00"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100</w:t>
            </w:r>
          </w:p>
        </w:tc>
        <w:tc>
          <w:tcPr>
            <w:tcW w:w="677"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58</w:t>
            </w:r>
          </w:p>
        </w:tc>
        <w:tc>
          <w:tcPr>
            <w:tcW w:w="677" w:type="pct"/>
            <w:tcBorders>
              <w:top w:val="nil"/>
              <w:left w:val="single" w:sz="6" w:space="0" w:color="auto"/>
              <w:bottom w:val="single" w:sz="6" w:space="0" w:color="auto"/>
              <w:right w:val="single" w:sz="6" w:space="0" w:color="auto"/>
            </w:tcBorders>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71</w:t>
            </w:r>
          </w:p>
        </w:tc>
        <w:tc>
          <w:tcPr>
            <w:tcW w:w="675" w:type="pct"/>
            <w:tcBorders>
              <w:top w:val="nil"/>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340"/>
              <w:jc w:val="right"/>
              <w:rPr>
                <w:rFonts w:eastAsia="Times New Roman" w:cs="Times New Roman"/>
                <w:color w:val="000000"/>
                <w:sz w:val="20"/>
                <w:szCs w:val="20"/>
              </w:rPr>
            </w:pPr>
            <w:r w:rsidRPr="006D3D00">
              <w:rPr>
                <w:rFonts w:eastAsia="Times New Roman" w:cs="Times New Roman"/>
                <w:color w:val="000000"/>
                <w:sz w:val="20"/>
                <w:szCs w:val="20"/>
              </w:rPr>
              <w:t>13</w:t>
            </w:r>
          </w:p>
        </w:tc>
        <w:tc>
          <w:tcPr>
            <w:tcW w:w="744" w:type="pct"/>
            <w:tcBorders>
              <w:top w:val="nil"/>
              <w:left w:val="single" w:sz="6" w:space="0" w:color="auto"/>
              <w:bottom w:val="single" w:sz="6" w:space="0" w:color="auto"/>
              <w:right w:val="single" w:sz="6" w:space="0" w:color="auto"/>
            </w:tcBorders>
            <w:vAlign w:val="center"/>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18.3</w:t>
            </w:r>
          </w:p>
        </w:tc>
      </w:tr>
      <w:tr w:rsidR="006D3D00" w:rsidRPr="006D3D00" w:rsidTr="000C6ADA">
        <w:trPr>
          <w:trHeight w:val="454"/>
        </w:trPr>
        <w:tc>
          <w:tcPr>
            <w:tcW w:w="869" w:type="pct"/>
            <w:shd w:val="pct15" w:color="auto" w:fill="auto"/>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Total Excl Pension</w:t>
            </w:r>
          </w:p>
        </w:tc>
        <w:tc>
          <w:tcPr>
            <w:tcW w:w="683" w:type="pct"/>
            <w:shd w:val="clear" w:color="auto" w:fill="D9D9D9" w:themeFill="background1" w:themeFillShade="D9"/>
            <w:vAlign w:val="center"/>
          </w:tcPr>
          <w:p w:rsidR="006D3D00" w:rsidRPr="006D3D00" w:rsidRDefault="006D3D00" w:rsidP="006D3D00">
            <w:pPr>
              <w:ind w:left="-8" w:right="170"/>
              <w:jc w:val="right"/>
              <w:rPr>
                <w:rFonts w:eastAsia="Times New Roman" w:cs="Times New Roman"/>
                <w:b/>
                <w:color w:val="000000"/>
                <w:sz w:val="20"/>
                <w:szCs w:val="20"/>
              </w:rPr>
            </w:pPr>
            <w:r w:rsidRPr="006D3D00">
              <w:rPr>
                <w:rFonts w:eastAsia="Times New Roman" w:cs="Times New Roman"/>
                <w:b/>
                <w:color w:val="000000"/>
                <w:sz w:val="20"/>
                <w:szCs w:val="20"/>
              </w:rPr>
              <w:t>11,977</w:t>
            </w:r>
          </w:p>
        </w:tc>
        <w:tc>
          <w:tcPr>
            <w:tcW w:w="677" w:type="pct"/>
            <w:shd w:val="clear" w:color="auto" w:fill="DDDDDD"/>
            <w:vAlign w:val="center"/>
          </w:tcPr>
          <w:p w:rsidR="006D3D00" w:rsidRPr="007A39DE" w:rsidRDefault="005E768C"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11,814</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2,865</w:t>
            </w:r>
          </w:p>
        </w:tc>
        <w:tc>
          <w:tcPr>
            <w:tcW w:w="67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3,011</w:t>
            </w:r>
          </w:p>
        </w:tc>
        <w:tc>
          <w:tcPr>
            <w:tcW w:w="6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146</w:t>
            </w:r>
          </w:p>
        </w:tc>
        <w:tc>
          <w:tcPr>
            <w:tcW w:w="744"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84"/>
              <w:jc w:val="right"/>
              <w:rPr>
                <w:rFonts w:eastAsia="Times New Roman" w:cs="Times New Roman"/>
                <w:b/>
                <w:sz w:val="20"/>
                <w:szCs w:val="20"/>
              </w:rPr>
            </w:pPr>
            <w:r w:rsidRPr="006D3D00">
              <w:rPr>
                <w:rFonts w:eastAsia="Times New Roman" w:cs="Times New Roman"/>
                <w:b/>
                <w:sz w:val="20"/>
                <w:szCs w:val="20"/>
              </w:rPr>
              <w:t>4.8</w:t>
            </w:r>
          </w:p>
        </w:tc>
      </w:tr>
      <w:tr w:rsidR="006D3D00" w:rsidRPr="006D3D00" w:rsidTr="000C6ADA">
        <w:trPr>
          <w:trHeight w:val="285"/>
        </w:trPr>
        <w:tc>
          <w:tcPr>
            <w:tcW w:w="869" w:type="pct"/>
            <w:tcBorders>
              <w:top w:val="single" w:sz="4" w:space="0" w:color="auto"/>
              <w:left w:val="single" w:sz="4" w:space="0" w:color="auto"/>
              <w:bottom w:val="single" w:sz="4" w:space="0" w:color="auto"/>
              <w:right w:val="single" w:sz="4" w:space="0" w:color="auto"/>
            </w:tcBorders>
            <w:shd w:val="clear" w:color="auto" w:fill="auto"/>
            <w:vAlign w:val="bottom"/>
          </w:tcPr>
          <w:p w:rsidR="006D3D00" w:rsidRPr="006D3D00" w:rsidRDefault="006D3D00" w:rsidP="006D3D00">
            <w:pPr>
              <w:ind w:right="-46"/>
              <w:jc w:val="right"/>
              <w:rPr>
                <w:rFonts w:eastAsia="Times New Roman" w:cs="Times New Roman"/>
                <w:sz w:val="20"/>
                <w:szCs w:val="20"/>
              </w:rPr>
            </w:pPr>
            <w:r w:rsidRPr="006D3D00">
              <w:rPr>
                <w:rFonts w:eastAsia="Times New Roman" w:cs="Times New Roman"/>
                <w:sz w:val="20"/>
                <w:szCs w:val="20"/>
              </w:rPr>
              <w:t>Pensions</w:t>
            </w:r>
          </w:p>
        </w:tc>
        <w:tc>
          <w:tcPr>
            <w:tcW w:w="683" w:type="pct"/>
            <w:tcBorders>
              <w:top w:val="single" w:sz="4" w:space="0" w:color="auto"/>
              <w:left w:val="single" w:sz="4" w:space="0" w:color="auto"/>
              <w:bottom w:val="single" w:sz="4" w:space="0" w:color="auto"/>
              <w:right w:val="single" w:sz="4" w:space="0" w:color="auto"/>
            </w:tcBorders>
            <w:shd w:val="clear" w:color="auto" w:fill="DDDDDD"/>
            <w:vAlign w:val="bottom"/>
          </w:tcPr>
          <w:p w:rsidR="006D3D00" w:rsidRPr="006D3D00" w:rsidRDefault="006D3D00" w:rsidP="006D3D00">
            <w:pPr>
              <w:ind w:left="-8" w:right="170"/>
              <w:jc w:val="right"/>
              <w:rPr>
                <w:rFonts w:eastAsia="Times New Roman" w:cs="Times New Roman"/>
                <w:b/>
                <w:color w:val="000000"/>
                <w:sz w:val="20"/>
                <w:szCs w:val="20"/>
              </w:rPr>
            </w:pPr>
            <w:r w:rsidRPr="006D3D00">
              <w:rPr>
                <w:rFonts w:eastAsia="Times New Roman" w:cs="Times New Roman"/>
                <w:b/>
                <w:color w:val="000000"/>
                <w:sz w:val="20"/>
                <w:szCs w:val="20"/>
              </w:rPr>
              <w:t>1,600</w:t>
            </w:r>
          </w:p>
        </w:tc>
        <w:tc>
          <w:tcPr>
            <w:tcW w:w="677" w:type="pct"/>
            <w:tcBorders>
              <w:top w:val="single" w:sz="6" w:space="0" w:color="auto"/>
              <w:left w:val="single" w:sz="6" w:space="0" w:color="auto"/>
              <w:bottom w:val="single" w:sz="6" w:space="0" w:color="auto"/>
              <w:right w:val="single" w:sz="6" w:space="0" w:color="auto"/>
            </w:tcBorders>
            <w:shd w:val="clear" w:color="auto" w:fill="DDDDDD"/>
            <w:vAlign w:val="bottom"/>
          </w:tcPr>
          <w:p w:rsidR="006D3D00" w:rsidRPr="007A39DE" w:rsidRDefault="007A39DE" w:rsidP="006D3D00">
            <w:pPr>
              <w:ind w:right="278"/>
              <w:jc w:val="right"/>
              <w:rPr>
                <w:rFonts w:eastAsia="Times New Roman" w:cs="Times New Roman"/>
                <w:color w:val="000000"/>
                <w:sz w:val="20"/>
                <w:szCs w:val="20"/>
              </w:rPr>
            </w:pPr>
            <w:r w:rsidRPr="007A39DE">
              <w:rPr>
                <w:rFonts w:eastAsia="Times New Roman" w:cs="Times New Roman"/>
                <w:b/>
                <w:color w:val="000000"/>
                <w:sz w:val="20"/>
                <w:szCs w:val="20"/>
              </w:rPr>
              <w:t>1,900</w:t>
            </w:r>
          </w:p>
        </w:tc>
        <w:tc>
          <w:tcPr>
            <w:tcW w:w="677" w:type="pct"/>
            <w:tcBorders>
              <w:top w:val="single" w:sz="6" w:space="0" w:color="auto"/>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614</w:t>
            </w:r>
          </w:p>
        </w:tc>
        <w:tc>
          <w:tcPr>
            <w:tcW w:w="677" w:type="pct"/>
            <w:tcBorders>
              <w:top w:val="single" w:sz="6" w:space="0" w:color="auto"/>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78"/>
              <w:jc w:val="right"/>
              <w:rPr>
                <w:rFonts w:eastAsia="Times New Roman" w:cs="Times New Roman"/>
                <w:color w:val="000000"/>
                <w:sz w:val="20"/>
                <w:szCs w:val="20"/>
              </w:rPr>
            </w:pPr>
            <w:r w:rsidRPr="006D3D00">
              <w:rPr>
                <w:rFonts w:eastAsia="Times New Roman" w:cs="Times New Roman"/>
                <w:color w:val="000000"/>
                <w:sz w:val="20"/>
                <w:szCs w:val="20"/>
              </w:rPr>
              <w:t>600</w:t>
            </w:r>
          </w:p>
        </w:tc>
        <w:tc>
          <w:tcPr>
            <w:tcW w:w="675" w:type="pct"/>
            <w:tcBorders>
              <w:top w:val="single" w:sz="6" w:space="0" w:color="auto"/>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340"/>
              <w:jc w:val="right"/>
              <w:rPr>
                <w:rFonts w:eastAsia="Times New Roman" w:cs="Times New Roman"/>
                <w:sz w:val="20"/>
                <w:szCs w:val="20"/>
              </w:rPr>
            </w:pPr>
            <w:r w:rsidRPr="006D3D00">
              <w:rPr>
                <w:rFonts w:eastAsia="Times New Roman" w:cs="Times New Roman"/>
                <w:sz w:val="20"/>
                <w:szCs w:val="20"/>
              </w:rPr>
              <w:t>(14)</w:t>
            </w:r>
          </w:p>
        </w:tc>
        <w:tc>
          <w:tcPr>
            <w:tcW w:w="744" w:type="pct"/>
            <w:tcBorders>
              <w:top w:val="single" w:sz="6" w:space="0" w:color="auto"/>
              <w:left w:val="single" w:sz="6" w:space="0" w:color="auto"/>
              <w:bottom w:val="single" w:sz="6" w:space="0" w:color="auto"/>
              <w:right w:val="single" w:sz="6" w:space="0" w:color="auto"/>
            </w:tcBorders>
            <w:shd w:val="clear" w:color="auto" w:fill="auto"/>
            <w:vAlign w:val="bottom"/>
          </w:tcPr>
          <w:p w:rsidR="006D3D00" w:rsidRPr="006D3D00" w:rsidRDefault="006D3D00" w:rsidP="006D3D00">
            <w:pPr>
              <w:ind w:right="284"/>
              <w:jc w:val="right"/>
              <w:rPr>
                <w:rFonts w:eastAsia="Times New Roman" w:cs="Times New Roman"/>
                <w:sz w:val="20"/>
                <w:szCs w:val="20"/>
              </w:rPr>
            </w:pPr>
            <w:r w:rsidRPr="006D3D00">
              <w:rPr>
                <w:rFonts w:eastAsia="Times New Roman" w:cs="Times New Roman"/>
                <w:sz w:val="20"/>
                <w:szCs w:val="20"/>
              </w:rPr>
              <w:t>2.3</w:t>
            </w:r>
          </w:p>
        </w:tc>
      </w:tr>
      <w:tr w:rsidR="006D3D00" w:rsidRPr="006D3D00" w:rsidTr="000C6ADA">
        <w:trPr>
          <w:trHeight w:val="454"/>
        </w:trPr>
        <w:tc>
          <w:tcPr>
            <w:tcW w:w="869" w:type="pct"/>
            <w:tcBorders>
              <w:top w:val="single" w:sz="4" w:space="0" w:color="auto"/>
              <w:left w:val="single" w:sz="4" w:space="0" w:color="auto"/>
              <w:bottom w:val="single" w:sz="4" w:space="0" w:color="auto"/>
              <w:right w:val="single" w:sz="4" w:space="0" w:color="auto"/>
            </w:tcBorders>
            <w:shd w:val="pct15" w:color="auto" w:fill="auto"/>
            <w:vAlign w:val="center"/>
          </w:tcPr>
          <w:p w:rsidR="006D3D00" w:rsidRPr="006D3D00" w:rsidRDefault="006D3D00" w:rsidP="006D3D00">
            <w:pPr>
              <w:rPr>
                <w:rFonts w:eastAsia="Times New Roman" w:cs="Times New Roman"/>
                <w:b/>
                <w:sz w:val="20"/>
                <w:szCs w:val="20"/>
              </w:rPr>
            </w:pPr>
            <w:r w:rsidRPr="006D3D00">
              <w:rPr>
                <w:rFonts w:eastAsia="Times New Roman" w:cs="Times New Roman"/>
                <w:b/>
                <w:sz w:val="20"/>
                <w:szCs w:val="20"/>
              </w:rPr>
              <w:t xml:space="preserve">Total Admin </w:t>
            </w:r>
          </w:p>
        </w:tc>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D00" w:rsidRPr="006D3D00" w:rsidRDefault="006D3D00" w:rsidP="006D3D00">
            <w:pPr>
              <w:ind w:left="-8" w:right="170"/>
              <w:jc w:val="right"/>
              <w:rPr>
                <w:rFonts w:eastAsia="Times New Roman" w:cs="Times New Roman"/>
                <w:b/>
                <w:color w:val="000000"/>
                <w:sz w:val="20"/>
                <w:szCs w:val="20"/>
              </w:rPr>
            </w:pPr>
            <w:r w:rsidRPr="006D3D00">
              <w:rPr>
                <w:rFonts w:eastAsia="Times New Roman" w:cs="Times New Roman"/>
                <w:b/>
                <w:color w:val="000000"/>
                <w:sz w:val="20"/>
                <w:szCs w:val="20"/>
              </w:rPr>
              <w:t>13,577</w:t>
            </w:r>
          </w:p>
        </w:tc>
        <w:tc>
          <w:tcPr>
            <w:tcW w:w="677" w:type="pct"/>
            <w:tcBorders>
              <w:top w:val="single" w:sz="6" w:space="0" w:color="auto"/>
              <w:left w:val="single" w:sz="6" w:space="0" w:color="auto"/>
              <w:bottom w:val="single" w:sz="6" w:space="0" w:color="auto"/>
              <w:right w:val="single" w:sz="6" w:space="0" w:color="auto"/>
            </w:tcBorders>
            <w:shd w:val="clear" w:color="auto" w:fill="DDDDDD"/>
            <w:vAlign w:val="center"/>
          </w:tcPr>
          <w:p w:rsidR="006D3D00" w:rsidRPr="007A39DE" w:rsidRDefault="007A39DE" w:rsidP="006D3D00">
            <w:pPr>
              <w:ind w:right="278"/>
              <w:jc w:val="right"/>
              <w:rPr>
                <w:rFonts w:eastAsia="Times New Roman" w:cs="Times New Roman"/>
                <w:b/>
                <w:color w:val="000000"/>
                <w:sz w:val="20"/>
                <w:szCs w:val="20"/>
              </w:rPr>
            </w:pPr>
            <w:r w:rsidRPr="007A39DE">
              <w:rPr>
                <w:rFonts w:eastAsia="Times New Roman" w:cs="Times New Roman"/>
                <w:b/>
                <w:color w:val="000000"/>
                <w:sz w:val="20"/>
                <w:szCs w:val="20"/>
              </w:rPr>
              <w:t>13,714</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78"/>
              <w:jc w:val="right"/>
              <w:rPr>
                <w:rFonts w:eastAsia="Times New Roman" w:cs="Times New Roman"/>
                <w:b/>
                <w:color w:val="000000"/>
                <w:sz w:val="20"/>
                <w:szCs w:val="20"/>
              </w:rPr>
            </w:pPr>
            <w:r w:rsidRPr="006D3D00">
              <w:rPr>
                <w:rFonts w:eastAsia="Times New Roman" w:cs="Times New Roman"/>
                <w:b/>
                <w:color w:val="000000"/>
                <w:sz w:val="20"/>
                <w:szCs w:val="20"/>
              </w:rPr>
              <w:t>3,479</w:t>
            </w:r>
          </w:p>
        </w:tc>
        <w:tc>
          <w:tcPr>
            <w:tcW w:w="677"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left="-67" w:right="278"/>
              <w:jc w:val="right"/>
              <w:rPr>
                <w:rFonts w:eastAsia="Times New Roman" w:cs="Times New Roman"/>
                <w:b/>
                <w:color w:val="000000"/>
                <w:sz w:val="20"/>
                <w:szCs w:val="20"/>
              </w:rPr>
            </w:pPr>
            <w:r w:rsidRPr="006D3D00">
              <w:rPr>
                <w:rFonts w:eastAsia="Times New Roman" w:cs="Times New Roman"/>
                <w:b/>
                <w:color w:val="000000"/>
                <w:sz w:val="20"/>
                <w:szCs w:val="20"/>
              </w:rPr>
              <w:t>3,611</w:t>
            </w:r>
          </w:p>
        </w:tc>
        <w:tc>
          <w:tcPr>
            <w:tcW w:w="675"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340"/>
              <w:jc w:val="right"/>
              <w:rPr>
                <w:rFonts w:eastAsia="Times New Roman" w:cs="Times New Roman"/>
                <w:b/>
                <w:sz w:val="20"/>
                <w:szCs w:val="20"/>
              </w:rPr>
            </w:pPr>
            <w:r w:rsidRPr="006D3D00">
              <w:rPr>
                <w:rFonts w:eastAsia="Times New Roman" w:cs="Times New Roman"/>
                <w:b/>
                <w:sz w:val="20"/>
                <w:szCs w:val="20"/>
              </w:rPr>
              <w:t>132</w:t>
            </w:r>
          </w:p>
        </w:tc>
        <w:tc>
          <w:tcPr>
            <w:tcW w:w="744" w:type="pct"/>
            <w:tcBorders>
              <w:top w:val="single" w:sz="6" w:space="0" w:color="auto"/>
              <w:left w:val="single" w:sz="6" w:space="0" w:color="auto"/>
              <w:bottom w:val="single" w:sz="6" w:space="0" w:color="auto"/>
              <w:right w:val="single" w:sz="6" w:space="0" w:color="auto"/>
            </w:tcBorders>
            <w:shd w:val="pct15" w:color="auto" w:fill="FFFFFF"/>
            <w:vAlign w:val="center"/>
          </w:tcPr>
          <w:p w:rsidR="006D3D00" w:rsidRPr="006D3D00" w:rsidRDefault="006D3D00" w:rsidP="006D3D00">
            <w:pPr>
              <w:ind w:right="284"/>
              <w:jc w:val="right"/>
              <w:rPr>
                <w:rFonts w:eastAsia="Times New Roman" w:cs="Times New Roman"/>
                <w:b/>
                <w:sz w:val="20"/>
                <w:szCs w:val="20"/>
                <w:highlight w:val="yellow"/>
              </w:rPr>
            </w:pPr>
            <w:r w:rsidRPr="006D3D00">
              <w:rPr>
                <w:rFonts w:eastAsia="Times New Roman" w:cs="Times New Roman"/>
                <w:b/>
                <w:sz w:val="20"/>
                <w:szCs w:val="20"/>
              </w:rPr>
              <w:t>3.7</w:t>
            </w:r>
          </w:p>
        </w:tc>
      </w:tr>
    </w:tbl>
    <w:p w:rsidR="006D3D00" w:rsidRPr="006D3D00" w:rsidRDefault="00AB6E70" w:rsidP="006D3D00">
      <w:pPr>
        <w:numPr>
          <w:ilvl w:val="0"/>
          <w:numId w:val="14"/>
        </w:numPr>
        <w:ind w:left="284" w:hanging="284"/>
        <w:jc w:val="both"/>
        <w:rPr>
          <w:rFonts w:eastAsia="Times New Roman" w:cs="Times New Roman"/>
          <w:sz w:val="22"/>
          <w:szCs w:val="22"/>
          <w:vertAlign w:val="superscript"/>
        </w:rPr>
      </w:pPr>
      <w:r>
        <w:rPr>
          <w:rFonts w:eastAsia="Times New Roman" w:cs="Times New Roman"/>
          <w:sz w:val="22"/>
          <w:szCs w:val="22"/>
          <w:vertAlign w:val="superscript"/>
        </w:rPr>
        <w:t>Contains £61</w:t>
      </w:r>
      <w:r w:rsidR="006D3D00" w:rsidRPr="006D3D00">
        <w:rPr>
          <w:rFonts w:eastAsia="Times New Roman" w:cs="Times New Roman"/>
          <w:sz w:val="22"/>
          <w:szCs w:val="22"/>
          <w:vertAlign w:val="superscript"/>
        </w:rPr>
        <w:t>7k of income from sub-let.</w:t>
      </w:r>
      <w:r>
        <w:rPr>
          <w:rFonts w:eastAsia="Times New Roman" w:cs="Times New Roman"/>
          <w:sz w:val="22"/>
          <w:szCs w:val="22"/>
          <w:vertAlign w:val="superscript"/>
        </w:rPr>
        <w:t xml:space="preserve">  Total running costs are £1,966</w:t>
      </w:r>
      <w:r w:rsidR="006D3D00" w:rsidRPr="006D3D00">
        <w:rPr>
          <w:rFonts w:eastAsia="Times New Roman" w:cs="Times New Roman"/>
          <w:sz w:val="22"/>
          <w:szCs w:val="22"/>
          <w:vertAlign w:val="superscript"/>
        </w:rPr>
        <w:t>k</w:t>
      </w:r>
    </w:p>
    <w:p w:rsidR="006D3D00" w:rsidRPr="006D3D00" w:rsidRDefault="006D3D00" w:rsidP="006D3D00">
      <w:pPr>
        <w:numPr>
          <w:ilvl w:val="0"/>
          <w:numId w:val="14"/>
        </w:numPr>
        <w:ind w:left="284" w:hanging="284"/>
        <w:jc w:val="both"/>
        <w:rPr>
          <w:rFonts w:eastAsia="Times New Roman" w:cs="Times New Roman"/>
          <w:sz w:val="22"/>
          <w:szCs w:val="22"/>
          <w:vertAlign w:val="superscript"/>
        </w:rPr>
      </w:pPr>
      <w:r w:rsidRPr="006D3D00">
        <w:rPr>
          <w:rFonts w:eastAsia="Times New Roman" w:cs="Times New Roman"/>
          <w:sz w:val="22"/>
          <w:szCs w:val="22"/>
          <w:vertAlign w:val="superscript"/>
        </w:rPr>
        <w:t>Contains £20k income for final bill of secondment (ending Feb-22 billed Jun-22).  Total running budget is £60k</w:t>
      </w:r>
    </w:p>
    <w:p w:rsidR="006E3238" w:rsidRDefault="00DD36B3" w:rsidP="000C6ADA">
      <w:pPr>
        <w:spacing w:before="120" w:after="120"/>
        <w:rPr>
          <w:rFonts w:eastAsia="Times New Roman" w:cs="Times New Roman"/>
          <w:sz w:val="24"/>
          <w:szCs w:val="24"/>
        </w:rPr>
      </w:pPr>
      <w:r w:rsidRPr="00DD36B3">
        <w:rPr>
          <w:rFonts w:eastAsia="Times New Roman" w:cs="Times New Roman"/>
          <w:sz w:val="24"/>
          <w:szCs w:val="24"/>
        </w:rPr>
        <w:t>Total spend to the end of June 2022 is £3,479k against budget of £3,611k, an underspend of £132k (3.7%).</w:t>
      </w:r>
    </w:p>
    <w:p w:rsidR="00441687" w:rsidRDefault="00441687" w:rsidP="009F438A">
      <w:pPr>
        <w:spacing w:before="120"/>
        <w:rPr>
          <w:rFonts w:eastAsia="Times New Roman" w:cs="Times New Roman"/>
          <w:sz w:val="24"/>
          <w:szCs w:val="24"/>
        </w:rPr>
      </w:pPr>
      <w:r>
        <w:rPr>
          <w:rFonts w:eastAsia="Times New Roman" w:cs="Times New Roman"/>
          <w:sz w:val="24"/>
          <w:szCs w:val="24"/>
        </w:rPr>
        <w:t xml:space="preserve">Column 3 of the table above shows adjusted annual budgets after the quarter 1 budget review process.  These changes are not actioned until July, therefore, the June year to date budgets (in column 5) do not incorporate these changes.  </w:t>
      </w:r>
    </w:p>
    <w:p w:rsidR="006E3238" w:rsidRPr="00DD36B3" w:rsidRDefault="006E3238" w:rsidP="00DD36B3">
      <w:pPr>
        <w:spacing w:before="120" w:after="120"/>
        <w:jc w:val="both"/>
        <w:rPr>
          <w:rFonts w:eastAsia="Times New Roman" w:cs="Times New Roman"/>
          <w:sz w:val="24"/>
          <w:szCs w:val="24"/>
        </w:rPr>
      </w:pPr>
    </w:p>
    <w:p w:rsidR="00AB5C5A" w:rsidRPr="00ED2793" w:rsidRDefault="00674957" w:rsidP="00ED2793">
      <w:pPr>
        <w:pStyle w:val="ListParagraph"/>
        <w:numPr>
          <w:ilvl w:val="0"/>
          <w:numId w:val="15"/>
        </w:numPr>
        <w:spacing w:after="120"/>
        <w:jc w:val="both"/>
        <w:rPr>
          <w:rFonts w:eastAsia="Times New Roman" w:cs="Times New Roman"/>
          <w:b/>
          <w:sz w:val="24"/>
          <w:szCs w:val="24"/>
        </w:rPr>
      </w:pPr>
      <w:r w:rsidRPr="00ED2793">
        <w:rPr>
          <w:rFonts w:eastAsia="Times New Roman" w:cs="Times New Roman"/>
          <w:b/>
          <w:sz w:val="24"/>
          <w:szCs w:val="24"/>
        </w:rPr>
        <w:t>Variances to</w:t>
      </w:r>
      <w:r w:rsidR="00C31055" w:rsidRPr="00ED2793">
        <w:rPr>
          <w:rFonts w:eastAsia="Times New Roman" w:cs="Times New Roman"/>
          <w:b/>
          <w:sz w:val="24"/>
          <w:szCs w:val="24"/>
        </w:rPr>
        <w:t xml:space="preserve"> </w:t>
      </w:r>
      <w:r w:rsidR="00CF07F8" w:rsidRPr="00ED2793">
        <w:rPr>
          <w:rFonts w:eastAsia="Times New Roman" w:cs="Times New Roman"/>
          <w:b/>
          <w:sz w:val="24"/>
          <w:szCs w:val="24"/>
        </w:rPr>
        <w:t>budget</w:t>
      </w:r>
    </w:p>
    <w:p w:rsidR="00DD36B3" w:rsidRPr="006E3238" w:rsidRDefault="00DD36B3" w:rsidP="009F438A">
      <w:pPr>
        <w:spacing w:before="240"/>
        <w:rPr>
          <w:sz w:val="24"/>
          <w:szCs w:val="24"/>
        </w:rPr>
      </w:pPr>
      <w:r w:rsidRPr="006E3238">
        <w:rPr>
          <w:sz w:val="24"/>
          <w:szCs w:val="24"/>
        </w:rPr>
        <w:t xml:space="preserve">Staff costs are underspent by £155k due to vacancies accruing in the first quarter, 2 of which were director vacancies.  All vacancy savings were addressed at the quarter 1 budget review.  </w:t>
      </w:r>
    </w:p>
    <w:p w:rsidR="00DD36B3" w:rsidRPr="006E3238" w:rsidRDefault="00DD36B3" w:rsidP="009F438A">
      <w:pPr>
        <w:spacing w:before="240"/>
        <w:rPr>
          <w:sz w:val="24"/>
          <w:szCs w:val="24"/>
        </w:rPr>
      </w:pPr>
      <w:r w:rsidRPr="006E3238">
        <w:rPr>
          <w:sz w:val="24"/>
          <w:szCs w:val="24"/>
        </w:rPr>
        <w:t xml:space="preserve">Running costs in June showed as overspent however this was down to timing of bills arriving for Legal Services costs.  There is sufficient budget available though and the timing issue was addressed as part of the quarter 1 budget review works. </w:t>
      </w:r>
    </w:p>
    <w:p w:rsidR="00DD36B3" w:rsidRPr="006E3238" w:rsidRDefault="00DD36B3" w:rsidP="009F438A">
      <w:pPr>
        <w:spacing w:before="240" w:after="240"/>
        <w:rPr>
          <w:sz w:val="24"/>
          <w:szCs w:val="24"/>
        </w:rPr>
      </w:pPr>
      <w:r w:rsidRPr="006E3238">
        <w:rPr>
          <w:sz w:val="24"/>
          <w:szCs w:val="24"/>
        </w:rPr>
        <w:t xml:space="preserve">Capital spend is slightly behind profile however this will level off in the coming months.  </w:t>
      </w:r>
    </w:p>
    <w:p w:rsidR="00DD36B3" w:rsidRDefault="00DD36B3" w:rsidP="009F438A">
      <w:pPr>
        <w:pStyle w:val="BodyText"/>
        <w:spacing w:before="240"/>
        <w:rPr>
          <w:sz w:val="24"/>
          <w:szCs w:val="24"/>
        </w:rPr>
      </w:pPr>
      <w:r w:rsidRPr="006E3238">
        <w:rPr>
          <w:sz w:val="24"/>
          <w:szCs w:val="24"/>
        </w:rPr>
        <w:t xml:space="preserve">As reported previously, pension spend is high due to several (long serving) members of pension scheme </w:t>
      </w:r>
      <w:r w:rsidR="002F196A">
        <w:rPr>
          <w:sz w:val="24"/>
          <w:szCs w:val="24"/>
        </w:rPr>
        <w:t>one</w:t>
      </w:r>
      <w:r w:rsidRPr="006E3238">
        <w:rPr>
          <w:sz w:val="24"/>
          <w:szCs w:val="24"/>
        </w:rPr>
        <w:t xml:space="preserve"> retiring who also chose to c</w:t>
      </w:r>
      <w:r w:rsidR="002F196A">
        <w:rPr>
          <w:sz w:val="24"/>
          <w:szCs w:val="24"/>
        </w:rPr>
        <w:t>ommute their lump sums.  At the q</w:t>
      </w:r>
      <w:r w:rsidRPr="006E3238">
        <w:rPr>
          <w:sz w:val="24"/>
          <w:szCs w:val="24"/>
        </w:rPr>
        <w:t xml:space="preserve">uarter 1 budget review pensions have been increased by £300k. </w:t>
      </w:r>
    </w:p>
    <w:p w:rsidR="009F438A" w:rsidRPr="006E3238" w:rsidRDefault="009F438A" w:rsidP="009F438A">
      <w:pPr>
        <w:pStyle w:val="BodyText"/>
        <w:spacing w:before="240"/>
        <w:rPr>
          <w:sz w:val="24"/>
          <w:szCs w:val="24"/>
        </w:rPr>
      </w:pPr>
    </w:p>
    <w:p w:rsidR="00255D5A" w:rsidRPr="0031725C" w:rsidRDefault="00B267F3" w:rsidP="00883B21">
      <w:pPr>
        <w:keepNext/>
        <w:numPr>
          <w:ilvl w:val="1"/>
          <w:numId w:val="0"/>
        </w:numPr>
        <w:tabs>
          <w:tab w:val="num" w:pos="576"/>
        </w:tabs>
        <w:spacing w:after="120"/>
        <w:ind w:left="578" w:hanging="578"/>
        <w:outlineLvl w:val="1"/>
        <w:rPr>
          <w:rFonts w:eastAsia="Times New Roman" w:cs="Times New Roman"/>
          <w:b/>
          <w:sz w:val="24"/>
          <w:szCs w:val="24"/>
        </w:rPr>
      </w:pPr>
      <w:r>
        <w:rPr>
          <w:rFonts w:eastAsia="Times New Roman" w:cs="Times New Roman"/>
          <w:b/>
          <w:sz w:val="24"/>
          <w:szCs w:val="24"/>
        </w:rPr>
        <w:lastRenderedPageBreak/>
        <w:t>4</w:t>
      </w:r>
      <w:r w:rsidR="004E430C" w:rsidRPr="0031725C">
        <w:rPr>
          <w:rFonts w:eastAsia="Times New Roman" w:cs="Times New Roman"/>
          <w:b/>
          <w:sz w:val="24"/>
          <w:szCs w:val="24"/>
        </w:rPr>
        <w:t xml:space="preserve">. </w:t>
      </w:r>
      <w:r w:rsidR="00D5384D" w:rsidRPr="0031725C">
        <w:rPr>
          <w:rFonts w:eastAsia="Times New Roman" w:cs="Times New Roman"/>
          <w:b/>
          <w:sz w:val="24"/>
          <w:szCs w:val="24"/>
        </w:rPr>
        <w:t xml:space="preserve">Invoice Turnaround Times </w:t>
      </w:r>
    </w:p>
    <w:p w:rsidR="00ED017F" w:rsidRPr="00ED017F" w:rsidRDefault="00ED017F" w:rsidP="009F438A">
      <w:pPr>
        <w:keepNext/>
        <w:spacing w:after="240"/>
        <w:outlineLvl w:val="0"/>
        <w:rPr>
          <w:sz w:val="24"/>
          <w:szCs w:val="24"/>
        </w:rPr>
      </w:pPr>
      <w:r w:rsidRPr="00ED017F">
        <w:rPr>
          <w:sz w:val="24"/>
          <w:szCs w:val="24"/>
        </w:rPr>
        <w:t xml:space="preserve">The table below shows invoice payment performance for both 10 and 30 days, the former being our operational target and the latter being our normal contractual payment term.  </w:t>
      </w:r>
    </w:p>
    <w:p w:rsidR="006E3238" w:rsidRPr="006E3238" w:rsidRDefault="006E3238" w:rsidP="009F438A">
      <w:pPr>
        <w:spacing w:after="240"/>
        <w:rPr>
          <w:rFonts w:eastAsia="Times New Roman" w:cs="Times New Roman"/>
          <w:sz w:val="24"/>
          <w:szCs w:val="24"/>
        </w:rPr>
      </w:pPr>
      <w:r w:rsidRPr="006E3238">
        <w:rPr>
          <w:rFonts w:eastAsia="Times New Roman" w:cs="Times New Roman"/>
          <w:sz w:val="24"/>
          <w:szCs w:val="24"/>
        </w:rPr>
        <w:t xml:space="preserve">Total year to date performance for 10 days in 2022-23 is 95%.  Performance is far better than in the same period in 2021-22 as the department had suffered from significant absence in the first quarter of 2021-22.  </w:t>
      </w:r>
    </w:p>
    <w:tbl>
      <w:tblPr>
        <w:tblW w:w="8635" w:type="dxa"/>
        <w:tblInd w:w="-10" w:type="dxa"/>
        <w:tblCellMar>
          <w:left w:w="0" w:type="dxa"/>
          <w:right w:w="0" w:type="dxa"/>
        </w:tblCellMar>
        <w:tblLook w:val="04A0" w:firstRow="1" w:lastRow="0" w:firstColumn="1" w:lastColumn="0" w:noHBand="0" w:noVBand="1"/>
      </w:tblPr>
      <w:tblGrid>
        <w:gridCol w:w="1973"/>
        <w:gridCol w:w="1559"/>
        <w:gridCol w:w="1701"/>
        <w:gridCol w:w="1701"/>
        <w:gridCol w:w="1701"/>
      </w:tblGrid>
      <w:tr w:rsidR="006E3238" w:rsidRPr="006E3238" w:rsidTr="00175D54">
        <w:trPr>
          <w:trHeight w:val="345"/>
        </w:trPr>
        <w:tc>
          <w:tcPr>
            <w:tcW w:w="8635"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highlight w:val="yellow"/>
                <w:lang w:eastAsia="en-GB"/>
              </w:rPr>
            </w:pPr>
            <w:r w:rsidRPr="006E3238">
              <w:rPr>
                <w:rFonts w:eastAsia="Times New Roman" w:cs="Times New Roman"/>
                <w:b/>
                <w:bCs/>
                <w:color w:val="000000"/>
                <w:sz w:val="22"/>
                <w:szCs w:val="22"/>
                <w:lang w:eastAsia="en-GB"/>
              </w:rPr>
              <w:t>            For the Period to 30-06-2022</w:t>
            </w:r>
          </w:p>
        </w:tc>
      </w:tr>
      <w:tr w:rsidR="006E3238" w:rsidRPr="006E3238" w:rsidTr="00175D54">
        <w:trPr>
          <w:trHeight w:val="343"/>
        </w:trPr>
        <w:tc>
          <w:tcPr>
            <w:tcW w:w="197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E3238" w:rsidRPr="006E3238" w:rsidRDefault="006E3238" w:rsidP="006E3238">
            <w:pPr>
              <w:rPr>
                <w:rFonts w:eastAsia="Times New Roman" w:cs="Times New Roman"/>
                <w:b/>
                <w:bCs/>
                <w:color w:val="000000"/>
                <w:sz w:val="22"/>
                <w:szCs w:val="22"/>
                <w:lang w:eastAsia="en-GB"/>
              </w:rPr>
            </w:pPr>
            <w:r w:rsidRPr="006E3238">
              <w:rPr>
                <w:rFonts w:eastAsia="Times New Roman" w:cs="Times New Roman"/>
                <w:b/>
                <w:bCs/>
                <w:color w:val="000000"/>
                <w:sz w:val="22"/>
                <w:szCs w:val="22"/>
                <w:lang w:eastAsia="en-GB"/>
              </w:rPr>
              <w:t>Group</w:t>
            </w:r>
          </w:p>
        </w:tc>
        <w:tc>
          <w:tcPr>
            <w:tcW w:w="326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lang w:eastAsia="en-GB"/>
              </w:rPr>
            </w:pPr>
            <w:r w:rsidRPr="006E3238">
              <w:rPr>
                <w:rFonts w:eastAsia="Times New Roman" w:cs="Times New Roman"/>
                <w:b/>
                <w:bCs/>
                <w:sz w:val="22"/>
                <w:szCs w:val="22"/>
              </w:rPr>
              <w:t>YTD % paid within 10 days</w:t>
            </w:r>
          </w:p>
        </w:tc>
        <w:tc>
          <w:tcPr>
            <w:tcW w:w="340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lang w:eastAsia="en-GB"/>
              </w:rPr>
            </w:pPr>
            <w:r w:rsidRPr="006E3238">
              <w:rPr>
                <w:rFonts w:eastAsia="Times New Roman" w:cs="Times New Roman"/>
                <w:b/>
                <w:bCs/>
                <w:sz w:val="22"/>
                <w:szCs w:val="22"/>
              </w:rPr>
              <w:t>YTD % paid within 30 days</w:t>
            </w:r>
          </w:p>
        </w:tc>
      </w:tr>
      <w:tr w:rsidR="006E3238" w:rsidRPr="006E3238" w:rsidTr="00175D54">
        <w:trPr>
          <w:trHeight w:val="395"/>
        </w:trPr>
        <w:tc>
          <w:tcPr>
            <w:tcW w:w="1973" w:type="dxa"/>
            <w:vMerge/>
            <w:tcBorders>
              <w:top w:val="nil"/>
              <w:left w:val="single" w:sz="8" w:space="0" w:color="auto"/>
              <w:bottom w:val="single" w:sz="8" w:space="0" w:color="000000"/>
              <w:right w:val="single" w:sz="8" w:space="0" w:color="auto"/>
            </w:tcBorders>
            <w:vAlign w:val="center"/>
            <w:hideMark/>
          </w:tcPr>
          <w:p w:rsidR="006E3238" w:rsidRPr="006E3238" w:rsidRDefault="006E3238" w:rsidP="006E3238">
            <w:pPr>
              <w:rPr>
                <w:rFonts w:cs="Times New Roman"/>
                <w:b/>
                <w:bCs/>
                <w:color w:val="000000"/>
                <w:sz w:val="22"/>
                <w:szCs w:val="22"/>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lang w:eastAsia="en-GB"/>
              </w:rPr>
            </w:pPr>
            <w:r w:rsidRPr="006E3238">
              <w:rPr>
                <w:rFonts w:eastAsia="Times New Roman" w:cs="Times New Roman"/>
                <w:b/>
                <w:bCs/>
                <w:color w:val="000000"/>
                <w:sz w:val="22"/>
                <w:szCs w:val="22"/>
                <w:lang w:eastAsia="en-GB"/>
              </w:rPr>
              <w:t>2022-23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lang w:eastAsia="en-GB"/>
              </w:rPr>
            </w:pPr>
            <w:r w:rsidRPr="006E3238">
              <w:rPr>
                <w:rFonts w:eastAsia="Times New Roman" w:cs="Times New Roman"/>
                <w:b/>
                <w:bCs/>
                <w:color w:val="000000"/>
                <w:sz w:val="22"/>
                <w:szCs w:val="22"/>
                <w:lang w:eastAsia="en-GB"/>
              </w:rPr>
              <w:t>2021-22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lang w:eastAsia="en-GB"/>
              </w:rPr>
            </w:pPr>
            <w:r w:rsidRPr="006E3238">
              <w:rPr>
                <w:rFonts w:eastAsia="Times New Roman" w:cs="Times New Roman"/>
                <w:b/>
                <w:bCs/>
                <w:color w:val="000000"/>
                <w:sz w:val="22"/>
                <w:szCs w:val="22"/>
                <w:lang w:eastAsia="en-GB"/>
              </w:rPr>
              <w:t>2022-23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238" w:rsidRPr="006E3238" w:rsidRDefault="006E3238" w:rsidP="006E3238">
            <w:pPr>
              <w:jc w:val="center"/>
              <w:rPr>
                <w:rFonts w:eastAsia="Times New Roman" w:cs="Times New Roman"/>
                <w:b/>
                <w:bCs/>
                <w:color w:val="000000"/>
                <w:sz w:val="22"/>
                <w:szCs w:val="22"/>
                <w:lang w:eastAsia="en-GB"/>
              </w:rPr>
            </w:pPr>
            <w:r w:rsidRPr="006E3238">
              <w:rPr>
                <w:rFonts w:eastAsia="Times New Roman" w:cs="Times New Roman"/>
                <w:b/>
                <w:bCs/>
                <w:color w:val="000000"/>
                <w:sz w:val="22"/>
                <w:szCs w:val="22"/>
                <w:lang w:eastAsia="en-GB"/>
              </w:rPr>
              <w:t>2021-22</w:t>
            </w:r>
          </w:p>
        </w:tc>
      </w:tr>
      <w:tr w:rsidR="006E3238" w:rsidRPr="006E3238" w:rsidTr="00175D54">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3238" w:rsidRPr="006E3238" w:rsidRDefault="006E3238" w:rsidP="006E3238">
            <w:pPr>
              <w:rPr>
                <w:rFonts w:eastAsia="Times New Roman" w:cs="Calibri"/>
                <w:b/>
                <w:bCs/>
                <w:color w:val="000000"/>
                <w:sz w:val="22"/>
                <w:szCs w:val="22"/>
                <w:lang w:eastAsia="en-GB"/>
              </w:rPr>
            </w:pPr>
            <w:r w:rsidRPr="006E3238">
              <w:rPr>
                <w:rFonts w:eastAsia="Times New Roman" w:cs="Calibri"/>
                <w:b/>
                <w:bCs/>
                <w:color w:val="000000"/>
                <w:sz w:val="22"/>
                <w:szCs w:val="22"/>
              </w:rPr>
              <w:t>Admin</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lang w:eastAsia="en-GB"/>
              </w:rPr>
            </w:pPr>
            <w:r w:rsidRPr="006E3238">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85%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98%</w:t>
            </w:r>
          </w:p>
        </w:tc>
      </w:tr>
      <w:tr w:rsidR="006E3238" w:rsidRPr="006E3238" w:rsidTr="00175D54">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3238" w:rsidRPr="006E3238" w:rsidRDefault="006E3238" w:rsidP="006E3238">
            <w:pPr>
              <w:rPr>
                <w:rFonts w:eastAsia="Times New Roman" w:cs="Calibri"/>
                <w:b/>
                <w:bCs/>
                <w:color w:val="000000"/>
                <w:sz w:val="22"/>
                <w:szCs w:val="22"/>
              </w:rPr>
            </w:pPr>
            <w:r w:rsidRPr="006E3238">
              <w:rPr>
                <w:rFonts w:eastAsia="Times New Roman" w:cs="Calibri"/>
                <w:b/>
                <w:bCs/>
                <w:color w:val="000000"/>
                <w:sz w:val="22"/>
                <w:szCs w:val="22"/>
              </w:rPr>
              <w:t>CLAO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87%</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98%</w:t>
            </w:r>
          </w:p>
        </w:tc>
      </w:tr>
      <w:tr w:rsidR="006E3238" w:rsidRPr="006E3238" w:rsidTr="00175D54">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3238" w:rsidRPr="006E3238" w:rsidRDefault="006E3238" w:rsidP="006E3238">
            <w:pPr>
              <w:rPr>
                <w:rFonts w:eastAsia="Times New Roman" w:cs="Calibri"/>
                <w:b/>
                <w:bCs/>
                <w:color w:val="000000"/>
                <w:sz w:val="22"/>
                <w:szCs w:val="22"/>
              </w:rPr>
            </w:pPr>
            <w:r w:rsidRPr="006E3238">
              <w:rPr>
                <w:rFonts w:eastAsia="Times New Roman" w:cs="Calibri"/>
                <w:b/>
                <w:bCs/>
                <w:color w:val="000000"/>
                <w:sz w:val="22"/>
                <w:szCs w:val="22"/>
              </w:rPr>
              <w:t>PDSO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90%</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color w:val="000000"/>
                <w:sz w:val="22"/>
                <w:szCs w:val="22"/>
              </w:rPr>
            </w:pPr>
            <w:r w:rsidRPr="006E3238">
              <w:rPr>
                <w:rFonts w:eastAsia="Times New Roman" w:cs="Calibri"/>
                <w:color w:val="000000"/>
                <w:sz w:val="22"/>
                <w:szCs w:val="22"/>
              </w:rPr>
              <w:t>97%</w:t>
            </w:r>
          </w:p>
        </w:tc>
      </w:tr>
      <w:tr w:rsidR="006E3238" w:rsidRPr="006E3238" w:rsidTr="00175D54">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3238" w:rsidRPr="006E3238" w:rsidRDefault="006E3238" w:rsidP="006E3238">
            <w:pPr>
              <w:rPr>
                <w:rFonts w:eastAsia="Times New Roman" w:cs="Calibri"/>
                <w:b/>
                <w:bCs/>
                <w:color w:val="000000"/>
                <w:sz w:val="22"/>
                <w:szCs w:val="22"/>
              </w:rPr>
            </w:pPr>
            <w:r w:rsidRPr="006E3238">
              <w:rPr>
                <w:rFonts w:eastAsia="Times New Roman" w:cs="Calibri"/>
                <w:b/>
                <w:bCs/>
                <w:color w:val="000000"/>
                <w:sz w:val="22"/>
                <w:szCs w:val="22"/>
              </w:rPr>
              <w:t>Total</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b/>
                <w:color w:val="000000"/>
                <w:sz w:val="22"/>
                <w:szCs w:val="22"/>
              </w:rPr>
            </w:pPr>
            <w:r w:rsidRPr="006E3238">
              <w:rPr>
                <w:rFonts w:eastAsia="Times New Roman" w:cs="Calibri"/>
                <w:b/>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b/>
                <w:color w:val="000000"/>
                <w:sz w:val="22"/>
                <w:szCs w:val="22"/>
              </w:rPr>
            </w:pPr>
            <w:r w:rsidRPr="006E3238">
              <w:rPr>
                <w:rFonts w:eastAsia="Times New Roman" w:cs="Calibri"/>
                <w:b/>
                <w:color w:val="000000"/>
                <w:sz w:val="22"/>
                <w:szCs w:val="22"/>
              </w:rPr>
              <w:t>88%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b/>
                <w:color w:val="000000"/>
                <w:sz w:val="22"/>
                <w:szCs w:val="22"/>
              </w:rPr>
            </w:pPr>
            <w:r w:rsidRPr="006E3238">
              <w:rPr>
                <w:rFonts w:eastAsia="Times New Roman" w:cs="Calibri"/>
                <w:b/>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3238" w:rsidRPr="006E3238" w:rsidRDefault="006E3238" w:rsidP="006E3238">
            <w:pPr>
              <w:jc w:val="center"/>
              <w:rPr>
                <w:rFonts w:eastAsia="Times New Roman" w:cs="Calibri"/>
                <w:b/>
                <w:color w:val="000000"/>
                <w:sz w:val="22"/>
                <w:szCs w:val="22"/>
              </w:rPr>
            </w:pPr>
            <w:r w:rsidRPr="006E3238">
              <w:rPr>
                <w:rFonts w:eastAsia="Times New Roman" w:cs="Calibri"/>
                <w:b/>
                <w:color w:val="000000"/>
                <w:sz w:val="22"/>
                <w:szCs w:val="22"/>
              </w:rPr>
              <w:t>97%</w:t>
            </w:r>
          </w:p>
        </w:tc>
      </w:tr>
    </w:tbl>
    <w:p w:rsidR="000C6ADA" w:rsidRDefault="000C6ADA" w:rsidP="00913762">
      <w:pPr>
        <w:keepNext/>
        <w:outlineLvl w:val="0"/>
        <w:rPr>
          <w:rFonts w:eastAsia="Times New Roman" w:cstheme="minorHAnsi"/>
          <w:b/>
          <w:bCs/>
          <w:caps/>
          <w:sz w:val="24"/>
          <w:szCs w:val="24"/>
        </w:rPr>
      </w:pPr>
    </w:p>
    <w:p w:rsidR="000C6ADA" w:rsidRDefault="000C6ADA" w:rsidP="00913762">
      <w:pPr>
        <w:keepNext/>
        <w:outlineLvl w:val="0"/>
        <w:rPr>
          <w:rFonts w:eastAsia="Times New Roman" w:cstheme="minorHAnsi"/>
          <w:b/>
          <w:bCs/>
          <w:caps/>
          <w:sz w:val="24"/>
          <w:szCs w:val="24"/>
        </w:rPr>
      </w:pPr>
    </w:p>
    <w:p w:rsidR="00913762" w:rsidRPr="00066D78" w:rsidRDefault="00913762" w:rsidP="00913762">
      <w:pPr>
        <w:keepNext/>
        <w:outlineLvl w:val="0"/>
        <w:rPr>
          <w:rFonts w:eastAsia="Times New Roman" w:cstheme="minorHAnsi"/>
          <w:b/>
          <w:bCs/>
          <w:caps/>
          <w:sz w:val="24"/>
          <w:szCs w:val="24"/>
        </w:rPr>
      </w:pPr>
      <w:r w:rsidRPr="00066D78">
        <w:rPr>
          <w:rFonts w:eastAsia="Times New Roman" w:cstheme="minorHAnsi"/>
          <w:b/>
          <w:bCs/>
          <w:caps/>
          <w:sz w:val="24"/>
          <w:szCs w:val="24"/>
        </w:rPr>
        <w:t>Human resources</w:t>
      </w:r>
    </w:p>
    <w:p w:rsidR="00913762" w:rsidRPr="00066D78" w:rsidRDefault="00913762" w:rsidP="00913762">
      <w:pPr>
        <w:keepNext/>
        <w:numPr>
          <w:ilvl w:val="1"/>
          <w:numId w:val="0"/>
        </w:numPr>
        <w:tabs>
          <w:tab w:val="num" w:pos="576"/>
        </w:tabs>
        <w:spacing w:before="120" w:after="120"/>
        <w:ind w:left="578" w:hanging="578"/>
        <w:outlineLvl w:val="1"/>
        <w:rPr>
          <w:rFonts w:eastAsia="Times New Roman" w:cs="Times New Roman"/>
          <w:b/>
          <w:sz w:val="24"/>
          <w:szCs w:val="24"/>
        </w:rPr>
      </w:pPr>
      <w:r w:rsidRPr="00066D78">
        <w:rPr>
          <w:rFonts w:eastAsia="Times New Roman" w:cs="Times New Roman"/>
          <w:b/>
          <w:sz w:val="24"/>
          <w:szCs w:val="24"/>
        </w:rPr>
        <w:t xml:space="preserve">5. Sickness Absence </w:t>
      </w:r>
    </w:p>
    <w:p w:rsidR="00913762" w:rsidRPr="00066D78" w:rsidRDefault="00913762" w:rsidP="009F438A">
      <w:pPr>
        <w:spacing w:after="120"/>
        <w:rPr>
          <w:rFonts w:eastAsia="Times New Roman" w:cs="Times New Roman"/>
          <w:sz w:val="24"/>
          <w:szCs w:val="24"/>
        </w:rPr>
      </w:pPr>
      <w:r w:rsidRPr="00066D78">
        <w:rPr>
          <w:rFonts w:eastAsia="Times New Roman" w:cs="Times New Roman"/>
          <w:sz w:val="24"/>
          <w:szCs w:val="24"/>
        </w:rPr>
        <w:t>The table below provides information relating to employ</w:t>
      </w:r>
      <w:r w:rsidR="00175D54">
        <w:rPr>
          <w:rFonts w:eastAsia="Times New Roman" w:cs="Times New Roman"/>
          <w:sz w:val="24"/>
          <w:szCs w:val="24"/>
        </w:rPr>
        <w:t>ee sickness absence for the quarter ended 30</w:t>
      </w:r>
      <w:r w:rsidR="00175D54" w:rsidRPr="00175D54">
        <w:rPr>
          <w:rFonts w:eastAsia="Times New Roman" w:cs="Times New Roman"/>
          <w:sz w:val="24"/>
          <w:szCs w:val="24"/>
          <w:vertAlign w:val="superscript"/>
        </w:rPr>
        <w:t>th</w:t>
      </w:r>
      <w:r w:rsidR="00175D54">
        <w:rPr>
          <w:rFonts w:eastAsia="Times New Roman" w:cs="Times New Roman"/>
          <w:sz w:val="24"/>
          <w:szCs w:val="24"/>
        </w:rPr>
        <w:t xml:space="preserve"> June</w:t>
      </w:r>
      <w:r w:rsidRPr="00066D78">
        <w:rPr>
          <w:rFonts w:eastAsia="Times New Roman" w:cs="Times New Roman"/>
          <w:sz w:val="24"/>
          <w:szCs w:val="24"/>
        </w:rPr>
        <w:t xml:space="preserve"> 2022:</w:t>
      </w:r>
    </w:p>
    <w:p w:rsidR="00913762" w:rsidRPr="00D876E3" w:rsidRDefault="00913762" w:rsidP="00913762">
      <w:pPr>
        <w:spacing w:after="120"/>
        <w:jc w:val="both"/>
        <w:rPr>
          <w:rFonts w:eastAsia="Times New Roman" w:cs="Times New Roman"/>
          <w:sz w:val="24"/>
          <w:szCs w:val="24"/>
          <w:highlight w:val="yellow"/>
        </w:rPr>
      </w:pPr>
    </w:p>
    <w:tbl>
      <w:tblPr>
        <w:tblW w:w="9639" w:type="dxa"/>
        <w:tblLayout w:type="fixed"/>
        <w:tblLook w:val="04A0" w:firstRow="1" w:lastRow="0" w:firstColumn="1" w:lastColumn="0" w:noHBand="0" w:noVBand="1"/>
      </w:tblPr>
      <w:tblGrid>
        <w:gridCol w:w="2410"/>
        <w:gridCol w:w="1134"/>
        <w:gridCol w:w="1418"/>
        <w:gridCol w:w="1134"/>
        <w:gridCol w:w="1275"/>
        <w:gridCol w:w="1134"/>
        <w:gridCol w:w="1134"/>
      </w:tblGrid>
      <w:tr w:rsidR="00913762" w:rsidRPr="00066D78" w:rsidTr="00175D54">
        <w:trPr>
          <w:trHeight w:val="300"/>
        </w:trPr>
        <w:tc>
          <w:tcPr>
            <w:tcW w:w="2410" w:type="dxa"/>
            <w:noWrap/>
            <w:vAlign w:val="center"/>
            <w:hideMark/>
          </w:tcPr>
          <w:p w:rsidR="00913762" w:rsidRPr="00066D78" w:rsidRDefault="00913762" w:rsidP="00175D54">
            <w:pPr>
              <w:rPr>
                <w:rFonts w:eastAsia="Times New Roman" w:cs="Times New Roman"/>
                <w:sz w:val="24"/>
                <w:szCs w:val="24"/>
              </w:rPr>
            </w:pPr>
          </w:p>
        </w:tc>
        <w:tc>
          <w:tcPr>
            <w:tcW w:w="2552" w:type="dxa"/>
            <w:gridSpan w:val="2"/>
            <w:shd w:val="clear" w:color="auto" w:fill="5B9BD5"/>
            <w:vAlign w:val="center"/>
            <w:hideMark/>
          </w:tcPr>
          <w:p w:rsidR="00913762" w:rsidRPr="000E1E53" w:rsidRDefault="00913762" w:rsidP="00175D54">
            <w:pPr>
              <w:jc w:val="center"/>
              <w:rPr>
                <w:rFonts w:ascii="Calibri" w:eastAsia="Times New Roman" w:hAnsi="Calibri" w:cs="Calibri"/>
                <w:b/>
                <w:bCs/>
                <w:color w:val="FFFFFF" w:themeColor="background1"/>
                <w:sz w:val="22"/>
                <w:szCs w:val="22"/>
                <w:lang w:eastAsia="en-GB"/>
              </w:rPr>
            </w:pPr>
            <w:r w:rsidRPr="000E1E53">
              <w:rPr>
                <w:rFonts w:ascii="Calibri" w:eastAsia="Times New Roman" w:hAnsi="Calibri" w:cs="Calibri"/>
                <w:b/>
                <w:bCs/>
                <w:color w:val="FFFFFF" w:themeColor="background1"/>
                <w:sz w:val="22"/>
                <w:szCs w:val="22"/>
                <w:lang w:eastAsia="en-GB"/>
              </w:rPr>
              <w:t xml:space="preserve">This Year </w:t>
            </w:r>
          </w:p>
          <w:p w:rsidR="00913762" w:rsidRPr="00066D78" w:rsidRDefault="00175D54" w:rsidP="00175D54">
            <w:pPr>
              <w:jc w:val="center"/>
              <w:rPr>
                <w:rFonts w:ascii="Calibri" w:eastAsia="Times New Roman" w:hAnsi="Calibri" w:cs="Calibri"/>
                <w:b/>
                <w:bCs/>
                <w:sz w:val="22"/>
                <w:szCs w:val="22"/>
                <w:lang w:eastAsia="en-GB"/>
              </w:rPr>
            </w:pPr>
            <w:r>
              <w:rPr>
                <w:rFonts w:ascii="Calibri" w:eastAsia="Times New Roman" w:hAnsi="Calibri" w:cs="Calibri"/>
                <w:b/>
                <w:bCs/>
                <w:color w:val="FFFFFF" w:themeColor="background1"/>
                <w:sz w:val="22"/>
                <w:szCs w:val="22"/>
                <w:lang w:eastAsia="en-GB"/>
              </w:rPr>
              <w:t>Apr-22 to Jun</w:t>
            </w:r>
            <w:r w:rsidR="00913762" w:rsidRPr="000E1E53">
              <w:rPr>
                <w:rFonts w:ascii="Calibri" w:eastAsia="Times New Roman" w:hAnsi="Calibri" w:cs="Calibri"/>
                <w:b/>
                <w:bCs/>
                <w:color w:val="FFFFFF" w:themeColor="background1"/>
                <w:sz w:val="22"/>
                <w:szCs w:val="22"/>
                <w:lang w:eastAsia="en-GB"/>
              </w:rPr>
              <w:t>-22</w:t>
            </w:r>
          </w:p>
        </w:tc>
        <w:tc>
          <w:tcPr>
            <w:tcW w:w="2409" w:type="dxa"/>
            <w:gridSpan w:val="2"/>
            <w:shd w:val="clear" w:color="auto" w:fill="5B9BD5"/>
            <w:vAlign w:val="center"/>
            <w:hideMark/>
          </w:tcPr>
          <w:p w:rsidR="00913762" w:rsidRPr="000E1E53" w:rsidRDefault="00913762" w:rsidP="00175D54">
            <w:pPr>
              <w:jc w:val="center"/>
              <w:rPr>
                <w:rFonts w:ascii="Calibri" w:eastAsia="Times New Roman" w:hAnsi="Calibri" w:cs="Calibri"/>
                <w:b/>
                <w:bCs/>
                <w:color w:val="FFFFFF" w:themeColor="background1"/>
                <w:sz w:val="22"/>
                <w:szCs w:val="22"/>
                <w:lang w:eastAsia="en-GB"/>
              </w:rPr>
            </w:pPr>
            <w:r w:rsidRPr="000E1E53">
              <w:rPr>
                <w:rFonts w:ascii="Calibri" w:eastAsia="Times New Roman" w:hAnsi="Calibri" w:cs="Calibri"/>
                <w:b/>
                <w:bCs/>
                <w:color w:val="FFFFFF" w:themeColor="background1"/>
                <w:sz w:val="22"/>
                <w:szCs w:val="22"/>
                <w:lang w:eastAsia="en-GB"/>
              </w:rPr>
              <w:t xml:space="preserve">Last Year </w:t>
            </w:r>
          </w:p>
          <w:p w:rsidR="00913762" w:rsidRPr="00066D78" w:rsidRDefault="00175D54" w:rsidP="00175D54">
            <w:pPr>
              <w:jc w:val="center"/>
              <w:rPr>
                <w:rFonts w:ascii="Calibri" w:eastAsia="Times New Roman" w:hAnsi="Calibri" w:cs="Calibri"/>
                <w:b/>
                <w:bCs/>
                <w:sz w:val="22"/>
                <w:szCs w:val="22"/>
                <w:lang w:eastAsia="en-GB"/>
              </w:rPr>
            </w:pPr>
            <w:r>
              <w:rPr>
                <w:rFonts w:ascii="Calibri" w:eastAsia="Times New Roman" w:hAnsi="Calibri" w:cs="Calibri"/>
                <w:b/>
                <w:bCs/>
                <w:color w:val="FFFFFF" w:themeColor="background1"/>
                <w:sz w:val="22"/>
                <w:szCs w:val="22"/>
                <w:lang w:eastAsia="en-GB"/>
              </w:rPr>
              <w:t>Apr-21 to Jun</w:t>
            </w:r>
            <w:r w:rsidR="00913762" w:rsidRPr="000E1E53">
              <w:rPr>
                <w:rFonts w:ascii="Calibri" w:eastAsia="Times New Roman" w:hAnsi="Calibri" w:cs="Calibri"/>
                <w:b/>
                <w:bCs/>
                <w:color w:val="FFFFFF" w:themeColor="background1"/>
                <w:sz w:val="22"/>
                <w:szCs w:val="22"/>
                <w:lang w:eastAsia="en-GB"/>
              </w:rPr>
              <w:t>-21</w:t>
            </w:r>
          </w:p>
        </w:tc>
        <w:tc>
          <w:tcPr>
            <w:tcW w:w="1134" w:type="dxa"/>
            <w:tcBorders>
              <w:left w:val="nil"/>
            </w:tcBorders>
            <w:shd w:val="clear" w:color="auto" w:fill="FFFFFF"/>
          </w:tcPr>
          <w:p w:rsidR="00913762" w:rsidRPr="00066D78" w:rsidRDefault="00913762" w:rsidP="00175D54">
            <w:pPr>
              <w:rPr>
                <w:rFonts w:ascii="Calibri" w:eastAsia="Times New Roman" w:hAnsi="Calibri" w:cs="Calibri"/>
                <w:b/>
                <w:bCs/>
                <w:color w:val="FFFFFF"/>
                <w:sz w:val="22"/>
                <w:szCs w:val="22"/>
                <w:lang w:eastAsia="en-GB"/>
              </w:rPr>
            </w:pPr>
          </w:p>
        </w:tc>
        <w:tc>
          <w:tcPr>
            <w:tcW w:w="1134" w:type="dxa"/>
            <w:shd w:val="clear" w:color="auto" w:fill="FFFFFF"/>
            <w:vAlign w:val="bottom"/>
            <w:hideMark/>
          </w:tcPr>
          <w:p w:rsidR="00913762" w:rsidRPr="00066D78" w:rsidRDefault="00913762" w:rsidP="00175D5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 </w:t>
            </w:r>
          </w:p>
        </w:tc>
      </w:tr>
      <w:tr w:rsidR="00913762" w:rsidRPr="00066D78" w:rsidTr="00175D54">
        <w:trPr>
          <w:gridAfter w:val="1"/>
          <w:wAfter w:w="1134" w:type="dxa"/>
          <w:trHeight w:val="1200"/>
        </w:trPr>
        <w:tc>
          <w:tcPr>
            <w:tcW w:w="2410" w:type="dxa"/>
            <w:noWrap/>
            <w:vAlign w:val="center"/>
            <w:hideMark/>
          </w:tcPr>
          <w:p w:rsidR="00913762" w:rsidRPr="00066D78" w:rsidRDefault="00913762" w:rsidP="00175D54">
            <w:pPr>
              <w:rPr>
                <w:rFonts w:ascii="Calibri" w:eastAsia="Times New Roman" w:hAnsi="Calibri" w:cs="Calibri"/>
                <w:b/>
                <w:bCs/>
                <w:color w:val="FFFFFF"/>
                <w:sz w:val="22"/>
                <w:szCs w:val="22"/>
                <w:lang w:eastAsia="en-GB"/>
              </w:rPr>
            </w:pPr>
          </w:p>
        </w:tc>
        <w:tc>
          <w:tcPr>
            <w:tcW w:w="1134" w:type="dxa"/>
            <w:shd w:val="clear" w:color="auto" w:fill="5B9BD5"/>
            <w:vAlign w:val="center"/>
            <w:hideMark/>
          </w:tcPr>
          <w:p w:rsidR="00913762" w:rsidRPr="00066D78" w:rsidRDefault="00913762" w:rsidP="00175D5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Days lost per WTE</w:t>
            </w:r>
          </w:p>
        </w:tc>
        <w:tc>
          <w:tcPr>
            <w:tcW w:w="1418" w:type="dxa"/>
            <w:shd w:val="clear" w:color="auto" w:fill="5B9BD5"/>
            <w:vAlign w:val="center"/>
            <w:hideMark/>
          </w:tcPr>
          <w:p w:rsidR="00913762" w:rsidRPr="00066D78" w:rsidRDefault="00913762" w:rsidP="00175D5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Percentage of WTE</w:t>
            </w:r>
          </w:p>
        </w:tc>
        <w:tc>
          <w:tcPr>
            <w:tcW w:w="1134" w:type="dxa"/>
            <w:tcBorders>
              <w:left w:val="nil"/>
            </w:tcBorders>
            <w:shd w:val="clear" w:color="auto" w:fill="5B9BD5"/>
            <w:vAlign w:val="center"/>
            <w:hideMark/>
          </w:tcPr>
          <w:p w:rsidR="00913762" w:rsidRPr="00066D78" w:rsidRDefault="00913762" w:rsidP="00175D5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Days lost per WTE</w:t>
            </w:r>
          </w:p>
        </w:tc>
        <w:tc>
          <w:tcPr>
            <w:tcW w:w="1275" w:type="dxa"/>
            <w:shd w:val="clear" w:color="auto" w:fill="5B9BD5"/>
            <w:vAlign w:val="center"/>
            <w:hideMark/>
          </w:tcPr>
          <w:p w:rsidR="00913762" w:rsidRPr="00066D78" w:rsidRDefault="00913762" w:rsidP="00175D5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Percentage of WTE</w:t>
            </w:r>
          </w:p>
        </w:tc>
        <w:tc>
          <w:tcPr>
            <w:tcW w:w="1134" w:type="dxa"/>
            <w:shd w:val="clear" w:color="auto" w:fill="5B9BD5"/>
            <w:vAlign w:val="center"/>
          </w:tcPr>
          <w:p w:rsidR="00913762" w:rsidRPr="00066D78" w:rsidRDefault="00913762" w:rsidP="00175D5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Variance in days lost per WTE</w:t>
            </w:r>
          </w:p>
        </w:tc>
      </w:tr>
      <w:tr w:rsidR="00913762" w:rsidRPr="00066D78" w:rsidTr="00175D54">
        <w:trPr>
          <w:gridAfter w:val="1"/>
          <w:wAfter w:w="1134" w:type="dxa"/>
          <w:trHeight w:val="300"/>
        </w:trPr>
        <w:tc>
          <w:tcPr>
            <w:tcW w:w="2410" w:type="dxa"/>
            <w:tcBorders>
              <w:top w:val="single" w:sz="4" w:space="0" w:color="5B9BD5"/>
              <w:left w:val="single" w:sz="4" w:space="0" w:color="5B9BD5"/>
              <w:bottom w:val="single" w:sz="4" w:space="0" w:color="5B9BD5"/>
              <w:right w:val="single" w:sz="4" w:space="0" w:color="5B9BD5"/>
            </w:tcBorders>
            <w:vAlign w:val="center"/>
            <w:hideMark/>
          </w:tcPr>
          <w:p w:rsidR="00913762" w:rsidRPr="00066D78" w:rsidRDefault="00913762" w:rsidP="00175D54">
            <w:pPr>
              <w:rPr>
                <w:rFonts w:ascii="Calibri" w:eastAsia="Times New Roman" w:hAnsi="Calibri" w:cs="Calibri"/>
                <w:sz w:val="22"/>
                <w:szCs w:val="22"/>
                <w:lang w:eastAsia="en-GB"/>
              </w:rPr>
            </w:pPr>
            <w:r w:rsidRPr="00066D78">
              <w:rPr>
                <w:rFonts w:ascii="Calibri" w:eastAsia="Times New Roman" w:hAnsi="Calibri" w:cs="Calibri"/>
                <w:sz w:val="22"/>
                <w:szCs w:val="22"/>
                <w:lang w:eastAsia="en-GB"/>
              </w:rPr>
              <w:t>Self-Certified Sickness</w:t>
            </w:r>
          </w:p>
        </w:tc>
        <w:tc>
          <w:tcPr>
            <w:tcW w:w="1134" w:type="dxa"/>
            <w:tcBorders>
              <w:left w:val="nil"/>
              <w:bottom w:val="single" w:sz="4" w:space="0" w:color="5B9BD5"/>
              <w:right w:val="single" w:sz="4" w:space="0" w:color="5B9BD5"/>
            </w:tcBorders>
            <w:noWrap/>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0.7</w:t>
            </w:r>
          </w:p>
        </w:tc>
        <w:tc>
          <w:tcPr>
            <w:tcW w:w="1418" w:type="dxa"/>
            <w:tcBorders>
              <w:left w:val="nil"/>
              <w:bottom w:val="single" w:sz="4" w:space="0" w:color="5B9BD5"/>
              <w:right w:val="single" w:sz="4" w:space="0" w:color="5B9BD5"/>
            </w:tcBorders>
            <w:noWrap/>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1.1</w:t>
            </w:r>
            <w:r w:rsidR="00913762">
              <w:rPr>
                <w:rFonts w:ascii="Calibri" w:eastAsia="Times New Roman" w:hAnsi="Calibri" w:cs="Calibri"/>
                <w:sz w:val="22"/>
                <w:szCs w:val="22"/>
                <w:lang w:eastAsia="en-GB"/>
              </w:rPr>
              <w:t>%</w:t>
            </w:r>
          </w:p>
        </w:tc>
        <w:tc>
          <w:tcPr>
            <w:tcW w:w="1134" w:type="dxa"/>
            <w:tcBorders>
              <w:left w:val="nil"/>
              <w:bottom w:val="single" w:sz="4" w:space="0" w:color="5B9BD5"/>
              <w:right w:val="single" w:sz="4" w:space="0" w:color="5B9BD5"/>
            </w:tcBorders>
            <w:noWrap/>
            <w:vAlign w:val="center"/>
            <w:hideMark/>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0.5</w:t>
            </w:r>
          </w:p>
        </w:tc>
        <w:tc>
          <w:tcPr>
            <w:tcW w:w="1275" w:type="dxa"/>
            <w:tcBorders>
              <w:left w:val="nil"/>
              <w:bottom w:val="single" w:sz="4" w:space="0" w:color="5B9BD5"/>
              <w:right w:val="single" w:sz="4" w:space="0" w:color="5B9BD5"/>
            </w:tcBorders>
            <w:noWrap/>
            <w:vAlign w:val="center"/>
            <w:hideMark/>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0.8</w:t>
            </w:r>
            <w:r w:rsidR="00913762" w:rsidRPr="00066D78">
              <w:rPr>
                <w:rFonts w:ascii="Calibri" w:eastAsia="Times New Roman" w:hAnsi="Calibri" w:cs="Calibri"/>
                <w:sz w:val="22"/>
                <w:szCs w:val="22"/>
                <w:lang w:eastAsia="en-GB"/>
              </w:rPr>
              <w:t>%</w:t>
            </w:r>
          </w:p>
        </w:tc>
        <w:tc>
          <w:tcPr>
            <w:tcW w:w="1134" w:type="dxa"/>
            <w:tcBorders>
              <w:left w:val="nil"/>
              <w:bottom w:val="single" w:sz="4" w:space="0" w:color="5B9BD5"/>
              <w:right w:val="single" w:sz="4" w:space="0" w:color="5B9BD5"/>
            </w:tcBorders>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0.2</w:t>
            </w:r>
          </w:p>
        </w:tc>
      </w:tr>
      <w:tr w:rsidR="00913762" w:rsidRPr="00066D78" w:rsidTr="00175D54">
        <w:trPr>
          <w:gridAfter w:val="1"/>
          <w:wAfter w:w="1134" w:type="dxa"/>
          <w:trHeight w:val="600"/>
        </w:trPr>
        <w:tc>
          <w:tcPr>
            <w:tcW w:w="2410" w:type="dxa"/>
            <w:tcBorders>
              <w:top w:val="nil"/>
              <w:left w:val="single" w:sz="4" w:space="0" w:color="5B9BD5"/>
              <w:bottom w:val="single" w:sz="4" w:space="0" w:color="5B9BD5"/>
              <w:right w:val="single" w:sz="4" w:space="0" w:color="5B9BD5"/>
            </w:tcBorders>
            <w:vAlign w:val="center"/>
            <w:hideMark/>
          </w:tcPr>
          <w:p w:rsidR="00913762" w:rsidRPr="00066D78" w:rsidRDefault="00913762" w:rsidP="00175D54">
            <w:pPr>
              <w:rPr>
                <w:rFonts w:ascii="Calibri" w:eastAsia="Times New Roman" w:hAnsi="Calibri" w:cs="Calibri"/>
                <w:sz w:val="22"/>
                <w:szCs w:val="22"/>
                <w:lang w:eastAsia="en-GB"/>
              </w:rPr>
            </w:pPr>
            <w:r w:rsidRPr="00066D78">
              <w:rPr>
                <w:rFonts w:ascii="Calibri" w:eastAsia="Times New Roman" w:hAnsi="Calibri" w:cs="Calibri"/>
                <w:sz w:val="22"/>
                <w:szCs w:val="22"/>
                <w:lang w:eastAsia="en-GB"/>
              </w:rPr>
              <w:t>Certified Sickness and Phased</w:t>
            </w:r>
          </w:p>
        </w:tc>
        <w:tc>
          <w:tcPr>
            <w:tcW w:w="1134" w:type="dxa"/>
            <w:tcBorders>
              <w:top w:val="nil"/>
              <w:left w:val="nil"/>
              <w:bottom w:val="single" w:sz="4" w:space="0" w:color="5B9BD5"/>
              <w:right w:val="single" w:sz="4" w:space="0" w:color="5B9BD5"/>
            </w:tcBorders>
            <w:noWrap/>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1.8</w:t>
            </w:r>
          </w:p>
        </w:tc>
        <w:tc>
          <w:tcPr>
            <w:tcW w:w="1418" w:type="dxa"/>
            <w:tcBorders>
              <w:top w:val="nil"/>
              <w:left w:val="nil"/>
              <w:bottom w:val="single" w:sz="4" w:space="0" w:color="5B9BD5"/>
              <w:right w:val="single" w:sz="4" w:space="0" w:color="5B9BD5"/>
            </w:tcBorders>
            <w:noWrap/>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3.0</w:t>
            </w:r>
            <w:r w:rsidR="00913762">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noWrap/>
            <w:vAlign w:val="center"/>
            <w:hideMark/>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1.4</w:t>
            </w:r>
          </w:p>
        </w:tc>
        <w:tc>
          <w:tcPr>
            <w:tcW w:w="1275" w:type="dxa"/>
            <w:tcBorders>
              <w:top w:val="nil"/>
              <w:left w:val="nil"/>
              <w:bottom w:val="single" w:sz="4" w:space="0" w:color="5B9BD5"/>
              <w:right w:val="single" w:sz="4" w:space="0" w:color="5B9BD5"/>
            </w:tcBorders>
            <w:noWrap/>
            <w:vAlign w:val="center"/>
            <w:hideMark/>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2.3</w:t>
            </w:r>
            <w:r w:rsidR="00913762" w:rsidRPr="00066D78">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0.4</w:t>
            </w:r>
          </w:p>
        </w:tc>
      </w:tr>
      <w:tr w:rsidR="00913762" w:rsidRPr="00066D78" w:rsidTr="00175D54">
        <w:trPr>
          <w:gridAfter w:val="1"/>
          <w:wAfter w:w="1134" w:type="dxa"/>
          <w:trHeight w:val="300"/>
        </w:trPr>
        <w:tc>
          <w:tcPr>
            <w:tcW w:w="2410" w:type="dxa"/>
            <w:tcBorders>
              <w:top w:val="nil"/>
              <w:left w:val="single" w:sz="4" w:space="0" w:color="5B9BD5"/>
              <w:bottom w:val="single" w:sz="4" w:space="0" w:color="5B9BD5"/>
              <w:right w:val="single" w:sz="4" w:space="0" w:color="5B9BD5"/>
            </w:tcBorders>
            <w:shd w:val="clear" w:color="auto" w:fill="5B9BD5"/>
            <w:vAlign w:val="center"/>
            <w:hideMark/>
          </w:tcPr>
          <w:p w:rsidR="00913762" w:rsidRPr="00066D78" w:rsidRDefault="00913762" w:rsidP="00175D54">
            <w:pPr>
              <w:rPr>
                <w:rFonts w:ascii="Calibri" w:eastAsia="Times New Roman" w:hAnsi="Calibri" w:cs="Calibri"/>
                <w:b/>
                <w:color w:val="FFFFFF" w:themeColor="background1"/>
                <w:sz w:val="22"/>
                <w:szCs w:val="22"/>
                <w:lang w:eastAsia="en-GB"/>
              </w:rPr>
            </w:pPr>
            <w:r w:rsidRPr="00066D78">
              <w:rPr>
                <w:rFonts w:ascii="Calibri" w:eastAsia="Times New Roman" w:hAnsi="Calibri" w:cs="Calibri"/>
                <w:b/>
                <w:color w:val="FFFFFF" w:themeColor="background1"/>
                <w:sz w:val="22"/>
                <w:szCs w:val="22"/>
                <w:lang w:eastAsia="en-GB"/>
              </w:rPr>
              <w:t>Total Sickness Absence</w:t>
            </w:r>
          </w:p>
        </w:tc>
        <w:tc>
          <w:tcPr>
            <w:tcW w:w="1134" w:type="dxa"/>
            <w:tcBorders>
              <w:top w:val="nil"/>
              <w:left w:val="nil"/>
              <w:bottom w:val="single" w:sz="4" w:space="0" w:color="5B9BD5"/>
              <w:right w:val="single" w:sz="4" w:space="0" w:color="5B9BD5"/>
            </w:tcBorders>
            <w:shd w:val="clear" w:color="auto" w:fill="5B9BD5"/>
            <w:noWrap/>
            <w:vAlign w:val="center"/>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2.5</w:t>
            </w:r>
          </w:p>
        </w:tc>
        <w:tc>
          <w:tcPr>
            <w:tcW w:w="1418" w:type="dxa"/>
            <w:tcBorders>
              <w:top w:val="nil"/>
              <w:left w:val="nil"/>
              <w:bottom w:val="single" w:sz="4" w:space="0" w:color="5B9BD5"/>
              <w:right w:val="single" w:sz="4" w:space="0" w:color="5B9BD5"/>
            </w:tcBorders>
            <w:shd w:val="clear" w:color="auto" w:fill="5B9BD5"/>
            <w:noWrap/>
            <w:vAlign w:val="center"/>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4.1</w:t>
            </w:r>
            <w:r w:rsidR="00913762">
              <w:rPr>
                <w:rFonts w:ascii="Calibri" w:eastAsia="Times New Roman" w:hAnsi="Calibri" w:cs="Calibri"/>
                <w:b/>
                <w:color w:val="FFFFFF" w:themeColor="background1"/>
                <w:sz w:val="22"/>
                <w:szCs w:val="22"/>
                <w:lang w:eastAsia="en-GB"/>
              </w:rPr>
              <w:t>%</w:t>
            </w:r>
          </w:p>
        </w:tc>
        <w:tc>
          <w:tcPr>
            <w:tcW w:w="1134" w:type="dxa"/>
            <w:tcBorders>
              <w:top w:val="nil"/>
              <w:left w:val="nil"/>
              <w:bottom w:val="single" w:sz="4" w:space="0" w:color="5B9BD5"/>
              <w:right w:val="single" w:sz="4" w:space="0" w:color="5B9BD5"/>
            </w:tcBorders>
            <w:shd w:val="clear" w:color="auto" w:fill="5B9BD5"/>
            <w:noWrap/>
            <w:vAlign w:val="center"/>
            <w:hideMark/>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1.9</w:t>
            </w:r>
          </w:p>
        </w:tc>
        <w:tc>
          <w:tcPr>
            <w:tcW w:w="1275" w:type="dxa"/>
            <w:tcBorders>
              <w:top w:val="nil"/>
              <w:left w:val="nil"/>
              <w:bottom w:val="single" w:sz="4" w:space="0" w:color="5B9BD5"/>
              <w:right w:val="single" w:sz="4" w:space="0" w:color="5B9BD5"/>
            </w:tcBorders>
            <w:shd w:val="clear" w:color="auto" w:fill="5B9BD5"/>
            <w:noWrap/>
            <w:vAlign w:val="center"/>
            <w:hideMark/>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3.1</w:t>
            </w:r>
            <w:r w:rsidR="00913762" w:rsidRPr="00066D78">
              <w:rPr>
                <w:rFonts w:ascii="Calibri" w:eastAsia="Times New Roman" w:hAnsi="Calibri" w:cs="Calibri"/>
                <w:b/>
                <w:color w:val="FFFFFF" w:themeColor="background1"/>
                <w:sz w:val="22"/>
                <w:szCs w:val="22"/>
                <w:lang w:eastAsia="en-GB"/>
              </w:rPr>
              <w:t>%</w:t>
            </w:r>
          </w:p>
        </w:tc>
        <w:tc>
          <w:tcPr>
            <w:tcW w:w="1134" w:type="dxa"/>
            <w:tcBorders>
              <w:top w:val="nil"/>
              <w:left w:val="nil"/>
              <w:bottom w:val="single" w:sz="4" w:space="0" w:color="5B9BD5"/>
              <w:right w:val="single" w:sz="4" w:space="0" w:color="5B9BD5"/>
            </w:tcBorders>
            <w:shd w:val="clear" w:color="auto" w:fill="5B9BD5"/>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0.6</w:t>
            </w:r>
          </w:p>
        </w:tc>
      </w:tr>
      <w:tr w:rsidR="00913762" w:rsidRPr="00066D78" w:rsidTr="00175D54">
        <w:trPr>
          <w:gridAfter w:val="1"/>
          <w:wAfter w:w="1134" w:type="dxa"/>
          <w:trHeight w:val="300"/>
        </w:trPr>
        <w:tc>
          <w:tcPr>
            <w:tcW w:w="2410" w:type="dxa"/>
            <w:tcBorders>
              <w:top w:val="nil"/>
              <w:left w:val="single" w:sz="4" w:space="0" w:color="5B9BD5"/>
              <w:bottom w:val="single" w:sz="4" w:space="0" w:color="5B9BD5"/>
              <w:right w:val="single" w:sz="4" w:space="0" w:color="5B9BD5"/>
            </w:tcBorders>
            <w:vAlign w:val="center"/>
            <w:hideMark/>
          </w:tcPr>
          <w:p w:rsidR="00913762" w:rsidRPr="00066D78" w:rsidRDefault="00913762" w:rsidP="00175D54">
            <w:pPr>
              <w:rPr>
                <w:rFonts w:ascii="Calibri" w:eastAsia="Times New Roman" w:hAnsi="Calibri" w:cs="Calibri"/>
                <w:sz w:val="22"/>
                <w:szCs w:val="22"/>
                <w:lang w:eastAsia="en-GB"/>
              </w:rPr>
            </w:pPr>
            <w:r w:rsidRPr="00066D78">
              <w:rPr>
                <w:rFonts w:ascii="Calibri" w:eastAsia="Times New Roman" w:hAnsi="Calibri" w:cs="Calibri"/>
                <w:sz w:val="22"/>
                <w:szCs w:val="22"/>
                <w:lang w:eastAsia="en-GB"/>
              </w:rPr>
              <w:t>Covid Sickness</w:t>
            </w:r>
            <w:r w:rsidR="004D1F0C">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noWrap/>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0.2</w:t>
            </w:r>
          </w:p>
        </w:tc>
        <w:tc>
          <w:tcPr>
            <w:tcW w:w="1418" w:type="dxa"/>
            <w:tcBorders>
              <w:top w:val="nil"/>
              <w:left w:val="nil"/>
              <w:bottom w:val="single" w:sz="4" w:space="0" w:color="5B9BD5"/>
              <w:right w:val="single" w:sz="4" w:space="0" w:color="5B9BD5"/>
            </w:tcBorders>
            <w:noWrap/>
            <w:vAlign w:val="center"/>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0.3</w:t>
            </w:r>
            <w:r w:rsidR="00913762">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noWrap/>
            <w:vAlign w:val="center"/>
            <w:hideMark/>
          </w:tcPr>
          <w:p w:rsidR="00913762" w:rsidRPr="00066D78" w:rsidRDefault="00913762"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0.1</w:t>
            </w:r>
          </w:p>
        </w:tc>
        <w:tc>
          <w:tcPr>
            <w:tcW w:w="1275" w:type="dxa"/>
            <w:tcBorders>
              <w:top w:val="nil"/>
              <w:left w:val="nil"/>
              <w:bottom w:val="single" w:sz="4" w:space="0" w:color="5B9BD5"/>
              <w:right w:val="single" w:sz="4" w:space="0" w:color="5B9BD5"/>
            </w:tcBorders>
            <w:noWrap/>
            <w:vAlign w:val="center"/>
            <w:hideMark/>
          </w:tcPr>
          <w:p w:rsidR="00913762" w:rsidRPr="00066D78" w:rsidRDefault="00913762"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0.1</w:t>
            </w:r>
            <w:r w:rsidRPr="00066D78">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tcPr>
          <w:p w:rsidR="00913762" w:rsidRPr="00066D78" w:rsidRDefault="00175D54"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0.1</w:t>
            </w:r>
          </w:p>
        </w:tc>
      </w:tr>
      <w:tr w:rsidR="00913762" w:rsidRPr="00066D78" w:rsidTr="00175D54">
        <w:trPr>
          <w:gridAfter w:val="1"/>
          <w:wAfter w:w="1134" w:type="dxa"/>
          <w:trHeight w:val="300"/>
        </w:trPr>
        <w:tc>
          <w:tcPr>
            <w:tcW w:w="2410" w:type="dxa"/>
            <w:tcBorders>
              <w:top w:val="nil"/>
              <w:left w:val="single" w:sz="4" w:space="0" w:color="5B9BD5"/>
              <w:bottom w:val="single" w:sz="4" w:space="0" w:color="5B9BD5"/>
              <w:right w:val="single" w:sz="4" w:space="0" w:color="5B9BD5"/>
            </w:tcBorders>
            <w:shd w:val="clear" w:color="auto" w:fill="5B9BD5"/>
            <w:vAlign w:val="center"/>
            <w:hideMark/>
          </w:tcPr>
          <w:p w:rsidR="00913762" w:rsidRPr="00066D78" w:rsidRDefault="00913762" w:rsidP="00175D54">
            <w:pPr>
              <w:rPr>
                <w:rFonts w:ascii="Calibri" w:eastAsia="Times New Roman" w:hAnsi="Calibri" w:cs="Calibri"/>
                <w:b/>
                <w:color w:val="FFFFFF" w:themeColor="background1"/>
                <w:sz w:val="22"/>
                <w:szCs w:val="22"/>
                <w:lang w:eastAsia="en-GB"/>
              </w:rPr>
            </w:pPr>
            <w:r w:rsidRPr="00066D78">
              <w:rPr>
                <w:rFonts w:ascii="Calibri" w:eastAsia="Times New Roman" w:hAnsi="Calibri" w:cs="Calibri"/>
                <w:b/>
                <w:color w:val="FFFFFF" w:themeColor="background1"/>
                <w:sz w:val="22"/>
                <w:szCs w:val="22"/>
                <w:lang w:eastAsia="en-GB"/>
              </w:rPr>
              <w:t xml:space="preserve">Overall Sickness Total </w:t>
            </w:r>
          </w:p>
        </w:tc>
        <w:tc>
          <w:tcPr>
            <w:tcW w:w="1134" w:type="dxa"/>
            <w:tcBorders>
              <w:top w:val="nil"/>
              <w:left w:val="nil"/>
              <w:bottom w:val="single" w:sz="4" w:space="0" w:color="5B9BD5"/>
              <w:right w:val="single" w:sz="4" w:space="0" w:color="5B9BD5"/>
            </w:tcBorders>
            <w:shd w:val="clear" w:color="auto" w:fill="5B9BD5"/>
            <w:noWrap/>
            <w:vAlign w:val="center"/>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2.7</w:t>
            </w:r>
          </w:p>
        </w:tc>
        <w:tc>
          <w:tcPr>
            <w:tcW w:w="1418" w:type="dxa"/>
            <w:tcBorders>
              <w:top w:val="nil"/>
              <w:left w:val="nil"/>
              <w:bottom w:val="single" w:sz="4" w:space="0" w:color="5B9BD5"/>
              <w:right w:val="single" w:sz="4" w:space="0" w:color="5B9BD5"/>
            </w:tcBorders>
            <w:shd w:val="clear" w:color="auto" w:fill="5B9BD5"/>
            <w:noWrap/>
            <w:vAlign w:val="center"/>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4.4</w:t>
            </w:r>
            <w:r w:rsidR="00913762" w:rsidRPr="00066D78">
              <w:rPr>
                <w:rFonts w:ascii="Calibri" w:eastAsia="Times New Roman" w:hAnsi="Calibri" w:cs="Calibri"/>
                <w:b/>
                <w:color w:val="FFFFFF" w:themeColor="background1"/>
                <w:sz w:val="22"/>
                <w:szCs w:val="22"/>
                <w:lang w:eastAsia="en-GB"/>
              </w:rPr>
              <w:t>%</w:t>
            </w:r>
          </w:p>
        </w:tc>
        <w:tc>
          <w:tcPr>
            <w:tcW w:w="1134" w:type="dxa"/>
            <w:tcBorders>
              <w:top w:val="nil"/>
              <w:left w:val="nil"/>
              <w:bottom w:val="single" w:sz="4" w:space="0" w:color="5B9BD5"/>
              <w:right w:val="single" w:sz="4" w:space="0" w:color="5B9BD5"/>
            </w:tcBorders>
            <w:shd w:val="clear" w:color="auto" w:fill="5B9BD5"/>
            <w:noWrap/>
            <w:vAlign w:val="center"/>
            <w:hideMark/>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2.0</w:t>
            </w:r>
          </w:p>
        </w:tc>
        <w:tc>
          <w:tcPr>
            <w:tcW w:w="1275" w:type="dxa"/>
            <w:tcBorders>
              <w:top w:val="nil"/>
              <w:left w:val="nil"/>
              <w:bottom w:val="single" w:sz="4" w:space="0" w:color="5B9BD5"/>
              <w:right w:val="single" w:sz="4" w:space="0" w:color="5B9BD5"/>
            </w:tcBorders>
            <w:shd w:val="clear" w:color="auto" w:fill="5B9BD5"/>
            <w:noWrap/>
            <w:vAlign w:val="center"/>
            <w:hideMark/>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3.2</w:t>
            </w:r>
            <w:r w:rsidR="00913762" w:rsidRPr="00066D78">
              <w:rPr>
                <w:rFonts w:ascii="Calibri" w:eastAsia="Times New Roman" w:hAnsi="Calibri" w:cs="Calibri"/>
                <w:b/>
                <w:color w:val="FFFFFF" w:themeColor="background1"/>
                <w:sz w:val="22"/>
                <w:szCs w:val="22"/>
                <w:lang w:eastAsia="en-GB"/>
              </w:rPr>
              <w:t>%</w:t>
            </w:r>
          </w:p>
        </w:tc>
        <w:tc>
          <w:tcPr>
            <w:tcW w:w="1134" w:type="dxa"/>
            <w:tcBorders>
              <w:top w:val="nil"/>
              <w:left w:val="nil"/>
              <w:bottom w:val="single" w:sz="4" w:space="0" w:color="5B9BD5"/>
              <w:right w:val="single" w:sz="4" w:space="0" w:color="5B9BD5"/>
            </w:tcBorders>
            <w:shd w:val="clear" w:color="auto" w:fill="5B9BD5"/>
          </w:tcPr>
          <w:p w:rsidR="00913762" w:rsidRPr="00066D78" w:rsidRDefault="00175D54" w:rsidP="00175D54">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0.7</w:t>
            </w:r>
          </w:p>
        </w:tc>
      </w:tr>
    </w:tbl>
    <w:p w:rsidR="004D1F0C" w:rsidRDefault="004D1F0C" w:rsidP="004D1F0C">
      <w:pPr>
        <w:spacing w:after="120"/>
        <w:jc w:val="both"/>
        <w:rPr>
          <w:rFonts w:eastAsia="Times New Roman" w:cs="Times New Roman"/>
          <w:sz w:val="20"/>
          <w:szCs w:val="20"/>
        </w:rPr>
      </w:pPr>
      <w:r>
        <w:rPr>
          <w:rFonts w:eastAsia="Times New Roman" w:cs="Times New Roman"/>
          <w:sz w:val="20"/>
          <w:szCs w:val="20"/>
        </w:rPr>
        <w:t>*Covid sickness is no longer recorded separately from 1 May 2022</w:t>
      </w:r>
    </w:p>
    <w:p w:rsidR="004D1F0C" w:rsidRPr="004D1F0C" w:rsidRDefault="004D1F0C" w:rsidP="009F438A">
      <w:pPr>
        <w:spacing w:after="120"/>
        <w:rPr>
          <w:rFonts w:eastAsia="Times New Roman" w:cs="Times New Roman"/>
          <w:sz w:val="24"/>
          <w:szCs w:val="24"/>
        </w:rPr>
      </w:pPr>
      <w:r w:rsidRPr="004D1F0C">
        <w:rPr>
          <w:rFonts w:eastAsia="Times New Roman" w:cs="Times New Roman"/>
          <w:sz w:val="24"/>
          <w:szCs w:val="24"/>
        </w:rPr>
        <w:t xml:space="preserve">To date SLAB has been fortunate to experience very low levels of Covid-19 related sickness absence, although this increased latterly with the most recent variants. </w:t>
      </w:r>
    </w:p>
    <w:p w:rsidR="004D1F0C" w:rsidRPr="004D1F0C" w:rsidRDefault="004D1F0C" w:rsidP="009F438A">
      <w:pPr>
        <w:spacing w:after="120"/>
        <w:rPr>
          <w:rFonts w:eastAsia="Times New Roman" w:cs="Times New Roman"/>
          <w:sz w:val="24"/>
          <w:szCs w:val="24"/>
        </w:rPr>
      </w:pPr>
      <w:r w:rsidRPr="004D1F0C">
        <w:rPr>
          <w:rFonts w:eastAsia="Times New Roman" w:cs="Times New Roman"/>
          <w:sz w:val="24"/>
          <w:szCs w:val="24"/>
        </w:rPr>
        <w:t>During the initial lockdown period March-June 2020, SLAB experienced lower levels of both self-certi</w:t>
      </w:r>
      <w:r>
        <w:rPr>
          <w:rFonts w:eastAsia="Times New Roman" w:cs="Times New Roman"/>
          <w:sz w:val="24"/>
          <w:szCs w:val="24"/>
        </w:rPr>
        <w:t>fied and certified sickness</w:t>
      </w:r>
      <w:r w:rsidR="002F196A" w:rsidRPr="002F196A">
        <w:rPr>
          <w:rFonts w:eastAsia="Times New Roman" w:cs="Times New Roman"/>
          <w:sz w:val="24"/>
          <w:szCs w:val="24"/>
        </w:rPr>
        <w:t xml:space="preserve"> </w:t>
      </w:r>
      <w:r w:rsidR="002F196A" w:rsidRPr="004D1F0C">
        <w:rPr>
          <w:rFonts w:eastAsia="Times New Roman" w:cs="Times New Roman"/>
          <w:sz w:val="24"/>
          <w:szCs w:val="24"/>
        </w:rPr>
        <w:t>compared to the previous year</w:t>
      </w:r>
      <w:r w:rsidR="002F196A">
        <w:rPr>
          <w:rFonts w:eastAsia="Times New Roman" w:cs="Times New Roman"/>
          <w:sz w:val="24"/>
          <w:szCs w:val="24"/>
        </w:rPr>
        <w:t>s.  B</w:t>
      </w:r>
      <w:r>
        <w:rPr>
          <w:rFonts w:eastAsia="Times New Roman" w:cs="Times New Roman"/>
          <w:sz w:val="24"/>
          <w:szCs w:val="24"/>
        </w:rPr>
        <w:t>oth of</w:t>
      </w:r>
      <w:r w:rsidRPr="004D1F0C">
        <w:rPr>
          <w:rFonts w:eastAsia="Times New Roman" w:cs="Times New Roman"/>
          <w:sz w:val="24"/>
          <w:szCs w:val="24"/>
        </w:rPr>
        <w:t xml:space="preserve"> which started to increase last year.   Sickness absence continues to increase this year and appears to be returning to, even exceeding, pre-pandemic levels although this is impacted by the increase in Covid-type illness.  </w:t>
      </w:r>
    </w:p>
    <w:p w:rsidR="004D1F0C" w:rsidRDefault="004D1F0C" w:rsidP="009F438A">
      <w:pPr>
        <w:spacing w:after="120"/>
        <w:rPr>
          <w:rFonts w:eastAsia="Times New Roman" w:cs="Times New Roman"/>
          <w:sz w:val="24"/>
          <w:szCs w:val="24"/>
        </w:rPr>
      </w:pPr>
      <w:r w:rsidRPr="004D1F0C">
        <w:rPr>
          <w:rFonts w:eastAsia="Times New Roman" w:cs="Times New Roman"/>
          <w:sz w:val="24"/>
          <w:szCs w:val="24"/>
        </w:rPr>
        <w:t xml:space="preserve">In terms of all Covid related absences (including Covid sickness above and other Covid related reasons such as Unable to work, Dependant Care, Self-Isolation) we have lost </w:t>
      </w:r>
      <w:r w:rsidRPr="004D1F0C">
        <w:rPr>
          <w:rFonts w:eastAsia="Times New Roman" w:cs="Times New Roman"/>
          <w:sz w:val="24"/>
          <w:szCs w:val="24"/>
        </w:rPr>
        <w:lastRenderedPageBreak/>
        <w:t>0.2 days per WTE this quarter and since the start of the pandemic in March 20 have lost on average 0.3 days per WTE each month.</w:t>
      </w:r>
    </w:p>
    <w:p w:rsidR="006D24EF" w:rsidRDefault="006D24EF" w:rsidP="004D1F0C">
      <w:pPr>
        <w:spacing w:after="120"/>
        <w:jc w:val="both"/>
        <w:rPr>
          <w:rFonts w:eastAsia="Times New Roman" w:cs="Times New Roman"/>
          <w:sz w:val="24"/>
          <w:szCs w:val="24"/>
        </w:rPr>
      </w:pPr>
    </w:p>
    <w:p w:rsidR="004D1F0C" w:rsidRPr="006D24EF" w:rsidRDefault="006D24EF" w:rsidP="004D1F0C">
      <w:pPr>
        <w:spacing w:after="120"/>
        <w:jc w:val="both"/>
        <w:rPr>
          <w:rFonts w:eastAsia="Times New Roman" w:cs="Times New Roman"/>
          <w:b/>
          <w:sz w:val="24"/>
          <w:szCs w:val="24"/>
        </w:rPr>
      </w:pPr>
      <w:r w:rsidRPr="006D24EF">
        <w:rPr>
          <w:rFonts w:eastAsia="Times New Roman" w:cs="Times New Roman"/>
          <w:b/>
          <w:sz w:val="24"/>
          <w:szCs w:val="24"/>
        </w:rPr>
        <w:t xml:space="preserve">Covid Related </w:t>
      </w:r>
      <w:r>
        <w:rPr>
          <w:rFonts w:eastAsia="Times New Roman" w:cs="Times New Roman"/>
          <w:b/>
          <w:sz w:val="24"/>
          <w:szCs w:val="24"/>
        </w:rPr>
        <w:t>Absence</w:t>
      </w:r>
    </w:p>
    <w:p w:rsidR="00913762" w:rsidRPr="008229C2" w:rsidRDefault="00913762" w:rsidP="009F438A">
      <w:pPr>
        <w:spacing w:after="120"/>
        <w:rPr>
          <w:rFonts w:eastAsia="Times New Roman" w:cs="Times New Roman"/>
          <w:sz w:val="24"/>
          <w:szCs w:val="24"/>
        </w:rPr>
      </w:pPr>
      <w:r w:rsidRPr="008229C2">
        <w:rPr>
          <w:rFonts w:eastAsia="Times New Roman" w:cs="Times New Roman"/>
          <w:sz w:val="24"/>
          <w:szCs w:val="24"/>
        </w:rPr>
        <w:t>The table below provides information relating to employee sickness absence and Covid-19 related absences for the roll</w:t>
      </w:r>
      <w:r w:rsidR="006D24EF">
        <w:rPr>
          <w:rFonts w:eastAsia="Times New Roman" w:cs="Times New Roman"/>
          <w:sz w:val="24"/>
          <w:szCs w:val="24"/>
        </w:rPr>
        <w:t>ing 12 month periods since July</w:t>
      </w:r>
      <w:r w:rsidRPr="008229C2">
        <w:rPr>
          <w:rFonts w:eastAsia="Times New Roman" w:cs="Times New Roman"/>
          <w:sz w:val="24"/>
          <w:szCs w:val="24"/>
        </w:rPr>
        <w:t xml:space="preserve"> 2019:</w:t>
      </w:r>
    </w:p>
    <w:tbl>
      <w:tblPr>
        <w:tblW w:w="8617" w:type="dxa"/>
        <w:tblLook w:val="04A0" w:firstRow="1" w:lastRow="0" w:firstColumn="1" w:lastColumn="0" w:noHBand="0" w:noVBand="1"/>
      </w:tblPr>
      <w:tblGrid>
        <w:gridCol w:w="2404"/>
        <w:gridCol w:w="1281"/>
        <w:gridCol w:w="1420"/>
        <w:gridCol w:w="994"/>
        <w:gridCol w:w="1274"/>
        <w:gridCol w:w="1244"/>
      </w:tblGrid>
      <w:tr w:rsidR="00913762" w:rsidRPr="009709EE" w:rsidTr="00175D54">
        <w:trPr>
          <w:trHeight w:val="300"/>
        </w:trPr>
        <w:tc>
          <w:tcPr>
            <w:tcW w:w="2404" w:type="dxa"/>
            <w:noWrap/>
            <w:vAlign w:val="bottom"/>
            <w:hideMark/>
          </w:tcPr>
          <w:p w:rsidR="00913762" w:rsidRPr="009709EE" w:rsidRDefault="00913762" w:rsidP="00175D54">
            <w:pPr>
              <w:rPr>
                <w:rFonts w:eastAsia="Times New Roman" w:cs="Times New Roman"/>
                <w:sz w:val="24"/>
                <w:szCs w:val="24"/>
              </w:rPr>
            </w:pPr>
          </w:p>
        </w:tc>
        <w:tc>
          <w:tcPr>
            <w:tcW w:w="4969" w:type="dxa"/>
            <w:gridSpan w:val="4"/>
            <w:tcBorders>
              <w:top w:val="single" w:sz="4" w:space="0" w:color="5B9BD5"/>
              <w:left w:val="single" w:sz="4" w:space="0" w:color="5B9BD5"/>
              <w:bottom w:val="single" w:sz="4" w:space="0" w:color="5B9BD5"/>
              <w:right w:val="single" w:sz="4" w:space="0" w:color="5B9BD5"/>
            </w:tcBorders>
            <w:shd w:val="clear" w:color="auto" w:fill="5B9BD5"/>
            <w:vAlign w:val="bottom"/>
            <w:hideMark/>
          </w:tcPr>
          <w:p w:rsidR="00913762" w:rsidRPr="009709EE" w:rsidRDefault="00913762" w:rsidP="00175D54">
            <w:pPr>
              <w:jc w:val="cente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Days lost per WTE</w:t>
            </w:r>
          </w:p>
        </w:tc>
        <w:tc>
          <w:tcPr>
            <w:tcW w:w="1244" w:type="dxa"/>
            <w:shd w:val="clear" w:color="auto" w:fill="FFFFFF"/>
            <w:noWrap/>
            <w:vAlign w:val="bottom"/>
            <w:hideMark/>
          </w:tcPr>
          <w:p w:rsidR="00913762" w:rsidRPr="009709EE" w:rsidRDefault="00913762" w:rsidP="00175D54">
            <w:pPr>
              <w:rPr>
                <w:rFonts w:ascii="Calibri" w:eastAsia="Times New Roman" w:hAnsi="Calibri" w:cs="Calibri"/>
                <w:color w:val="FFFFFF"/>
                <w:sz w:val="22"/>
                <w:szCs w:val="22"/>
                <w:lang w:eastAsia="en-GB"/>
              </w:rPr>
            </w:pPr>
            <w:r w:rsidRPr="009709EE">
              <w:rPr>
                <w:rFonts w:ascii="Calibri" w:eastAsia="Times New Roman" w:hAnsi="Calibri" w:cs="Calibri"/>
                <w:color w:val="FFFFFF"/>
                <w:sz w:val="22"/>
                <w:szCs w:val="22"/>
                <w:lang w:eastAsia="en-GB"/>
              </w:rPr>
              <w:t> </w:t>
            </w:r>
          </w:p>
        </w:tc>
      </w:tr>
      <w:tr w:rsidR="00913762" w:rsidRPr="009709EE" w:rsidTr="00175D54">
        <w:trPr>
          <w:trHeight w:val="300"/>
        </w:trPr>
        <w:tc>
          <w:tcPr>
            <w:tcW w:w="2404" w:type="dxa"/>
            <w:tcBorders>
              <w:top w:val="single" w:sz="4" w:space="0" w:color="5B9BD5"/>
              <w:left w:val="single" w:sz="4" w:space="0" w:color="5B9BD5"/>
              <w:bottom w:val="single" w:sz="4" w:space="0" w:color="5B9BD5"/>
              <w:right w:val="single" w:sz="4" w:space="0" w:color="5B9BD5"/>
            </w:tcBorders>
            <w:shd w:val="clear" w:color="auto" w:fill="5B9BD5"/>
            <w:noWrap/>
            <w:vAlign w:val="bottom"/>
            <w:hideMark/>
          </w:tcPr>
          <w:p w:rsidR="00913762" w:rsidRPr="009709EE" w:rsidRDefault="00913762" w:rsidP="00175D54">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Rolling 12 months</w:t>
            </w:r>
          </w:p>
        </w:tc>
        <w:tc>
          <w:tcPr>
            <w:tcW w:w="1281" w:type="dxa"/>
            <w:tcBorders>
              <w:top w:val="nil"/>
              <w:left w:val="nil"/>
              <w:bottom w:val="single" w:sz="4" w:space="0" w:color="5B9BD5"/>
              <w:right w:val="single" w:sz="4" w:space="0" w:color="5B9BD5"/>
            </w:tcBorders>
            <w:shd w:val="clear" w:color="auto" w:fill="5B9BD5"/>
            <w:noWrap/>
            <w:vAlign w:val="center"/>
            <w:hideMark/>
          </w:tcPr>
          <w:p w:rsidR="00913762" w:rsidRPr="009709EE" w:rsidRDefault="00913762" w:rsidP="00175D54">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Self-Certified Sickness</w:t>
            </w:r>
          </w:p>
        </w:tc>
        <w:tc>
          <w:tcPr>
            <w:tcW w:w="1420" w:type="dxa"/>
            <w:tcBorders>
              <w:top w:val="nil"/>
              <w:left w:val="nil"/>
              <w:bottom w:val="single" w:sz="4" w:space="0" w:color="5B9BD5"/>
              <w:right w:val="single" w:sz="4" w:space="0" w:color="5B9BD5"/>
            </w:tcBorders>
            <w:shd w:val="clear" w:color="auto" w:fill="5B9BD5"/>
            <w:noWrap/>
            <w:vAlign w:val="center"/>
            <w:hideMark/>
          </w:tcPr>
          <w:p w:rsidR="00913762" w:rsidRPr="009709EE" w:rsidRDefault="00913762" w:rsidP="00175D54">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Certified Sickness and Phased</w:t>
            </w:r>
          </w:p>
        </w:tc>
        <w:tc>
          <w:tcPr>
            <w:tcW w:w="994" w:type="dxa"/>
            <w:tcBorders>
              <w:top w:val="nil"/>
              <w:left w:val="nil"/>
              <w:bottom w:val="single" w:sz="4" w:space="0" w:color="5B9BD5"/>
              <w:right w:val="single" w:sz="4" w:space="0" w:color="5B9BD5"/>
            </w:tcBorders>
            <w:shd w:val="clear" w:color="auto" w:fill="5B9BD5"/>
            <w:noWrap/>
            <w:vAlign w:val="center"/>
            <w:hideMark/>
          </w:tcPr>
          <w:p w:rsidR="00913762" w:rsidRPr="009709EE" w:rsidRDefault="00913762" w:rsidP="00175D54">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Sickness Total</w:t>
            </w:r>
          </w:p>
        </w:tc>
        <w:tc>
          <w:tcPr>
            <w:tcW w:w="1274" w:type="dxa"/>
            <w:tcBorders>
              <w:top w:val="nil"/>
              <w:left w:val="nil"/>
              <w:bottom w:val="single" w:sz="4" w:space="0" w:color="5B9BD5"/>
              <w:right w:val="single" w:sz="4" w:space="0" w:color="5B9BD5"/>
            </w:tcBorders>
            <w:shd w:val="clear" w:color="auto" w:fill="5B9BD5"/>
            <w:noWrap/>
            <w:vAlign w:val="center"/>
            <w:hideMark/>
          </w:tcPr>
          <w:p w:rsidR="00913762" w:rsidRPr="009709EE" w:rsidRDefault="00913762" w:rsidP="00175D54">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Covid-19  Sickness Absence</w:t>
            </w:r>
          </w:p>
        </w:tc>
        <w:tc>
          <w:tcPr>
            <w:tcW w:w="1244" w:type="dxa"/>
            <w:tcBorders>
              <w:top w:val="single" w:sz="4" w:space="0" w:color="5B9BD5"/>
              <w:left w:val="nil"/>
              <w:bottom w:val="single" w:sz="4" w:space="0" w:color="5B9BD5"/>
              <w:right w:val="single" w:sz="4" w:space="0" w:color="5B9BD5"/>
            </w:tcBorders>
            <w:shd w:val="clear" w:color="auto" w:fill="5B9BD5"/>
            <w:noWrap/>
            <w:vAlign w:val="bottom"/>
            <w:hideMark/>
          </w:tcPr>
          <w:p w:rsidR="00913762" w:rsidRPr="009709EE" w:rsidRDefault="00913762" w:rsidP="00175D54">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Percentage total  absence of WTE</w:t>
            </w:r>
          </w:p>
        </w:tc>
      </w:tr>
      <w:tr w:rsidR="00913762" w:rsidRPr="009709EE" w:rsidTr="00175D54">
        <w:trPr>
          <w:trHeight w:val="300"/>
        </w:trPr>
        <w:tc>
          <w:tcPr>
            <w:tcW w:w="2404" w:type="dxa"/>
            <w:tcBorders>
              <w:top w:val="nil"/>
              <w:left w:val="single" w:sz="4" w:space="0" w:color="5B9BD5"/>
              <w:bottom w:val="single" w:sz="4" w:space="0" w:color="5B9BD5"/>
              <w:right w:val="single" w:sz="4" w:space="0" w:color="5B9BD5"/>
            </w:tcBorders>
            <w:noWrap/>
            <w:vAlign w:val="bottom"/>
            <w:hideMark/>
          </w:tcPr>
          <w:p w:rsidR="00913762" w:rsidRPr="009709EE" w:rsidRDefault="006D24EF" w:rsidP="00175D54">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1 Jul 19 to 30 Jun</w:t>
            </w:r>
            <w:r w:rsidR="00913762" w:rsidRPr="009709EE">
              <w:rPr>
                <w:rFonts w:ascii="Calibri" w:eastAsia="Times New Roman" w:hAnsi="Calibri" w:cs="Calibri"/>
                <w:b/>
                <w:bCs/>
                <w:sz w:val="22"/>
                <w:szCs w:val="22"/>
                <w:lang w:eastAsia="en-GB"/>
              </w:rPr>
              <w:t xml:space="preserve"> 20</w:t>
            </w:r>
          </w:p>
        </w:tc>
        <w:tc>
          <w:tcPr>
            <w:tcW w:w="1281" w:type="dxa"/>
            <w:tcBorders>
              <w:top w:val="nil"/>
              <w:left w:val="nil"/>
              <w:bottom w:val="single" w:sz="4" w:space="0" w:color="5B9BD5"/>
              <w:right w:val="single" w:sz="4" w:space="0" w:color="5B9BD5"/>
            </w:tcBorders>
            <w:vAlign w:val="bottom"/>
            <w:hideMark/>
          </w:tcPr>
          <w:p w:rsidR="00913762" w:rsidRPr="009709EE" w:rsidRDefault="00913762" w:rsidP="00175D54">
            <w:pPr>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2.8</w:t>
            </w:r>
          </w:p>
        </w:tc>
        <w:tc>
          <w:tcPr>
            <w:tcW w:w="1420" w:type="dxa"/>
            <w:tcBorders>
              <w:top w:val="nil"/>
              <w:left w:val="nil"/>
              <w:bottom w:val="single" w:sz="4" w:space="0" w:color="5B9BD5"/>
              <w:right w:val="single" w:sz="4" w:space="0" w:color="5B9BD5"/>
            </w:tcBorders>
            <w:vAlign w:val="bottom"/>
            <w:hideMark/>
          </w:tcPr>
          <w:p w:rsidR="00913762" w:rsidRPr="009709EE" w:rsidRDefault="006D24EF"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6.3</w:t>
            </w:r>
          </w:p>
        </w:tc>
        <w:tc>
          <w:tcPr>
            <w:tcW w:w="994" w:type="dxa"/>
            <w:tcBorders>
              <w:top w:val="nil"/>
              <w:left w:val="nil"/>
              <w:bottom w:val="single" w:sz="4" w:space="0" w:color="5B9BD5"/>
              <w:right w:val="single" w:sz="4" w:space="0" w:color="5B9BD5"/>
            </w:tcBorders>
            <w:shd w:val="clear" w:color="auto" w:fill="auto"/>
            <w:vAlign w:val="bottom"/>
            <w:hideMark/>
          </w:tcPr>
          <w:p w:rsidR="00913762" w:rsidRPr="007F7666" w:rsidRDefault="006D24EF"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9.1</w:t>
            </w:r>
          </w:p>
        </w:tc>
        <w:tc>
          <w:tcPr>
            <w:tcW w:w="1274" w:type="dxa"/>
            <w:tcBorders>
              <w:top w:val="nil"/>
              <w:left w:val="nil"/>
              <w:bottom w:val="single" w:sz="4" w:space="0" w:color="5B9BD5"/>
              <w:right w:val="single" w:sz="4" w:space="0" w:color="5B9BD5"/>
            </w:tcBorders>
            <w:vAlign w:val="bottom"/>
            <w:hideMark/>
          </w:tcPr>
          <w:p w:rsidR="00913762" w:rsidRPr="009709EE" w:rsidRDefault="006D24EF"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0.2</w:t>
            </w:r>
          </w:p>
        </w:tc>
        <w:tc>
          <w:tcPr>
            <w:tcW w:w="1244" w:type="dxa"/>
            <w:tcBorders>
              <w:top w:val="nil"/>
              <w:left w:val="nil"/>
              <w:bottom w:val="single" w:sz="4" w:space="0" w:color="5B9BD5"/>
              <w:right w:val="single" w:sz="4" w:space="0" w:color="5B9BD5"/>
            </w:tcBorders>
            <w:noWrap/>
            <w:vAlign w:val="bottom"/>
            <w:hideMark/>
          </w:tcPr>
          <w:p w:rsidR="00913762" w:rsidRPr="009709EE" w:rsidRDefault="006D24EF" w:rsidP="00175D5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3.6</w:t>
            </w:r>
            <w:r w:rsidR="00913762" w:rsidRPr="009709EE">
              <w:rPr>
                <w:rFonts w:ascii="Calibri" w:eastAsia="Times New Roman" w:hAnsi="Calibri" w:cs="Calibri"/>
                <w:sz w:val="22"/>
                <w:szCs w:val="22"/>
                <w:lang w:eastAsia="en-GB"/>
              </w:rPr>
              <w:t>%</w:t>
            </w:r>
          </w:p>
        </w:tc>
      </w:tr>
      <w:tr w:rsidR="00913762" w:rsidRPr="009709EE" w:rsidTr="00175D54">
        <w:trPr>
          <w:trHeight w:val="300"/>
        </w:trPr>
        <w:tc>
          <w:tcPr>
            <w:tcW w:w="2404" w:type="dxa"/>
            <w:tcBorders>
              <w:top w:val="single" w:sz="4" w:space="0" w:color="4F81BD" w:themeColor="accent1"/>
              <w:left w:val="single" w:sz="4" w:space="0" w:color="5B9BD5"/>
              <w:bottom w:val="single" w:sz="4" w:space="0" w:color="4F81BD" w:themeColor="accent1"/>
              <w:right w:val="single" w:sz="4" w:space="0" w:color="5B9BD5"/>
            </w:tcBorders>
            <w:noWrap/>
            <w:vAlign w:val="bottom"/>
            <w:hideMark/>
          </w:tcPr>
          <w:p w:rsidR="00913762" w:rsidRPr="009709EE" w:rsidRDefault="006D24EF" w:rsidP="00175D54">
            <w:pPr>
              <w:spacing w:line="254" w:lineRule="auto"/>
              <w:rPr>
                <w:rFonts w:ascii="Calibri" w:eastAsia="Times New Roman" w:hAnsi="Calibri" w:cs="Calibri"/>
                <w:b/>
                <w:bCs/>
                <w:sz w:val="22"/>
                <w:szCs w:val="22"/>
                <w:lang w:eastAsia="en-GB"/>
              </w:rPr>
            </w:pPr>
            <w:r>
              <w:rPr>
                <w:rFonts w:ascii="Calibri" w:eastAsia="Times New Roman" w:hAnsi="Calibri" w:cs="Calibri"/>
                <w:b/>
                <w:bCs/>
                <w:sz w:val="22"/>
                <w:szCs w:val="22"/>
                <w:lang w:eastAsia="en-GB"/>
              </w:rPr>
              <w:t>1 Jul 20 to 30 Jun</w:t>
            </w:r>
            <w:r w:rsidR="00913762" w:rsidRPr="009709EE">
              <w:rPr>
                <w:rFonts w:ascii="Calibri" w:eastAsia="Times New Roman" w:hAnsi="Calibri" w:cs="Calibri"/>
                <w:b/>
                <w:bCs/>
                <w:sz w:val="22"/>
                <w:szCs w:val="22"/>
                <w:lang w:eastAsia="en-GB"/>
              </w:rPr>
              <w:t xml:space="preserve"> 21</w:t>
            </w:r>
          </w:p>
        </w:tc>
        <w:tc>
          <w:tcPr>
            <w:tcW w:w="1281" w:type="dxa"/>
            <w:tcBorders>
              <w:top w:val="single" w:sz="4" w:space="0" w:color="4F81BD" w:themeColor="accent1"/>
              <w:left w:val="nil"/>
              <w:bottom w:val="single" w:sz="4" w:space="0" w:color="4F81BD" w:themeColor="accent1"/>
              <w:right w:val="single" w:sz="4" w:space="0" w:color="5B9BD5"/>
            </w:tcBorders>
            <w:noWrap/>
            <w:vAlign w:val="center"/>
            <w:hideMark/>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1.9</w:t>
            </w:r>
          </w:p>
        </w:tc>
        <w:tc>
          <w:tcPr>
            <w:tcW w:w="1420" w:type="dxa"/>
            <w:tcBorders>
              <w:top w:val="single" w:sz="4" w:space="0" w:color="4F81BD" w:themeColor="accent1"/>
              <w:left w:val="nil"/>
              <w:bottom w:val="single" w:sz="4" w:space="0" w:color="4F81BD" w:themeColor="accent1"/>
              <w:right w:val="single" w:sz="4" w:space="0" w:color="5B9BD5"/>
            </w:tcBorders>
            <w:noWrap/>
            <w:vAlign w:val="center"/>
            <w:hideMark/>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994" w:type="dxa"/>
            <w:tcBorders>
              <w:top w:val="single" w:sz="4" w:space="0" w:color="4F81BD" w:themeColor="accent1"/>
              <w:left w:val="nil"/>
              <w:bottom w:val="single" w:sz="4" w:space="0" w:color="4F81BD" w:themeColor="accent1"/>
              <w:right w:val="single" w:sz="4" w:space="0" w:color="5B9BD5"/>
            </w:tcBorders>
            <w:shd w:val="clear" w:color="auto" w:fill="auto"/>
            <w:noWrap/>
            <w:vAlign w:val="center"/>
            <w:hideMark/>
          </w:tcPr>
          <w:p w:rsidR="00913762" w:rsidRPr="007F7666"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6.3</w:t>
            </w:r>
          </w:p>
        </w:tc>
        <w:tc>
          <w:tcPr>
            <w:tcW w:w="1274" w:type="dxa"/>
            <w:tcBorders>
              <w:top w:val="single" w:sz="4" w:space="0" w:color="4F81BD" w:themeColor="accent1"/>
              <w:left w:val="nil"/>
              <w:bottom w:val="single" w:sz="4" w:space="0" w:color="4F81BD" w:themeColor="accent1"/>
              <w:right w:val="single" w:sz="4" w:space="0" w:color="5B9BD5"/>
            </w:tcBorders>
            <w:noWrap/>
            <w:vAlign w:val="center"/>
            <w:hideMark/>
          </w:tcPr>
          <w:p w:rsidR="00913762" w:rsidRPr="009709EE" w:rsidRDefault="00913762" w:rsidP="00175D54">
            <w:pPr>
              <w:spacing w:line="254" w:lineRule="auto"/>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0.1</w:t>
            </w:r>
          </w:p>
        </w:tc>
        <w:tc>
          <w:tcPr>
            <w:tcW w:w="1244" w:type="dxa"/>
            <w:tcBorders>
              <w:top w:val="single" w:sz="4" w:space="0" w:color="4F81BD" w:themeColor="accent1"/>
              <w:left w:val="nil"/>
              <w:bottom w:val="single" w:sz="4" w:space="0" w:color="4F81BD" w:themeColor="accent1"/>
              <w:right w:val="single" w:sz="4" w:space="0" w:color="5B9BD5"/>
            </w:tcBorders>
            <w:noWrap/>
            <w:vAlign w:val="bottom"/>
            <w:hideMark/>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2.6</w:t>
            </w:r>
            <w:r w:rsidR="00913762" w:rsidRPr="009709EE">
              <w:rPr>
                <w:rFonts w:ascii="Calibri" w:eastAsia="Times New Roman" w:hAnsi="Calibri" w:cs="Calibri"/>
                <w:sz w:val="22"/>
                <w:szCs w:val="22"/>
                <w:lang w:eastAsia="en-GB"/>
              </w:rPr>
              <w:t>%</w:t>
            </w:r>
          </w:p>
        </w:tc>
      </w:tr>
      <w:tr w:rsidR="00913762" w:rsidRPr="009709EE" w:rsidTr="00175D54">
        <w:trPr>
          <w:trHeight w:val="300"/>
        </w:trPr>
        <w:tc>
          <w:tcPr>
            <w:tcW w:w="2404" w:type="dxa"/>
            <w:tcBorders>
              <w:top w:val="single" w:sz="4" w:space="0" w:color="4F81BD" w:themeColor="accent1"/>
              <w:left w:val="single" w:sz="4" w:space="0" w:color="5B9BD5"/>
              <w:bottom w:val="single" w:sz="4" w:space="0" w:color="5B9BD5"/>
              <w:right w:val="single" w:sz="4" w:space="0" w:color="5B9BD5"/>
            </w:tcBorders>
            <w:noWrap/>
            <w:vAlign w:val="bottom"/>
          </w:tcPr>
          <w:p w:rsidR="00913762" w:rsidRPr="009709EE" w:rsidRDefault="006D24EF" w:rsidP="00175D54">
            <w:pPr>
              <w:spacing w:line="254" w:lineRule="auto"/>
              <w:rPr>
                <w:rFonts w:ascii="Calibri" w:eastAsia="Times New Roman" w:hAnsi="Calibri" w:cs="Calibri"/>
                <w:b/>
                <w:bCs/>
                <w:sz w:val="22"/>
                <w:szCs w:val="22"/>
                <w:lang w:eastAsia="en-GB"/>
              </w:rPr>
            </w:pPr>
            <w:r>
              <w:rPr>
                <w:rFonts w:ascii="Calibri" w:eastAsia="Times New Roman" w:hAnsi="Calibri" w:cs="Calibri"/>
                <w:b/>
                <w:bCs/>
                <w:sz w:val="22"/>
                <w:szCs w:val="22"/>
                <w:lang w:eastAsia="en-GB"/>
              </w:rPr>
              <w:t>1 Jul</w:t>
            </w:r>
            <w:r w:rsidR="00913762" w:rsidRPr="009709EE">
              <w:rPr>
                <w:rFonts w:ascii="Calibri" w:eastAsia="Times New Roman" w:hAnsi="Calibri" w:cs="Calibri"/>
                <w:b/>
                <w:bCs/>
                <w:sz w:val="22"/>
                <w:szCs w:val="22"/>
                <w:lang w:eastAsia="en-GB"/>
              </w:rPr>
              <w:t xml:space="preserve"> 2</w:t>
            </w:r>
            <w:r>
              <w:rPr>
                <w:rFonts w:ascii="Calibri" w:eastAsia="Times New Roman" w:hAnsi="Calibri" w:cs="Calibri"/>
                <w:b/>
                <w:bCs/>
                <w:sz w:val="22"/>
                <w:szCs w:val="22"/>
                <w:lang w:eastAsia="en-GB"/>
              </w:rPr>
              <w:t>1 to 30 Jun</w:t>
            </w:r>
            <w:r w:rsidR="00913762">
              <w:rPr>
                <w:rFonts w:ascii="Calibri" w:eastAsia="Times New Roman" w:hAnsi="Calibri" w:cs="Calibri"/>
                <w:b/>
                <w:bCs/>
                <w:sz w:val="22"/>
                <w:szCs w:val="22"/>
                <w:lang w:eastAsia="en-GB"/>
              </w:rPr>
              <w:t xml:space="preserve"> 22</w:t>
            </w:r>
          </w:p>
        </w:tc>
        <w:tc>
          <w:tcPr>
            <w:tcW w:w="1281" w:type="dxa"/>
            <w:tcBorders>
              <w:top w:val="single" w:sz="4" w:space="0" w:color="4F81BD" w:themeColor="accent1"/>
              <w:left w:val="nil"/>
              <w:bottom w:val="single" w:sz="4" w:space="0" w:color="5B9BD5"/>
              <w:right w:val="single" w:sz="4" w:space="0" w:color="5B9BD5"/>
            </w:tcBorders>
            <w:noWrap/>
            <w:vAlign w:val="center"/>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2.4</w:t>
            </w:r>
          </w:p>
        </w:tc>
        <w:tc>
          <w:tcPr>
            <w:tcW w:w="1420" w:type="dxa"/>
            <w:tcBorders>
              <w:top w:val="single" w:sz="4" w:space="0" w:color="4F81BD" w:themeColor="accent1"/>
              <w:left w:val="nil"/>
              <w:bottom w:val="single" w:sz="4" w:space="0" w:color="5B9BD5"/>
              <w:right w:val="single" w:sz="4" w:space="0" w:color="5B9BD5"/>
            </w:tcBorders>
            <w:noWrap/>
            <w:vAlign w:val="center"/>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5.6</w:t>
            </w:r>
          </w:p>
        </w:tc>
        <w:tc>
          <w:tcPr>
            <w:tcW w:w="994" w:type="dxa"/>
            <w:tcBorders>
              <w:top w:val="single" w:sz="4" w:space="0" w:color="4F81BD" w:themeColor="accent1"/>
              <w:left w:val="nil"/>
              <w:bottom w:val="single" w:sz="4" w:space="0" w:color="5B9BD5"/>
              <w:right w:val="single" w:sz="4" w:space="0" w:color="5B9BD5"/>
            </w:tcBorders>
            <w:shd w:val="clear" w:color="auto" w:fill="auto"/>
            <w:noWrap/>
            <w:vAlign w:val="center"/>
          </w:tcPr>
          <w:p w:rsidR="00913762" w:rsidRPr="007F7666"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8.0</w:t>
            </w:r>
          </w:p>
        </w:tc>
        <w:tc>
          <w:tcPr>
            <w:tcW w:w="1274" w:type="dxa"/>
            <w:tcBorders>
              <w:top w:val="single" w:sz="4" w:space="0" w:color="4F81BD" w:themeColor="accent1"/>
              <w:left w:val="nil"/>
              <w:bottom w:val="single" w:sz="4" w:space="0" w:color="5B9BD5"/>
              <w:right w:val="single" w:sz="4" w:space="0" w:color="5B9BD5"/>
            </w:tcBorders>
            <w:noWrap/>
            <w:vAlign w:val="center"/>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1.1</w:t>
            </w:r>
          </w:p>
        </w:tc>
        <w:tc>
          <w:tcPr>
            <w:tcW w:w="1244" w:type="dxa"/>
            <w:tcBorders>
              <w:top w:val="single" w:sz="4" w:space="0" w:color="4F81BD" w:themeColor="accent1"/>
              <w:left w:val="nil"/>
              <w:bottom w:val="single" w:sz="4" w:space="0" w:color="5B9BD5"/>
              <w:right w:val="single" w:sz="4" w:space="0" w:color="5B9BD5"/>
            </w:tcBorders>
            <w:noWrap/>
            <w:vAlign w:val="bottom"/>
          </w:tcPr>
          <w:p w:rsidR="00913762" w:rsidRPr="009709EE" w:rsidRDefault="006D24EF" w:rsidP="00175D54">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3.6</w:t>
            </w:r>
            <w:r w:rsidR="00913762">
              <w:rPr>
                <w:rFonts w:ascii="Calibri" w:eastAsia="Times New Roman" w:hAnsi="Calibri" w:cs="Calibri"/>
                <w:sz w:val="22"/>
                <w:szCs w:val="22"/>
                <w:lang w:eastAsia="en-GB"/>
              </w:rPr>
              <w:t>%</w:t>
            </w:r>
          </w:p>
        </w:tc>
      </w:tr>
    </w:tbl>
    <w:p w:rsidR="006D24EF" w:rsidRDefault="006D24EF" w:rsidP="006D24EF">
      <w:pPr>
        <w:spacing w:after="120"/>
        <w:jc w:val="both"/>
        <w:rPr>
          <w:rFonts w:eastAsia="Calibri" w:cs="Calibri"/>
          <w:sz w:val="24"/>
          <w:szCs w:val="24"/>
        </w:rPr>
      </w:pPr>
    </w:p>
    <w:p w:rsidR="006D24EF" w:rsidRPr="006D24EF" w:rsidRDefault="006D24EF" w:rsidP="006D24EF">
      <w:pPr>
        <w:spacing w:after="120"/>
        <w:jc w:val="both"/>
        <w:rPr>
          <w:rFonts w:eastAsia="Calibri" w:cs="Calibri"/>
          <w:b/>
          <w:sz w:val="24"/>
          <w:szCs w:val="24"/>
        </w:rPr>
      </w:pPr>
      <w:r>
        <w:rPr>
          <w:rFonts w:eastAsia="Calibri" w:cs="Calibri"/>
          <w:b/>
          <w:sz w:val="24"/>
          <w:szCs w:val="24"/>
        </w:rPr>
        <w:t>Target</w:t>
      </w:r>
    </w:p>
    <w:p w:rsidR="006D24EF" w:rsidRPr="006D24EF" w:rsidRDefault="006D24EF" w:rsidP="009F438A">
      <w:pPr>
        <w:spacing w:after="120"/>
        <w:rPr>
          <w:rFonts w:eastAsia="Calibri" w:cs="Calibri"/>
          <w:sz w:val="24"/>
          <w:szCs w:val="24"/>
        </w:rPr>
      </w:pPr>
      <w:r w:rsidRPr="006D24EF">
        <w:rPr>
          <w:rFonts w:eastAsia="Calibri" w:cs="Calibri"/>
          <w:sz w:val="24"/>
          <w:szCs w:val="24"/>
        </w:rPr>
        <w:t>SLAB’s self-certified sickness target is 3.0 days lost per wte in a 12 month period and we remain below target.  Overall, total absence performanc</w:t>
      </w:r>
      <w:r>
        <w:rPr>
          <w:rFonts w:eastAsia="Calibri" w:cs="Calibri"/>
          <w:sz w:val="24"/>
          <w:szCs w:val="24"/>
        </w:rPr>
        <w:t>e appears to be returning to</w:t>
      </w:r>
      <w:r w:rsidRPr="006D24EF">
        <w:rPr>
          <w:rFonts w:eastAsia="Calibri" w:cs="Calibri"/>
          <w:sz w:val="24"/>
          <w:szCs w:val="24"/>
        </w:rPr>
        <w:t xml:space="preserve"> pre Covid pandemic levels. </w:t>
      </w:r>
    </w:p>
    <w:p w:rsidR="00913762" w:rsidRPr="000C6ADA" w:rsidRDefault="006D24EF" w:rsidP="000C6ADA">
      <w:pPr>
        <w:spacing w:after="120"/>
        <w:rPr>
          <w:rFonts w:eastAsia="Calibri" w:cs="Calibri"/>
          <w:sz w:val="24"/>
          <w:szCs w:val="24"/>
          <w:highlight w:val="yellow"/>
        </w:rPr>
      </w:pPr>
      <w:r w:rsidRPr="006D24EF">
        <w:rPr>
          <w:rFonts w:eastAsia="Calibri" w:cs="Calibri"/>
          <w:sz w:val="24"/>
          <w:szCs w:val="24"/>
        </w:rPr>
        <w:t xml:space="preserve">As a comparator, Scottish Government’s latest cumulative quarterly figures show the average working days lost </w:t>
      </w:r>
      <w:r w:rsidRPr="006D24EF">
        <w:rPr>
          <w:rFonts w:eastAsia="Times New Roman" w:cs="Gotham-Bold"/>
          <w:bCs/>
          <w:sz w:val="24"/>
          <w:szCs w:val="24"/>
        </w:rPr>
        <w:t>due to sickness per staff year as 7.3</w:t>
      </w:r>
      <w:r w:rsidRPr="006D24EF">
        <w:rPr>
          <w:rFonts w:eastAsia="Calibri" w:cs="Calibri"/>
          <w:sz w:val="24"/>
          <w:szCs w:val="24"/>
        </w:rPr>
        <w:t xml:space="preserve"> days (3.2%) for the rolling 12 month period up to 31 March 2022. SLAB absence rate for the same period was 8.5 days (3.5%) including Covid –related absence.</w:t>
      </w:r>
    </w:p>
    <w:p w:rsidR="00913762" w:rsidRPr="00D876E3" w:rsidRDefault="00913762" w:rsidP="00913762">
      <w:pPr>
        <w:keepNext/>
        <w:numPr>
          <w:ilvl w:val="1"/>
          <w:numId w:val="0"/>
        </w:numPr>
        <w:tabs>
          <w:tab w:val="left" w:pos="0"/>
        </w:tabs>
        <w:spacing w:after="120"/>
        <w:outlineLvl w:val="1"/>
        <w:rPr>
          <w:rFonts w:eastAsia="Times New Roman" w:cs="Arial"/>
          <w:b/>
          <w:bCs/>
          <w:iCs/>
          <w:noProof/>
          <w:snapToGrid w:val="0"/>
          <w:sz w:val="24"/>
          <w:szCs w:val="24"/>
          <w:highlight w:val="yellow"/>
          <w:lang w:val="en-US"/>
        </w:rPr>
      </w:pPr>
      <w:r>
        <w:rPr>
          <w:rFonts w:eastAsia="Times New Roman" w:cs="Arial"/>
          <w:b/>
          <w:bCs/>
          <w:iCs/>
          <w:noProof/>
          <w:snapToGrid w:val="0"/>
          <w:sz w:val="24"/>
          <w:szCs w:val="24"/>
          <w:lang w:val="en-US"/>
        </w:rPr>
        <w:t>6</w:t>
      </w:r>
      <w:r w:rsidRPr="00022266">
        <w:rPr>
          <w:rFonts w:eastAsia="Times New Roman" w:cs="Arial"/>
          <w:b/>
          <w:bCs/>
          <w:iCs/>
          <w:noProof/>
          <w:snapToGrid w:val="0"/>
          <w:sz w:val="24"/>
          <w:szCs w:val="24"/>
          <w:lang w:val="en-US"/>
        </w:rPr>
        <w:t xml:space="preserve">. Leavers </w:t>
      </w:r>
    </w:p>
    <w:p w:rsidR="009F438A" w:rsidRPr="009F438A" w:rsidRDefault="009F438A" w:rsidP="009F438A">
      <w:pPr>
        <w:rPr>
          <w:sz w:val="24"/>
          <w:szCs w:val="24"/>
        </w:rPr>
      </w:pPr>
      <w:r w:rsidRPr="009F438A">
        <w:rPr>
          <w:sz w:val="24"/>
          <w:szCs w:val="24"/>
          <w:lang w:val="en-US"/>
        </w:rPr>
        <w:t xml:space="preserve">The total number of leavers, including </w:t>
      </w:r>
      <w:r>
        <w:rPr>
          <w:sz w:val="24"/>
          <w:szCs w:val="24"/>
          <w:lang w:val="en-US"/>
        </w:rPr>
        <w:t>Direct Services (PDSO, CLAO etc.)</w:t>
      </w:r>
      <w:r w:rsidRPr="009F438A">
        <w:rPr>
          <w:sz w:val="24"/>
          <w:szCs w:val="24"/>
          <w:lang w:val="en-US"/>
        </w:rPr>
        <w:t xml:space="preserve"> or staff with contracts of less than 12 mon</w:t>
      </w:r>
      <w:r>
        <w:rPr>
          <w:sz w:val="24"/>
          <w:szCs w:val="24"/>
          <w:lang w:val="en-US"/>
        </w:rPr>
        <w:t>ths, employed between April and</w:t>
      </w:r>
      <w:r w:rsidRPr="009F438A">
        <w:rPr>
          <w:sz w:val="24"/>
          <w:szCs w:val="24"/>
          <w:lang w:val="en-US"/>
        </w:rPr>
        <w:t xml:space="preserve"> June 2022 was 13 (3.6% of the average total number of staff)(LY 7– 2.0%</w:t>
      </w:r>
      <w:r w:rsidRPr="009F438A">
        <w:rPr>
          <w:sz w:val="24"/>
          <w:szCs w:val="24"/>
        </w:rPr>
        <w:t xml:space="preserve">). </w:t>
      </w:r>
    </w:p>
    <w:p w:rsidR="009F438A" w:rsidRPr="009F438A" w:rsidRDefault="009F438A" w:rsidP="009F438A">
      <w:pPr>
        <w:rPr>
          <w:color w:val="FF0000"/>
          <w:sz w:val="24"/>
          <w:szCs w:val="24"/>
        </w:rPr>
      </w:pPr>
    </w:p>
    <w:p w:rsidR="009F438A" w:rsidRPr="009F438A" w:rsidRDefault="009F438A" w:rsidP="009F438A">
      <w:pPr>
        <w:rPr>
          <w:sz w:val="24"/>
          <w:szCs w:val="24"/>
        </w:rPr>
      </w:pPr>
      <w:r w:rsidRPr="009F438A">
        <w:rPr>
          <w:sz w:val="24"/>
          <w:szCs w:val="24"/>
          <w:lang w:val="en-US"/>
        </w:rPr>
        <w:t>Nine leavers were from SLAB and four leavers were from PDSO. All left</w:t>
      </w:r>
      <w:r w:rsidRPr="009F438A">
        <w:rPr>
          <w:sz w:val="24"/>
          <w:szCs w:val="24"/>
        </w:rPr>
        <w:t xml:space="preserve"> voluntarily, either as a voluntary resignation (6) or as retirements (7), i.e. an overall staff turnover figure of 3.6% voluntary and 0% non-voluntary compared to 2.0% and 0% respectively in last year’s figures.</w:t>
      </w:r>
    </w:p>
    <w:p w:rsidR="009F438A" w:rsidRPr="009F438A" w:rsidRDefault="009F438A" w:rsidP="009F438A">
      <w:pPr>
        <w:rPr>
          <w:sz w:val="24"/>
          <w:szCs w:val="24"/>
        </w:rPr>
      </w:pPr>
    </w:p>
    <w:p w:rsidR="009F438A" w:rsidRPr="009F438A" w:rsidRDefault="009F438A" w:rsidP="009F438A">
      <w:pPr>
        <w:rPr>
          <w:sz w:val="24"/>
          <w:szCs w:val="24"/>
        </w:rPr>
      </w:pPr>
      <w:r w:rsidRPr="009F438A">
        <w:rPr>
          <w:sz w:val="24"/>
          <w:szCs w:val="24"/>
        </w:rPr>
        <w:t>Looking ba</w:t>
      </w:r>
      <w:r>
        <w:rPr>
          <w:sz w:val="24"/>
          <w:szCs w:val="24"/>
        </w:rPr>
        <w:t xml:space="preserve">ck pre-Covid, the leavers by </w:t>
      </w:r>
      <w:r w:rsidRPr="009F438A">
        <w:rPr>
          <w:sz w:val="24"/>
          <w:szCs w:val="24"/>
        </w:rPr>
        <w:t>June each year are:</w:t>
      </w:r>
    </w:p>
    <w:p w:rsidR="009F438A" w:rsidRDefault="009F438A" w:rsidP="009F438A">
      <w:pPr>
        <w:rPr>
          <w:sz w:val="22"/>
          <w:szCs w:val="22"/>
        </w:rPr>
      </w:pPr>
    </w:p>
    <w:tbl>
      <w:tblPr>
        <w:tblStyle w:val="TableGrid"/>
        <w:tblW w:w="0" w:type="auto"/>
        <w:tblLook w:val="04A0" w:firstRow="1" w:lastRow="0" w:firstColumn="1" w:lastColumn="0" w:noHBand="0" w:noVBand="1"/>
      </w:tblPr>
      <w:tblGrid>
        <w:gridCol w:w="1803"/>
        <w:gridCol w:w="1803"/>
        <w:gridCol w:w="1803"/>
        <w:gridCol w:w="1803"/>
        <w:gridCol w:w="1804"/>
      </w:tblGrid>
      <w:tr w:rsidR="009F438A" w:rsidTr="009F438A">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b/>
                <w:sz w:val="22"/>
                <w:szCs w:val="22"/>
                <w:lang w:val="en-US"/>
              </w:rPr>
            </w:pPr>
            <w:r>
              <w:rPr>
                <w:b/>
                <w:sz w:val="22"/>
                <w:szCs w:val="22"/>
                <w:lang w:val="en-US"/>
              </w:rPr>
              <w:t>Apr to Jun 2022</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b/>
                <w:sz w:val="22"/>
                <w:szCs w:val="22"/>
                <w:lang w:val="en-US"/>
              </w:rPr>
            </w:pPr>
            <w:r>
              <w:rPr>
                <w:b/>
                <w:sz w:val="22"/>
                <w:szCs w:val="22"/>
                <w:lang w:val="en-US"/>
              </w:rPr>
              <w:t>Total Leavers</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b/>
                <w:sz w:val="22"/>
                <w:szCs w:val="22"/>
                <w:lang w:val="en-US"/>
              </w:rPr>
            </w:pPr>
            <w:r>
              <w:rPr>
                <w:b/>
                <w:sz w:val="22"/>
                <w:szCs w:val="22"/>
                <w:lang w:val="en-US"/>
              </w:rPr>
              <w:t>% of ave no. of staff</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b/>
                <w:sz w:val="22"/>
                <w:szCs w:val="22"/>
                <w:lang w:val="en-US"/>
              </w:rPr>
            </w:pPr>
            <w:r>
              <w:rPr>
                <w:b/>
                <w:sz w:val="22"/>
                <w:szCs w:val="22"/>
                <w:lang w:val="en-US"/>
              </w:rPr>
              <w:t>Resignations</w:t>
            </w:r>
          </w:p>
        </w:tc>
        <w:tc>
          <w:tcPr>
            <w:tcW w:w="1804"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b/>
                <w:sz w:val="22"/>
                <w:szCs w:val="22"/>
                <w:lang w:val="en-US"/>
              </w:rPr>
            </w:pPr>
            <w:r>
              <w:rPr>
                <w:b/>
                <w:sz w:val="22"/>
                <w:szCs w:val="22"/>
                <w:lang w:val="en-US"/>
              </w:rPr>
              <w:t>Retirements</w:t>
            </w:r>
          </w:p>
        </w:tc>
      </w:tr>
      <w:tr w:rsidR="009F438A" w:rsidTr="009F438A">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2018</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9</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2.6</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6</w:t>
            </w:r>
          </w:p>
        </w:tc>
        <w:tc>
          <w:tcPr>
            <w:tcW w:w="1804"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w:t>
            </w:r>
          </w:p>
        </w:tc>
      </w:tr>
      <w:tr w:rsidR="009F438A" w:rsidTr="009F438A">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2019</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7</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3</w:t>
            </w:r>
          </w:p>
        </w:tc>
        <w:tc>
          <w:tcPr>
            <w:tcW w:w="1804"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4</w:t>
            </w:r>
          </w:p>
        </w:tc>
      </w:tr>
      <w:tr w:rsidR="009F438A" w:rsidTr="009F438A">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2020</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5</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1.4</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0</w:t>
            </w:r>
          </w:p>
        </w:tc>
        <w:tc>
          <w:tcPr>
            <w:tcW w:w="1804"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5</w:t>
            </w:r>
          </w:p>
        </w:tc>
      </w:tr>
      <w:tr w:rsidR="009F438A" w:rsidTr="009F438A">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2021</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7</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3</w:t>
            </w:r>
          </w:p>
        </w:tc>
        <w:tc>
          <w:tcPr>
            <w:tcW w:w="1804"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4</w:t>
            </w:r>
          </w:p>
        </w:tc>
      </w:tr>
      <w:tr w:rsidR="009F438A" w:rsidTr="009F438A">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2022</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13</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3.6</w:t>
            </w:r>
          </w:p>
        </w:tc>
        <w:tc>
          <w:tcPr>
            <w:tcW w:w="1803"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6</w:t>
            </w:r>
          </w:p>
        </w:tc>
        <w:tc>
          <w:tcPr>
            <w:tcW w:w="1804" w:type="dxa"/>
            <w:tcBorders>
              <w:top w:val="single" w:sz="4" w:space="0" w:color="auto"/>
              <w:left w:val="single" w:sz="4" w:space="0" w:color="auto"/>
              <w:bottom w:val="single" w:sz="4" w:space="0" w:color="auto"/>
              <w:right w:val="single" w:sz="4" w:space="0" w:color="auto"/>
            </w:tcBorders>
            <w:hideMark/>
          </w:tcPr>
          <w:p w:rsidR="009F438A" w:rsidRDefault="009F438A" w:rsidP="009F438A">
            <w:pPr>
              <w:jc w:val="center"/>
              <w:rPr>
                <w:sz w:val="22"/>
                <w:szCs w:val="22"/>
                <w:lang w:val="en-US"/>
              </w:rPr>
            </w:pPr>
            <w:r>
              <w:rPr>
                <w:sz w:val="22"/>
                <w:szCs w:val="22"/>
                <w:lang w:val="en-US"/>
              </w:rPr>
              <w:t>7</w:t>
            </w:r>
          </w:p>
        </w:tc>
      </w:tr>
    </w:tbl>
    <w:p w:rsidR="009F438A" w:rsidRDefault="009F438A" w:rsidP="009F438A">
      <w:pPr>
        <w:rPr>
          <w:sz w:val="22"/>
          <w:szCs w:val="22"/>
          <w:lang w:val="en-US"/>
        </w:rPr>
      </w:pPr>
    </w:p>
    <w:p w:rsidR="009F438A" w:rsidRPr="009F438A" w:rsidRDefault="009F438A" w:rsidP="009F438A">
      <w:pPr>
        <w:rPr>
          <w:sz w:val="24"/>
          <w:szCs w:val="24"/>
          <w:lang w:val="en-US"/>
        </w:rPr>
      </w:pPr>
      <w:r w:rsidRPr="009F438A">
        <w:rPr>
          <w:sz w:val="24"/>
          <w:szCs w:val="24"/>
          <w:lang w:val="en-US"/>
        </w:rPr>
        <w:t>Although Covid is not over ye</w:t>
      </w:r>
      <w:r>
        <w:rPr>
          <w:sz w:val="24"/>
          <w:szCs w:val="24"/>
          <w:lang w:val="en-US"/>
        </w:rPr>
        <w:t xml:space="preserve">t, we are experiencing </w:t>
      </w:r>
      <w:r w:rsidRPr="009F438A">
        <w:rPr>
          <w:sz w:val="24"/>
          <w:szCs w:val="24"/>
          <w:lang w:val="en-US"/>
        </w:rPr>
        <w:t xml:space="preserve">increased levels of people wanting to retire early, perhaps as a consequence of the pandemic, and people feeling more secure and prepared to move jobs to further their careers or improve their life style. </w:t>
      </w:r>
    </w:p>
    <w:p w:rsidR="00913762" w:rsidRPr="000C6ADA" w:rsidRDefault="00913762" w:rsidP="00913762">
      <w:pPr>
        <w:jc w:val="both"/>
        <w:rPr>
          <w:sz w:val="22"/>
          <w:szCs w:val="22"/>
        </w:rPr>
      </w:pPr>
    </w:p>
    <w:tbl>
      <w:tblPr>
        <w:tblStyle w:val="TableGrid"/>
        <w:tblW w:w="9493" w:type="dxa"/>
        <w:tblLook w:val="04A0" w:firstRow="1" w:lastRow="0" w:firstColumn="1" w:lastColumn="0" w:noHBand="0" w:noVBand="1"/>
      </w:tblPr>
      <w:tblGrid>
        <w:gridCol w:w="846"/>
        <w:gridCol w:w="8647"/>
      </w:tblGrid>
      <w:tr w:rsidR="00B26F64" w:rsidRPr="00190389" w:rsidTr="00B86375">
        <w:tc>
          <w:tcPr>
            <w:tcW w:w="846" w:type="dxa"/>
            <w:shd w:val="clear" w:color="auto" w:fill="D9D9D9" w:themeFill="background1" w:themeFillShade="D9"/>
          </w:tcPr>
          <w:p w:rsidR="00B26F64" w:rsidRPr="00190389" w:rsidRDefault="00B26F64" w:rsidP="00B86375">
            <w:pPr>
              <w:rPr>
                <w:b/>
                <w:sz w:val="24"/>
                <w:szCs w:val="24"/>
                <w:highlight w:val="yellow"/>
              </w:rPr>
            </w:pPr>
          </w:p>
        </w:tc>
        <w:tc>
          <w:tcPr>
            <w:tcW w:w="8647" w:type="dxa"/>
            <w:shd w:val="clear" w:color="auto" w:fill="D9D9D9" w:themeFill="background1" w:themeFillShade="D9"/>
          </w:tcPr>
          <w:p w:rsidR="00B26F64" w:rsidRPr="00190389" w:rsidRDefault="002265D6" w:rsidP="00DA7163">
            <w:pPr>
              <w:rPr>
                <w:b/>
                <w:sz w:val="24"/>
                <w:szCs w:val="24"/>
              </w:rPr>
            </w:pPr>
            <w:r w:rsidRPr="00190389">
              <w:rPr>
                <w:b/>
                <w:sz w:val="24"/>
                <w:szCs w:val="24"/>
              </w:rPr>
              <w:t xml:space="preserve">Governance Links </w:t>
            </w:r>
          </w:p>
        </w:tc>
      </w:tr>
      <w:tr w:rsidR="00B26F64" w:rsidRPr="00190389" w:rsidTr="00B86375">
        <w:tc>
          <w:tcPr>
            <w:tcW w:w="846" w:type="dxa"/>
          </w:tcPr>
          <w:p w:rsidR="00B26F64" w:rsidRPr="00190389" w:rsidRDefault="00B26F64" w:rsidP="0076103C">
            <w:pPr>
              <w:spacing w:before="120"/>
              <w:rPr>
                <w:sz w:val="24"/>
                <w:szCs w:val="24"/>
              </w:rPr>
            </w:pPr>
            <w:r w:rsidRPr="00190389">
              <w:rPr>
                <w:sz w:val="24"/>
                <w:szCs w:val="24"/>
              </w:rPr>
              <w:t>1</w:t>
            </w:r>
          </w:p>
        </w:tc>
        <w:tc>
          <w:tcPr>
            <w:tcW w:w="8647" w:type="dxa"/>
          </w:tcPr>
          <w:p w:rsidR="0076103C" w:rsidRPr="00190389" w:rsidRDefault="0098730C" w:rsidP="0076103C">
            <w:pPr>
              <w:spacing w:before="120" w:after="120"/>
              <w:rPr>
                <w:b/>
                <w:sz w:val="24"/>
                <w:szCs w:val="24"/>
              </w:rPr>
            </w:pPr>
            <w:r w:rsidRPr="00190389">
              <w:rPr>
                <w:b/>
                <w:sz w:val="24"/>
                <w:szCs w:val="24"/>
              </w:rPr>
              <w:t>Finance and Resources</w:t>
            </w:r>
          </w:p>
          <w:p w:rsidR="001B6D84" w:rsidRPr="00190389" w:rsidRDefault="00AA3B49" w:rsidP="00B86375">
            <w:pPr>
              <w:rPr>
                <w:sz w:val="24"/>
                <w:szCs w:val="24"/>
              </w:rPr>
            </w:pPr>
            <w:r w:rsidRPr="00190389">
              <w:rPr>
                <w:sz w:val="24"/>
                <w:szCs w:val="24"/>
              </w:rPr>
              <w:t>No additional issues of note to report.</w:t>
            </w:r>
          </w:p>
          <w:p w:rsidR="00B26F64" w:rsidRPr="00190389" w:rsidRDefault="00B26F64" w:rsidP="00777096">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2</w:t>
            </w:r>
          </w:p>
        </w:tc>
        <w:tc>
          <w:tcPr>
            <w:tcW w:w="8647" w:type="dxa"/>
          </w:tcPr>
          <w:p w:rsidR="0076103C" w:rsidRPr="00190389" w:rsidRDefault="0098730C" w:rsidP="0076103C">
            <w:pPr>
              <w:spacing w:before="120" w:after="120"/>
              <w:rPr>
                <w:b/>
                <w:sz w:val="24"/>
                <w:szCs w:val="24"/>
              </w:rPr>
            </w:pPr>
            <w:r w:rsidRPr="00190389">
              <w:rPr>
                <w:b/>
                <w:sz w:val="24"/>
                <w:szCs w:val="24"/>
              </w:rPr>
              <w:t xml:space="preserve">Risk </w:t>
            </w:r>
          </w:p>
          <w:p w:rsidR="009D1D56" w:rsidRPr="00190389" w:rsidRDefault="009D1D56" w:rsidP="009D1D56">
            <w:pPr>
              <w:rPr>
                <w:sz w:val="24"/>
                <w:szCs w:val="24"/>
              </w:rPr>
            </w:pPr>
            <w:r w:rsidRPr="00190389">
              <w:rPr>
                <w:sz w:val="24"/>
                <w:szCs w:val="24"/>
              </w:rPr>
              <w:t>Our work to monito</w:t>
            </w:r>
            <w:r w:rsidR="006E4647" w:rsidRPr="00190389">
              <w:rPr>
                <w:sz w:val="24"/>
                <w:szCs w:val="24"/>
              </w:rPr>
              <w:t>r</w:t>
            </w:r>
            <w:r w:rsidRPr="00190389">
              <w:rPr>
                <w:sz w:val="24"/>
                <w:szCs w:val="24"/>
              </w:rPr>
              <w:t xml:space="preserve"> adm</w:t>
            </w:r>
            <w:r w:rsidR="006E4647" w:rsidRPr="00190389">
              <w:rPr>
                <w:sz w:val="24"/>
                <w:szCs w:val="24"/>
              </w:rPr>
              <w:t>inistrative expenditure</w:t>
            </w:r>
            <w:r w:rsidRPr="00190389">
              <w:rPr>
                <w:sz w:val="24"/>
                <w:szCs w:val="24"/>
              </w:rPr>
              <w:t xml:space="preserve"> enables </w:t>
            </w:r>
            <w:r w:rsidR="00555C33" w:rsidRPr="00190389">
              <w:rPr>
                <w:sz w:val="24"/>
                <w:szCs w:val="24"/>
              </w:rPr>
              <w:t xml:space="preserve">us </w:t>
            </w:r>
            <w:r w:rsidR="00DD5E82" w:rsidRPr="00190389">
              <w:rPr>
                <w:sz w:val="24"/>
                <w:szCs w:val="24"/>
              </w:rPr>
              <w:t xml:space="preserve">to mitigate </w:t>
            </w:r>
            <w:r w:rsidRPr="00190389">
              <w:rPr>
                <w:sz w:val="24"/>
                <w:szCs w:val="24"/>
              </w:rPr>
              <w:t>corporate risk:</w:t>
            </w:r>
          </w:p>
          <w:p w:rsidR="009D1D56" w:rsidRPr="00190389" w:rsidRDefault="009D1D56" w:rsidP="009D1D56">
            <w:pPr>
              <w:rPr>
                <w:sz w:val="24"/>
                <w:szCs w:val="24"/>
              </w:rPr>
            </w:pPr>
          </w:p>
          <w:p w:rsidR="009D1D56" w:rsidRPr="00190389" w:rsidRDefault="009D1D56" w:rsidP="009D1D56">
            <w:pPr>
              <w:rPr>
                <w:sz w:val="24"/>
                <w:szCs w:val="24"/>
              </w:rPr>
            </w:pPr>
            <w:r w:rsidRPr="00190389">
              <w:rPr>
                <w:sz w:val="24"/>
                <w:szCs w:val="24"/>
              </w:rPr>
              <w:t>Risk 8: Pressure on the administration budget and being unable to manage within the budget.</w:t>
            </w:r>
          </w:p>
          <w:p w:rsidR="0098730C" w:rsidRPr="00190389" w:rsidRDefault="0098730C" w:rsidP="009D1D56">
            <w:pPr>
              <w:rPr>
                <w:sz w:val="24"/>
                <w:szCs w:val="24"/>
              </w:rPr>
            </w:pPr>
          </w:p>
        </w:tc>
      </w:tr>
      <w:tr w:rsidR="00B26F64" w:rsidRPr="00190389" w:rsidTr="00B86375">
        <w:tc>
          <w:tcPr>
            <w:tcW w:w="846" w:type="dxa"/>
          </w:tcPr>
          <w:p w:rsidR="00B26F64" w:rsidRPr="00190389" w:rsidRDefault="0098730C" w:rsidP="0076103C">
            <w:pPr>
              <w:spacing w:before="120"/>
              <w:rPr>
                <w:sz w:val="24"/>
                <w:szCs w:val="24"/>
              </w:rPr>
            </w:pPr>
            <w:r w:rsidRPr="00190389">
              <w:rPr>
                <w:sz w:val="24"/>
                <w:szCs w:val="24"/>
              </w:rPr>
              <w:t>3</w:t>
            </w:r>
          </w:p>
          <w:p w:rsidR="00B26F64" w:rsidRPr="00190389" w:rsidRDefault="00B26F64" w:rsidP="00B86375">
            <w:pPr>
              <w:rPr>
                <w:sz w:val="24"/>
                <w:szCs w:val="24"/>
              </w:rPr>
            </w:pPr>
          </w:p>
        </w:tc>
        <w:tc>
          <w:tcPr>
            <w:tcW w:w="8647" w:type="dxa"/>
          </w:tcPr>
          <w:p w:rsidR="009962F8" w:rsidRPr="00190389" w:rsidRDefault="00B26F64" w:rsidP="0076103C">
            <w:pPr>
              <w:spacing w:before="120" w:after="120"/>
              <w:rPr>
                <w:b/>
                <w:sz w:val="24"/>
                <w:szCs w:val="24"/>
              </w:rPr>
            </w:pPr>
            <w:r w:rsidRPr="00190389">
              <w:rPr>
                <w:b/>
                <w:sz w:val="24"/>
                <w:szCs w:val="24"/>
              </w:rPr>
              <w:t>Legal</w:t>
            </w:r>
            <w:r w:rsidR="0098730C" w:rsidRPr="00190389">
              <w:rPr>
                <w:b/>
                <w:sz w:val="24"/>
                <w:szCs w:val="24"/>
              </w:rPr>
              <w:t xml:space="preserve"> and Compliance</w:t>
            </w:r>
          </w:p>
          <w:p w:rsidR="002C77DC" w:rsidRPr="00190389" w:rsidRDefault="00AA3B49" w:rsidP="00B86375">
            <w:pPr>
              <w:rPr>
                <w:sz w:val="24"/>
                <w:szCs w:val="24"/>
              </w:rPr>
            </w:pPr>
            <w:r w:rsidRPr="00190389">
              <w:rPr>
                <w:sz w:val="24"/>
                <w:szCs w:val="24"/>
              </w:rPr>
              <w:t>No issues of note to report.</w:t>
            </w:r>
          </w:p>
          <w:p w:rsidR="001B6D84" w:rsidRPr="00190389" w:rsidRDefault="001B6D84" w:rsidP="00777096">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4</w:t>
            </w:r>
          </w:p>
        </w:tc>
        <w:tc>
          <w:tcPr>
            <w:tcW w:w="8647" w:type="dxa"/>
          </w:tcPr>
          <w:p w:rsidR="0098730C" w:rsidRPr="00190389" w:rsidRDefault="0098730C" w:rsidP="0076103C">
            <w:pPr>
              <w:spacing w:before="120" w:after="120"/>
              <w:rPr>
                <w:b/>
                <w:sz w:val="24"/>
                <w:szCs w:val="24"/>
              </w:rPr>
            </w:pPr>
            <w:r w:rsidRPr="00190389">
              <w:rPr>
                <w:b/>
                <w:sz w:val="24"/>
                <w:szCs w:val="24"/>
              </w:rPr>
              <w:t>Performance</w:t>
            </w:r>
          </w:p>
          <w:p w:rsidR="001B6D84" w:rsidRPr="00190389" w:rsidRDefault="00AA3B49" w:rsidP="00BD7A3C">
            <w:pPr>
              <w:rPr>
                <w:sz w:val="24"/>
                <w:szCs w:val="24"/>
              </w:rPr>
            </w:pPr>
            <w:r w:rsidRPr="00190389">
              <w:rPr>
                <w:sz w:val="24"/>
                <w:szCs w:val="24"/>
              </w:rPr>
              <w:t>No issues of note to report.</w:t>
            </w:r>
          </w:p>
          <w:p w:rsidR="002C77DC" w:rsidRPr="00190389" w:rsidRDefault="002C77DC" w:rsidP="00BD7A3C">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5</w:t>
            </w:r>
          </w:p>
        </w:tc>
        <w:tc>
          <w:tcPr>
            <w:tcW w:w="8647" w:type="dxa"/>
          </w:tcPr>
          <w:p w:rsidR="0098730C" w:rsidRPr="00190389" w:rsidRDefault="0098730C" w:rsidP="0076103C">
            <w:pPr>
              <w:spacing w:before="120" w:after="120"/>
              <w:rPr>
                <w:b/>
                <w:sz w:val="24"/>
                <w:szCs w:val="24"/>
              </w:rPr>
            </w:pPr>
            <w:r w:rsidRPr="00190389">
              <w:rPr>
                <w:b/>
                <w:sz w:val="24"/>
                <w:szCs w:val="24"/>
              </w:rPr>
              <w:t>Equalities</w:t>
            </w:r>
            <w:r w:rsidR="009962F8" w:rsidRPr="00190389">
              <w:rPr>
                <w:b/>
                <w:sz w:val="24"/>
                <w:szCs w:val="24"/>
              </w:rPr>
              <w:t xml:space="preserve"> Impact</w:t>
            </w:r>
          </w:p>
          <w:p w:rsidR="007453A1" w:rsidRPr="00190389" w:rsidRDefault="00D42BF5" w:rsidP="00BD7A3C">
            <w:pPr>
              <w:rPr>
                <w:sz w:val="24"/>
                <w:szCs w:val="24"/>
              </w:rPr>
            </w:pPr>
            <w:r w:rsidRPr="00190389">
              <w:rPr>
                <w:sz w:val="24"/>
                <w:szCs w:val="24"/>
              </w:rPr>
              <w:t>An Equality Impact Assessment is not required for this paper.</w:t>
            </w:r>
          </w:p>
          <w:p w:rsidR="0076103C" w:rsidRPr="00190389" w:rsidRDefault="0076103C" w:rsidP="00BD7A3C">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6</w:t>
            </w:r>
          </w:p>
        </w:tc>
        <w:tc>
          <w:tcPr>
            <w:tcW w:w="8647" w:type="dxa"/>
          </w:tcPr>
          <w:p w:rsidR="0098730C" w:rsidRPr="00190389" w:rsidRDefault="0098730C" w:rsidP="0076103C">
            <w:pPr>
              <w:spacing w:before="120" w:after="120"/>
              <w:rPr>
                <w:b/>
                <w:sz w:val="24"/>
                <w:szCs w:val="24"/>
              </w:rPr>
            </w:pPr>
            <w:r w:rsidRPr="00190389">
              <w:rPr>
                <w:b/>
                <w:sz w:val="24"/>
                <w:szCs w:val="24"/>
              </w:rPr>
              <w:t>Privacy Impact and Data Protection</w:t>
            </w:r>
          </w:p>
          <w:p w:rsidR="00F14B91" w:rsidRPr="00190389" w:rsidRDefault="00331BF0" w:rsidP="000100DD">
            <w:pPr>
              <w:rPr>
                <w:sz w:val="24"/>
                <w:szCs w:val="24"/>
              </w:rPr>
            </w:pPr>
            <w:r w:rsidRPr="00190389">
              <w:rPr>
                <w:sz w:val="24"/>
                <w:szCs w:val="24"/>
              </w:rPr>
              <w:t>No</w:t>
            </w:r>
            <w:r w:rsidR="002C77DC" w:rsidRPr="00190389">
              <w:rPr>
                <w:sz w:val="24"/>
                <w:szCs w:val="24"/>
              </w:rPr>
              <w:t xml:space="preserve"> privacy or data protection issues identified.</w:t>
            </w:r>
          </w:p>
          <w:p w:rsidR="0076103C" w:rsidRPr="00190389" w:rsidRDefault="0076103C" w:rsidP="000100DD">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7</w:t>
            </w:r>
          </w:p>
        </w:tc>
        <w:tc>
          <w:tcPr>
            <w:tcW w:w="8647" w:type="dxa"/>
          </w:tcPr>
          <w:p w:rsidR="0098730C" w:rsidRPr="00190389" w:rsidRDefault="0098730C" w:rsidP="0076103C">
            <w:pPr>
              <w:spacing w:before="120" w:after="120"/>
              <w:rPr>
                <w:b/>
                <w:sz w:val="24"/>
                <w:szCs w:val="24"/>
              </w:rPr>
            </w:pPr>
            <w:r w:rsidRPr="00190389">
              <w:rPr>
                <w:b/>
                <w:sz w:val="24"/>
                <w:szCs w:val="24"/>
              </w:rPr>
              <w:t>Communications and Engagement</w:t>
            </w:r>
          </w:p>
          <w:p w:rsidR="002C77DC" w:rsidRPr="00190389" w:rsidRDefault="00331BF0" w:rsidP="002C77DC">
            <w:pPr>
              <w:rPr>
                <w:sz w:val="24"/>
                <w:szCs w:val="24"/>
              </w:rPr>
            </w:pPr>
            <w:r w:rsidRPr="00190389">
              <w:rPr>
                <w:sz w:val="24"/>
                <w:szCs w:val="24"/>
              </w:rPr>
              <w:t xml:space="preserve">It has previously been agreed that </w:t>
            </w:r>
            <w:r w:rsidR="00350201" w:rsidRPr="00190389">
              <w:rPr>
                <w:sz w:val="24"/>
                <w:szCs w:val="24"/>
              </w:rPr>
              <w:t>t</w:t>
            </w:r>
            <w:r w:rsidR="002C77DC" w:rsidRPr="00190389">
              <w:rPr>
                <w:sz w:val="24"/>
                <w:szCs w:val="24"/>
              </w:rPr>
              <w:t xml:space="preserve">his paper </w:t>
            </w:r>
            <w:r w:rsidR="003E6C49" w:rsidRPr="00190389">
              <w:rPr>
                <w:sz w:val="24"/>
                <w:szCs w:val="24"/>
              </w:rPr>
              <w:t xml:space="preserve">should </w:t>
            </w:r>
            <w:r w:rsidR="0076103C" w:rsidRPr="00190389">
              <w:rPr>
                <w:sz w:val="24"/>
                <w:szCs w:val="24"/>
              </w:rPr>
              <w:t>be published</w:t>
            </w:r>
            <w:r w:rsidR="006E4647" w:rsidRPr="00190389">
              <w:rPr>
                <w:sz w:val="24"/>
                <w:szCs w:val="24"/>
              </w:rPr>
              <w:t>.</w:t>
            </w:r>
          </w:p>
          <w:p w:rsidR="007453A1" w:rsidRPr="00190389" w:rsidRDefault="007453A1" w:rsidP="0098730C">
            <w:pPr>
              <w:rPr>
                <w:sz w:val="24"/>
                <w:szCs w:val="24"/>
              </w:rPr>
            </w:pPr>
          </w:p>
        </w:tc>
      </w:tr>
    </w:tbl>
    <w:p w:rsidR="00390110" w:rsidRPr="00190389" w:rsidRDefault="00390110" w:rsidP="00A06493">
      <w:pPr>
        <w:rPr>
          <w:sz w:val="24"/>
          <w:szCs w:val="24"/>
          <w:highlight w:val="yellow"/>
        </w:rPr>
      </w:pPr>
    </w:p>
    <w:tbl>
      <w:tblPr>
        <w:tblStyle w:val="TableGrid"/>
        <w:tblpPr w:leftFromText="180" w:rightFromText="180" w:vertAnchor="page" w:horzAnchor="margin" w:tblpY="11266"/>
        <w:tblW w:w="9493" w:type="dxa"/>
        <w:tblBorders>
          <w:left w:val="none" w:sz="0" w:space="0" w:color="auto"/>
          <w:right w:val="none" w:sz="0" w:space="0" w:color="auto"/>
        </w:tblBorders>
        <w:tblLook w:val="04A0" w:firstRow="1" w:lastRow="0" w:firstColumn="1" w:lastColumn="0" w:noHBand="0" w:noVBand="1"/>
      </w:tblPr>
      <w:tblGrid>
        <w:gridCol w:w="9493"/>
      </w:tblGrid>
      <w:tr w:rsidR="00DA7163" w:rsidRPr="00190389" w:rsidTr="00A06493">
        <w:tc>
          <w:tcPr>
            <w:tcW w:w="9493" w:type="dxa"/>
            <w:tcBorders>
              <w:left w:val="single" w:sz="4" w:space="0" w:color="auto"/>
              <w:right w:val="single" w:sz="4" w:space="0" w:color="auto"/>
            </w:tcBorders>
            <w:shd w:val="clear" w:color="auto" w:fill="D9D9D9" w:themeFill="background1" w:themeFillShade="D9"/>
          </w:tcPr>
          <w:p w:rsidR="00DA7163" w:rsidRPr="00190389" w:rsidRDefault="00DA7163" w:rsidP="00DA7163">
            <w:pPr>
              <w:rPr>
                <w:b/>
                <w:sz w:val="24"/>
                <w:szCs w:val="24"/>
                <w:highlight w:val="yellow"/>
              </w:rPr>
            </w:pPr>
            <w:r w:rsidRPr="00190389">
              <w:rPr>
                <w:b/>
                <w:sz w:val="24"/>
                <w:szCs w:val="24"/>
              </w:rPr>
              <w:t>Conclusion and next steps</w:t>
            </w:r>
          </w:p>
        </w:tc>
      </w:tr>
      <w:tr w:rsidR="00DA7163" w:rsidRPr="00190389" w:rsidTr="00A06493">
        <w:tc>
          <w:tcPr>
            <w:tcW w:w="9493" w:type="dxa"/>
            <w:tcBorders>
              <w:left w:val="single" w:sz="4" w:space="0" w:color="auto"/>
              <w:bottom w:val="single" w:sz="4" w:space="0" w:color="auto"/>
              <w:right w:val="single" w:sz="4" w:space="0" w:color="auto"/>
            </w:tcBorders>
            <w:shd w:val="clear" w:color="auto" w:fill="FFFFFF" w:themeFill="background1"/>
          </w:tcPr>
          <w:p w:rsidR="00DA7163" w:rsidRPr="00190389" w:rsidRDefault="00AA3B49" w:rsidP="00DA7163">
            <w:pPr>
              <w:rPr>
                <w:sz w:val="24"/>
                <w:szCs w:val="24"/>
              </w:rPr>
            </w:pPr>
            <w:r w:rsidRPr="00190389">
              <w:rPr>
                <w:sz w:val="24"/>
                <w:szCs w:val="24"/>
              </w:rPr>
              <w:t>The Board is asked to note and comment on the report as necessary.</w:t>
            </w:r>
          </w:p>
          <w:p w:rsidR="00D06ED4" w:rsidRPr="00190389" w:rsidRDefault="00D06ED4" w:rsidP="005944A1">
            <w:pPr>
              <w:rPr>
                <w:b/>
                <w:sz w:val="24"/>
                <w:szCs w:val="24"/>
                <w:highlight w:val="yellow"/>
              </w:rPr>
            </w:pPr>
          </w:p>
        </w:tc>
      </w:tr>
      <w:tr w:rsidR="00A06493" w:rsidRPr="00190389" w:rsidTr="00A06493">
        <w:tc>
          <w:tcPr>
            <w:tcW w:w="9493" w:type="dxa"/>
            <w:tcBorders>
              <w:top w:val="single" w:sz="4" w:space="0" w:color="auto"/>
            </w:tcBorders>
            <w:shd w:val="clear" w:color="auto" w:fill="FFFFFF" w:themeFill="background1"/>
          </w:tcPr>
          <w:p w:rsidR="00A06493" w:rsidRPr="00190389" w:rsidRDefault="00A06493" w:rsidP="00DA7163">
            <w:pPr>
              <w:rPr>
                <w:sz w:val="24"/>
                <w:szCs w:val="24"/>
                <w:highlight w:val="yellow"/>
              </w:rPr>
            </w:pPr>
          </w:p>
        </w:tc>
      </w:tr>
    </w:tbl>
    <w:tbl>
      <w:tblPr>
        <w:tblStyle w:val="TableGrid"/>
        <w:tblW w:w="9493" w:type="dxa"/>
        <w:tblLook w:val="04A0" w:firstRow="1" w:lastRow="0" w:firstColumn="1" w:lastColumn="0" w:noHBand="0" w:noVBand="1"/>
      </w:tblPr>
      <w:tblGrid>
        <w:gridCol w:w="9493"/>
      </w:tblGrid>
      <w:tr w:rsidR="00AA3B49" w:rsidRPr="00190389" w:rsidTr="003C48BC">
        <w:tc>
          <w:tcPr>
            <w:tcW w:w="9493" w:type="dxa"/>
            <w:shd w:val="clear" w:color="auto" w:fill="D9D9D9" w:themeFill="background1" w:themeFillShade="D9"/>
          </w:tcPr>
          <w:p w:rsidR="00AA3B49" w:rsidRPr="00190389" w:rsidRDefault="00AA3B49" w:rsidP="003C48BC">
            <w:pPr>
              <w:rPr>
                <w:b/>
                <w:sz w:val="24"/>
                <w:szCs w:val="24"/>
              </w:rPr>
            </w:pPr>
            <w:r w:rsidRPr="00190389">
              <w:rPr>
                <w:b/>
                <w:sz w:val="24"/>
                <w:szCs w:val="24"/>
              </w:rPr>
              <w:t>Appendices/Further Reading</w:t>
            </w:r>
          </w:p>
        </w:tc>
      </w:tr>
      <w:tr w:rsidR="00AA3B49" w:rsidTr="003C48BC">
        <w:tc>
          <w:tcPr>
            <w:tcW w:w="9493" w:type="dxa"/>
            <w:tcBorders>
              <w:right w:val="single" w:sz="4" w:space="0" w:color="auto"/>
            </w:tcBorders>
          </w:tcPr>
          <w:p w:rsidR="00AA3B49" w:rsidRPr="00190389" w:rsidRDefault="00AA3B49" w:rsidP="003C48BC">
            <w:pPr>
              <w:spacing w:before="120" w:after="120"/>
              <w:rPr>
                <w:sz w:val="24"/>
                <w:szCs w:val="24"/>
              </w:rPr>
            </w:pPr>
            <w:r w:rsidRPr="00190389">
              <w:rPr>
                <w:sz w:val="24"/>
                <w:szCs w:val="24"/>
              </w:rPr>
              <w:t>N/A</w:t>
            </w:r>
          </w:p>
        </w:tc>
      </w:tr>
    </w:tbl>
    <w:p w:rsidR="00AA3B49" w:rsidRPr="00AA3B49" w:rsidRDefault="00AA3B49" w:rsidP="00AA3B49">
      <w:pPr>
        <w:tabs>
          <w:tab w:val="left" w:pos="6495"/>
        </w:tabs>
      </w:pPr>
    </w:p>
    <w:p w:rsidR="00AA3B49" w:rsidRPr="00AA3B49" w:rsidRDefault="00AA3B49" w:rsidP="00AA3B49"/>
    <w:sectPr w:rsidR="00AA3B49" w:rsidRPr="00AA3B49" w:rsidSect="00DF4BD1">
      <w:headerReference w:type="first" r:id="rId9"/>
      <w:pgSz w:w="11906" w:h="16838"/>
      <w:pgMar w:top="1361" w:right="1440" w:bottom="1247" w:left="1134" w:header="680" w:footer="624" w:gutter="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D2B" w16cex:dateUtc="2020-12-06T18:10:00Z"/>
  <w16cex:commentExtensible w16cex:durableId="23779DB4" w16cex:dateUtc="2020-12-06T18:13:00Z"/>
  <w16cex:commentExtensible w16cex:durableId="2377A3EE" w16cex:dateUtc="2020-12-06T18:39:00Z"/>
  <w16cex:commentExtensible w16cex:durableId="2377CBC4" w16cex:dateUtc="2020-12-0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BDEB6" w16cid:durableId="23779D2B"/>
  <w16cid:commentId w16cid:paraId="5BCB26C3" w16cid:durableId="23779DB4"/>
  <w16cid:commentId w16cid:paraId="58D7B29A" w16cid:durableId="23779BDF"/>
  <w16cid:commentId w16cid:paraId="633B1C22" w16cid:durableId="2377A3EE"/>
  <w16cid:commentId w16cid:paraId="65EBA246" w16cid:durableId="23779BE0"/>
  <w16cid:commentId w16cid:paraId="1BBD3997" w16cid:durableId="23779BE1"/>
  <w16cid:commentId w16cid:paraId="631F7DB5" w16cid:durableId="2377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7E" w:rsidRDefault="0049567E" w:rsidP="00EB61A3">
      <w:r>
        <w:separator/>
      </w:r>
    </w:p>
  </w:endnote>
  <w:endnote w:type="continuationSeparator" w:id="0">
    <w:p w:rsidR="0049567E" w:rsidRDefault="0049567E" w:rsidP="00EB61A3">
      <w:r>
        <w:continuationSeparator/>
      </w:r>
    </w:p>
  </w:endnote>
  <w:endnote w:type="continuationNotice" w:id="1">
    <w:p w:rsidR="0049567E" w:rsidRDefault="00495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7E" w:rsidRDefault="0049567E" w:rsidP="00EB61A3">
      <w:r>
        <w:separator/>
      </w:r>
    </w:p>
  </w:footnote>
  <w:footnote w:type="continuationSeparator" w:id="0">
    <w:p w:rsidR="0049567E" w:rsidRDefault="0049567E" w:rsidP="00EB61A3">
      <w:r>
        <w:continuationSeparator/>
      </w:r>
    </w:p>
  </w:footnote>
  <w:footnote w:type="continuationNotice" w:id="1">
    <w:p w:rsidR="0049567E" w:rsidRDefault="004956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4" w:rsidRDefault="00175D54">
    <w:pPr>
      <w:pStyle w:val="Header"/>
    </w:pPr>
    <w:r>
      <w:rPr>
        <w:noProof/>
        <w:lang w:eastAsia="en-GB"/>
      </w:rPr>
      <w:drawing>
        <wp:anchor distT="0" distB="0" distL="114300" distR="114300" simplePos="0" relativeHeight="251671552" behindDoc="1" locked="0" layoutInCell="1" allowOverlap="1" wp14:anchorId="78E34412" wp14:editId="41B754FC">
          <wp:simplePos x="0" y="0"/>
          <wp:positionH relativeFrom="page">
            <wp:align>right</wp:align>
          </wp:positionH>
          <wp:positionV relativeFrom="page">
            <wp:align>top</wp:align>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rStyle w:val="legamendingtext"/>
        <w:noProof/>
        <w:sz w:val="40"/>
        <w:szCs w:val="40"/>
        <w:lang w:eastAsia="en-GB"/>
      </w:rPr>
      <w:drawing>
        <wp:anchor distT="0" distB="0" distL="114300" distR="114300" simplePos="0" relativeHeight="251673600" behindDoc="0" locked="0" layoutInCell="1" allowOverlap="1" wp14:anchorId="3144177F" wp14:editId="1C4635B6">
          <wp:simplePos x="0" y="0"/>
          <wp:positionH relativeFrom="column">
            <wp:posOffset>3810</wp:posOffset>
          </wp:positionH>
          <wp:positionV relativeFrom="paragraph">
            <wp:posOffset>-3175</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443" cy="864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074FB"/>
    <w:multiLevelType w:val="hybridMultilevel"/>
    <w:tmpl w:val="463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865F1"/>
    <w:multiLevelType w:val="hybridMultilevel"/>
    <w:tmpl w:val="D152AF58"/>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756DD1"/>
    <w:multiLevelType w:val="hybridMultilevel"/>
    <w:tmpl w:val="554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9901A0"/>
    <w:multiLevelType w:val="hybridMultilevel"/>
    <w:tmpl w:val="7D9A0EB6"/>
    <w:lvl w:ilvl="0" w:tplc="9C6A1FB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8"/>
  </w:num>
  <w:num w:numId="2">
    <w:abstractNumId w:val="5"/>
  </w:num>
  <w:num w:numId="3">
    <w:abstractNumId w:val="2"/>
  </w:num>
  <w:num w:numId="4">
    <w:abstractNumId w:val="0"/>
  </w:num>
  <w:num w:numId="5">
    <w:abstractNumId w:val="6"/>
  </w:num>
  <w:num w:numId="6">
    <w:abstractNumId w:val="1"/>
  </w:num>
  <w:num w:numId="7">
    <w:abstractNumId w:val="14"/>
  </w:num>
  <w:num w:numId="8">
    <w:abstractNumId w:val="10"/>
  </w:num>
  <w:num w:numId="9">
    <w:abstractNumId w:val="10"/>
  </w:num>
  <w:num w:numId="10">
    <w:abstractNumId w:val="7"/>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5"/>
  </w:num>
  <w:num w:numId="16">
    <w:abstractNumId w:val="12"/>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288F"/>
    <w:rsid w:val="000143B5"/>
    <w:rsid w:val="00016211"/>
    <w:rsid w:val="00017824"/>
    <w:rsid w:val="00022266"/>
    <w:rsid w:val="00024D0A"/>
    <w:rsid w:val="0002640A"/>
    <w:rsid w:val="000271E7"/>
    <w:rsid w:val="0002748C"/>
    <w:rsid w:val="00033D05"/>
    <w:rsid w:val="000345B0"/>
    <w:rsid w:val="00041B39"/>
    <w:rsid w:val="00042E2C"/>
    <w:rsid w:val="000470D4"/>
    <w:rsid w:val="00050C19"/>
    <w:rsid w:val="00052506"/>
    <w:rsid w:val="000575B3"/>
    <w:rsid w:val="0006116D"/>
    <w:rsid w:val="00061F2B"/>
    <w:rsid w:val="00062336"/>
    <w:rsid w:val="0006484C"/>
    <w:rsid w:val="00066D78"/>
    <w:rsid w:val="00067EF5"/>
    <w:rsid w:val="00074279"/>
    <w:rsid w:val="00084CDD"/>
    <w:rsid w:val="00084F44"/>
    <w:rsid w:val="0008597E"/>
    <w:rsid w:val="00086215"/>
    <w:rsid w:val="00090CA4"/>
    <w:rsid w:val="000919A9"/>
    <w:rsid w:val="00093759"/>
    <w:rsid w:val="00093873"/>
    <w:rsid w:val="000938DC"/>
    <w:rsid w:val="00094CB8"/>
    <w:rsid w:val="000A50C8"/>
    <w:rsid w:val="000B2DF9"/>
    <w:rsid w:val="000B3C11"/>
    <w:rsid w:val="000B534B"/>
    <w:rsid w:val="000B69BF"/>
    <w:rsid w:val="000C1B2A"/>
    <w:rsid w:val="000C29D0"/>
    <w:rsid w:val="000C3B44"/>
    <w:rsid w:val="000C3F30"/>
    <w:rsid w:val="000C4431"/>
    <w:rsid w:val="000C6ADA"/>
    <w:rsid w:val="000C71CE"/>
    <w:rsid w:val="000D0763"/>
    <w:rsid w:val="000D1D5B"/>
    <w:rsid w:val="000D22DF"/>
    <w:rsid w:val="000D34F2"/>
    <w:rsid w:val="000D43A6"/>
    <w:rsid w:val="000D6EA3"/>
    <w:rsid w:val="000D705C"/>
    <w:rsid w:val="000D76E0"/>
    <w:rsid w:val="000E093E"/>
    <w:rsid w:val="000E0BD1"/>
    <w:rsid w:val="000E1E53"/>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0207"/>
    <w:rsid w:val="00122BE7"/>
    <w:rsid w:val="0012446B"/>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468F3"/>
    <w:rsid w:val="00152C88"/>
    <w:rsid w:val="00154704"/>
    <w:rsid w:val="00154B8A"/>
    <w:rsid w:val="00155E1F"/>
    <w:rsid w:val="001566AC"/>
    <w:rsid w:val="00157102"/>
    <w:rsid w:val="00160698"/>
    <w:rsid w:val="00161856"/>
    <w:rsid w:val="00161E76"/>
    <w:rsid w:val="001626D3"/>
    <w:rsid w:val="00163646"/>
    <w:rsid w:val="001655F5"/>
    <w:rsid w:val="00165D87"/>
    <w:rsid w:val="00170992"/>
    <w:rsid w:val="00173523"/>
    <w:rsid w:val="00174A5C"/>
    <w:rsid w:val="00175255"/>
    <w:rsid w:val="00175D54"/>
    <w:rsid w:val="001773F2"/>
    <w:rsid w:val="00181D42"/>
    <w:rsid w:val="00182C27"/>
    <w:rsid w:val="00182FA7"/>
    <w:rsid w:val="00183523"/>
    <w:rsid w:val="0018575F"/>
    <w:rsid w:val="00190389"/>
    <w:rsid w:val="00190C39"/>
    <w:rsid w:val="00191EC1"/>
    <w:rsid w:val="00194F68"/>
    <w:rsid w:val="00195F8C"/>
    <w:rsid w:val="001A18FB"/>
    <w:rsid w:val="001A2B24"/>
    <w:rsid w:val="001A4218"/>
    <w:rsid w:val="001A4E7F"/>
    <w:rsid w:val="001A5F3C"/>
    <w:rsid w:val="001A6B79"/>
    <w:rsid w:val="001A7087"/>
    <w:rsid w:val="001B14EB"/>
    <w:rsid w:val="001B490B"/>
    <w:rsid w:val="001B626A"/>
    <w:rsid w:val="001B6D84"/>
    <w:rsid w:val="001B71D3"/>
    <w:rsid w:val="001B74E0"/>
    <w:rsid w:val="001B765D"/>
    <w:rsid w:val="001C07D7"/>
    <w:rsid w:val="001C676D"/>
    <w:rsid w:val="001C76FD"/>
    <w:rsid w:val="001D0072"/>
    <w:rsid w:val="001D44A5"/>
    <w:rsid w:val="001D4BF1"/>
    <w:rsid w:val="001D5819"/>
    <w:rsid w:val="001E0D45"/>
    <w:rsid w:val="001E354A"/>
    <w:rsid w:val="001E354F"/>
    <w:rsid w:val="001E4721"/>
    <w:rsid w:val="001E49E5"/>
    <w:rsid w:val="001E6FB0"/>
    <w:rsid w:val="00201508"/>
    <w:rsid w:val="00203CA2"/>
    <w:rsid w:val="00204CF2"/>
    <w:rsid w:val="00204CF6"/>
    <w:rsid w:val="00205332"/>
    <w:rsid w:val="002055CC"/>
    <w:rsid w:val="0021150B"/>
    <w:rsid w:val="00211C22"/>
    <w:rsid w:val="0021671E"/>
    <w:rsid w:val="0022038B"/>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6032"/>
    <w:rsid w:val="00266444"/>
    <w:rsid w:val="00266B05"/>
    <w:rsid w:val="00267EB2"/>
    <w:rsid w:val="002702B3"/>
    <w:rsid w:val="00275A0E"/>
    <w:rsid w:val="0027679F"/>
    <w:rsid w:val="00277303"/>
    <w:rsid w:val="00280687"/>
    <w:rsid w:val="002811A7"/>
    <w:rsid w:val="00281B98"/>
    <w:rsid w:val="00282167"/>
    <w:rsid w:val="002839A7"/>
    <w:rsid w:val="00283E81"/>
    <w:rsid w:val="00294066"/>
    <w:rsid w:val="00297CFB"/>
    <w:rsid w:val="00297DE2"/>
    <w:rsid w:val="002A1837"/>
    <w:rsid w:val="002A39C5"/>
    <w:rsid w:val="002A3DC4"/>
    <w:rsid w:val="002A4C34"/>
    <w:rsid w:val="002A5379"/>
    <w:rsid w:val="002A5A4A"/>
    <w:rsid w:val="002A63A8"/>
    <w:rsid w:val="002A6406"/>
    <w:rsid w:val="002A7084"/>
    <w:rsid w:val="002A72A2"/>
    <w:rsid w:val="002A7954"/>
    <w:rsid w:val="002B18F1"/>
    <w:rsid w:val="002B1B5C"/>
    <w:rsid w:val="002B33C9"/>
    <w:rsid w:val="002B3460"/>
    <w:rsid w:val="002B4A90"/>
    <w:rsid w:val="002B53B4"/>
    <w:rsid w:val="002B59FC"/>
    <w:rsid w:val="002B5D32"/>
    <w:rsid w:val="002B7D14"/>
    <w:rsid w:val="002C16D3"/>
    <w:rsid w:val="002C198D"/>
    <w:rsid w:val="002C1BC9"/>
    <w:rsid w:val="002C20F1"/>
    <w:rsid w:val="002C598A"/>
    <w:rsid w:val="002C70A7"/>
    <w:rsid w:val="002C77DC"/>
    <w:rsid w:val="002C7D14"/>
    <w:rsid w:val="002D0165"/>
    <w:rsid w:val="002D318B"/>
    <w:rsid w:val="002D55AC"/>
    <w:rsid w:val="002D5D04"/>
    <w:rsid w:val="002D7200"/>
    <w:rsid w:val="002D7A2A"/>
    <w:rsid w:val="002E0E8E"/>
    <w:rsid w:val="002E2807"/>
    <w:rsid w:val="002E348F"/>
    <w:rsid w:val="002E5507"/>
    <w:rsid w:val="002F0C6E"/>
    <w:rsid w:val="002F163A"/>
    <w:rsid w:val="002F196A"/>
    <w:rsid w:val="002F592D"/>
    <w:rsid w:val="002F6E93"/>
    <w:rsid w:val="00300F9C"/>
    <w:rsid w:val="00301931"/>
    <w:rsid w:val="003038AC"/>
    <w:rsid w:val="003049B5"/>
    <w:rsid w:val="003053A9"/>
    <w:rsid w:val="0031092D"/>
    <w:rsid w:val="003111D6"/>
    <w:rsid w:val="003133C3"/>
    <w:rsid w:val="00313FFC"/>
    <w:rsid w:val="00314354"/>
    <w:rsid w:val="0031725C"/>
    <w:rsid w:val="00322814"/>
    <w:rsid w:val="00323A69"/>
    <w:rsid w:val="00330F5E"/>
    <w:rsid w:val="003317BC"/>
    <w:rsid w:val="00331BF0"/>
    <w:rsid w:val="00333C9D"/>
    <w:rsid w:val="003342E7"/>
    <w:rsid w:val="00334D54"/>
    <w:rsid w:val="0034002C"/>
    <w:rsid w:val="00340424"/>
    <w:rsid w:val="00340D8F"/>
    <w:rsid w:val="00341FBA"/>
    <w:rsid w:val="00341FEB"/>
    <w:rsid w:val="00345D75"/>
    <w:rsid w:val="0034683C"/>
    <w:rsid w:val="00347317"/>
    <w:rsid w:val="003473D9"/>
    <w:rsid w:val="00350201"/>
    <w:rsid w:val="00350998"/>
    <w:rsid w:val="00351036"/>
    <w:rsid w:val="0035577A"/>
    <w:rsid w:val="00355F8C"/>
    <w:rsid w:val="00356910"/>
    <w:rsid w:val="0035786A"/>
    <w:rsid w:val="00357B77"/>
    <w:rsid w:val="00361BC3"/>
    <w:rsid w:val="00362113"/>
    <w:rsid w:val="00362645"/>
    <w:rsid w:val="00363035"/>
    <w:rsid w:val="003633B3"/>
    <w:rsid w:val="0036466F"/>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614B"/>
    <w:rsid w:val="003B13DB"/>
    <w:rsid w:val="003B319A"/>
    <w:rsid w:val="003B3A32"/>
    <w:rsid w:val="003B55B1"/>
    <w:rsid w:val="003B5E92"/>
    <w:rsid w:val="003B606E"/>
    <w:rsid w:val="003C02C2"/>
    <w:rsid w:val="003C2F2F"/>
    <w:rsid w:val="003C32CF"/>
    <w:rsid w:val="003C48BC"/>
    <w:rsid w:val="003C512E"/>
    <w:rsid w:val="003C5DEA"/>
    <w:rsid w:val="003C7DDC"/>
    <w:rsid w:val="003D02D0"/>
    <w:rsid w:val="003D1779"/>
    <w:rsid w:val="003D3E9A"/>
    <w:rsid w:val="003D5EA6"/>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0C89"/>
    <w:rsid w:val="00431065"/>
    <w:rsid w:val="00431A7C"/>
    <w:rsid w:val="00431DE2"/>
    <w:rsid w:val="00432508"/>
    <w:rsid w:val="004335B4"/>
    <w:rsid w:val="004342D9"/>
    <w:rsid w:val="00434C6D"/>
    <w:rsid w:val="0043658D"/>
    <w:rsid w:val="00436BD9"/>
    <w:rsid w:val="0044068D"/>
    <w:rsid w:val="004406DF"/>
    <w:rsid w:val="00441687"/>
    <w:rsid w:val="00442D1D"/>
    <w:rsid w:val="004436B2"/>
    <w:rsid w:val="0044621F"/>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0A7E"/>
    <w:rsid w:val="0048147D"/>
    <w:rsid w:val="0048716C"/>
    <w:rsid w:val="00493A10"/>
    <w:rsid w:val="0049567E"/>
    <w:rsid w:val="00496AB0"/>
    <w:rsid w:val="00497B14"/>
    <w:rsid w:val="004A11C7"/>
    <w:rsid w:val="004A1216"/>
    <w:rsid w:val="004A2C28"/>
    <w:rsid w:val="004A7606"/>
    <w:rsid w:val="004A76C5"/>
    <w:rsid w:val="004B13BD"/>
    <w:rsid w:val="004B140A"/>
    <w:rsid w:val="004B21B5"/>
    <w:rsid w:val="004C0D36"/>
    <w:rsid w:val="004C16E8"/>
    <w:rsid w:val="004C2163"/>
    <w:rsid w:val="004C364B"/>
    <w:rsid w:val="004C4D2A"/>
    <w:rsid w:val="004C5352"/>
    <w:rsid w:val="004C5E2C"/>
    <w:rsid w:val="004C79C8"/>
    <w:rsid w:val="004D03ED"/>
    <w:rsid w:val="004D0FFC"/>
    <w:rsid w:val="004D1F0C"/>
    <w:rsid w:val="004D33CD"/>
    <w:rsid w:val="004D7C06"/>
    <w:rsid w:val="004E1238"/>
    <w:rsid w:val="004E2950"/>
    <w:rsid w:val="004E430C"/>
    <w:rsid w:val="004E5B3A"/>
    <w:rsid w:val="004E6B6E"/>
    <w:rsid w:val="004E7707"/>
    <w:rsid w:val="004F13D9"/>
    <w:rsid w:val="004F4E59"/>
    <w:rsid w:val="004F4F6E"/>
    <w:rsid w:val="004F57D3"/>
    <w:rsid w:val="004F7F36"/>
    <w:rsid w:val="00500309"/>
    <w:rsid w:val="0050102D"/>
    <w:rsid w:val="00501250"/>
    <w:rsid w:val="00504CAF"/>
    <w:rsid w:val="00505947"/>
    <w:rsid w:val="00506B5E"/>
    <w:rsid w:val="00506E7F"/>
    <w:rsid w:val="00507349"/>
    <w:rsid w:val="005126E6"/>
    <w:rsid w:val="00520987"/>
    <w:rsid w:val="0052151B"/>
    <w:rsid w:val="005264A2"/>
    <w:rsid w:val="00526C99"/>
    <w:rsid w:val="0052757E"/>
    <w:rsid w:val="005304E7"/>
    <w:rsid w:val="0053289E"/>
    <w:rsid w:val="0053321A"/>
    <w:rsid w:val="00534214"/>
    <w:rsid w:val="0053573C"/>
    <w:rsid w:val="005359B6"/>
    <w:rsid w:val="00536338"/>
    <w:rsid w:val="0053636B"/>
    <w:rsid w:val="00542253"/>
    <w:rsid w:val="00543F04"/>
    <w:rsid w:val="00551907"/>
    <w:rsid w:val="00552D5B"/>
    <w:rsid w:val="00553135"/>
    <w:rsid w:val="00555C33"/>
    <w:rsid w:val="00557748"/>
    <w:rsid w:val="00557DCF"/>
    <w:rsid w:val="005602C4"/>
    <w:rsid w:val="00560526"/>
    <w:rsid w:val="005623A9"/>
    <w:rsid w:val="00565885"/>
    <w:rsid w:val="00567BAA"/>
    <w:rsid w:val="00570C63"/>
    <w:rsid w:val="00576202"/>
    <w:rsid w:val="005801C2"/>
    <w:rsid w:val="00580E3F"/>
    <w:rsid w:val="0058104D"/>
    <w:rsid w:val="00581429"/>
    <w:rsid w:val="00583998"/>
    <w:rsid w:val="00586B70"/>
    <w:rsid w:val="00587459"/>
    <w:rsid w:val="00590A9D"/>
    <w:rsid w:val="00591D1C"/>
    <w:rsid w:val="005944A1"/>
    <w:rsid w:val="00595939"/>
    <w:rsid w:val="005972E4"/>
    <w:rsid w:val="005A1342"/>
    <w:rsid w:val="005A2C69"/>
    <w:rsid w:val="005A5518"/>
    <w:rsid w:val="005A5B12"/>
    <w:rsid w:val="005B02A5"/>
    <w:rsid w:val="005B082A"/>
    <w:rsid w:val="005B1355"/>
    <w:rsid w:val="005B7399"/>
    <w:rsid w:val="005B73BF"/>
    <w:rsid w:val="005C103B"/>
    <w:rsid w:val="005C106A"/>
    <w:rsid w:val="005C2B9C"/>
    <w:rsid w:val="005C4747"/>
    <w:rsid w:val="005C49FA"/>
    <w:rsid w:val="005C4FF3"/>
    <w:rsid w:val="005C5E9D"/>
    <w:rsid w:val="005C6194"/>
    <w:rsid w:val="005C6725"/>
    <w:rsid w:val="005C696F"/>
    <w:rsid w:val="005D021C"/>
    <w:rsid w:val="005D1415"/>
    <w:rsid w:val="005D1869"/>
    <w:rsid w:val="005D38FA"/>
    <w:rsid w:val="005D6D9B"/>
    <w:rsid w:val="005E768C"/>
    <w:rsid w:val="005F51DC"/>
    <w:rsid w:val="005F55F1"/>
    <w:rsid w:val="005F6458"/>
    <w:rsid w:val="00601D7D"/>
    <w:rsid w:val="0060411B"/>
    <w:rsid w:val="00604124"/>
    <w:rsid w:val="00607E08"/>
    <w:rsid w:val="006108A0"/>
    <w:rsid w:val="0061108A"/>
    <w:rsid w:val="00613F2F"/>
    <w:rsid w:val="00615E91"/>
    <w:rsid w:val="00616111"/>
    <w:rsid w:val="00617412"/>
    <w:rsid w:val="006177D9"/>
    <w:rsid w:val="00621ED3"/>
    <w:rsid w:val="006226D8"/>
    <w:rsid w:val="00623880"/>
    <w:rsid w:val="00624E82"/>
    <w:rsid w:val="00626372"/>
    <w:rsid w:val="006308AD"/>
    <w:rsid w:val="006320A5"/>
    <w:rsid w:val="00632ED8"/>
    <w:rsid w:val="00634502"/>
    <w:rsid w:val="00634899"/>
    <w:rsid w:val="006352FA"/>
    <w:rsid w:val="00635547"/>
    <w:rsid w:val="00642518"/>
    <w:rsid w:val="0064288F"/>
    <w:rsid w:val="006442AF"/>
    <w:rsid w:val="00647EDF"/>
    <w:rsid w:val="006507D0"/>
    <w:rsid w:val="006518A2"/>
    <w:rsid w:val="00651FFD"/>
    <w:rsid w:val="0065296E"/>
    <w:rsid w:val="00652BEF"/>
    <w:rsid w:val="00652C18"/>
    <w:rsid w:val="006553FA"/>
    <w:rsid w:val="00656D6E"/>
    <w:rsid w:val="00657332"/>
    <w:rsid w:val="006617FD"/>
    <w:rsid w:val="00667379"/>
    <w:rsid w:val="006679C5"/>
    <w:rsid w:val="0067070E"/>
    <w:rsid w:val="00671914"/>
    <w:rsid w:val="00672DED"/>
    <w:rsid w:val="006735D5"/>
    <w:rsid w:val="006736F0"/>
    <w:rsid w:val="0067424B"/>
    <w:rsid w:val="00674957"/>
    <w:rsid w:val="00675A05"/>
    <w:rsid w:val="00675C31"/>
    <w:rsid w:val="006766E2"/>
    <w:rsid w:val="00680D5A"/>
    <w:rsid w:val="006830DB"/>
    <w:rsid w:val="0068341D"/>
    <w:rsid w:val="0068348E"/>
    <w:rsid w:val="006846DE"/>
    <w:rsid w:val="0068578D"/>
    <w:rsid w:val="00686FAF"/>
    <w:rsid w:val="00691767"/>
    <w:rsid w:val="0069215B"/>
    <w:rsid w:val="00692716"/>
    <w:rsid w:val="00693833"/>
    <w:rsid w:val="0069487F"/>
    <w:rsid w:val="00696025"/>
    <w:rsid w:val="006A1845"/>
    <w:rsid w:val="006A2769"/>
    <w:rsid w:val="006B0F32"/>
    <w:rsid w:val="006B73ED"/>
    <w:rsid w:val="006C0E0B"/>
    <w:rsid w:val="006C3F98"/>
    <w:rsid w:val="006C4CC1"/>
    <w:rsid w:val="006C6501"/>
    <w:rsid w:val="006D116A"/>
    <w:rsid w:val="006D24EF"/>
    <w:rsid w:val="006D31A6"/>
    <w:rsid w:val="006D3AD3"/>
    <w:rsid w:val="006D3CDD"/>
    <w:rsid w:val="006D3D00"/>
    <w:rsid w:val="006D4C88"/>
    <w:rsid w:val="006D4FBF"/>
    <w:rsid w:val="006E0AB0"/>
    <w:rsid w:val="006E0AEE"/>
    <w:rsid w:val="006E1FDC"/>
    <w:rsid w:val="006E3238"/>
    <w:rsid w:val="006E432C"/>
    <w:rsid w:val="006E4647"/>
    <w:rsid w:val="006E5262"/>
    <w:rsid w:val="006E5CCC"/>
    <w:rsid w:val="006E729D"/>
    <w:rsid w:val="006F0E58"/>
    <w:rsid w:val="006F1AD4"/>
    <w:rsid w:val="006F263E"/>
    <w:rsid w:val="006F2761"/>
    <w:rsid w:val="006F2C6D"/>
    <w:rsid w:val="006F2D27"/>
    <w:rsid w:val="006F367B"/>
    <w:rsid w:val="006F4A79"/>
    <w:rsid w:val="006F53CA"/>
    <w:rsid w:val="006F55C0"/>
    <w:rsid w:val="006F5C88"/>
    <w:rsid w:val="006F697F"/>
    <w:rsid w:val="006F6CEC"/>
    <w:rsid w:val="006F7555"/>
    <w:rsid w:val="006F7622"/>
    <w:rsid w:val="006F7ABF"/>
    <w:rsid w:val="00700467"/>
    <w:rsid w:val="007006AA"/>
    <w:rsid w:val="00701F92"/>
    <w:rsid w:val="00702770"/>
    <w:rsid w:val="0070279B"/>
    <w:rsid w:val="00704223"/>
    <w:rsid w:val="00704974"/>
    <w:rsid w:val="00704C19"/>
    <w:rsid w:val="00707093"/>
    <w:rsid w:val="007104B7"/>
    <w:rsid w:val="00711D02"/>
    <w:rsid w:val="00713BD0"/>
    <w:rsid w:val="007143FC"/>
    <w:rsid w:val="00714597"/>
    <w:rsid w:val="00714995"/>
    <w:rsid w:val="0071531C"/>
    <w:rsid w:val="0071592F"/>
    <w:rsid w:val="0071627C"/>
    <w:rsid w:val="00716413"/>
    <w:rsid w:val="007200F0"/>
    <w:rsid w:val="00720462"/>
    <w:rsid w:val="00722786"/>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04B7"/>
    <w:rsid w:val="00751312"/>
    <w:rsid w:val="00751AF0"/>
    <w:rsid w:val="00753D77"/>
    <w:rsid w:val="00760333"/>
    <w:rsid w:val="0076103C"/>
    <w:rsid w:val="007611D5"/>
    <w:rsid w:val="0076292A"/>
    <w:rsid w:val="00763BCD"/>
    <w:rsid w:val="00766FE8"/>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837"/>
    <w:rsid w:val="00796A8A"/>
    <w:rsid w:val="007A2E31"/>
    <w:rsid w:val="007A2F91"/>
    <w:rsid w:val="007A39DE"/>
    <w:rsid w:val="007A5197"/>
    <w:rsid w:val="007C3641"/>
    <w:rsid w:val="007C4758"/>
    <w:rsid w:val="007C69C5"/>
    <w:rsid w:val="007D1CEB"/>
    <w:rsid w:val="007D3D94"/>
    <w:rsid w:val="007D4DF4"/>
    <w:rsid w:val="007D4ECA"/>
    <w:rsid w:val="007E0ABF"/>
    <w:rsid w:val="007E0DB1"/>
    <w:rsid w:val="007E2E53"/>
    <w:rsid w:val="007E2E8B"/>
    <w:rsid w:val="007E33F7"/>
    <w:rsid w:val="007E54D5"/>
    <w:rsid w:val="007E654D"/>
    <w:rsid w:val="007F2F1A"/>
    <w:rsid w:val="007F44C3"/>
    <w:rsid w:val="007F7666"/>
    <w:rsid w:val="007F78F1"/>
    <w:rsid w:val="00800166"/>
    <w:rsid w:val="008052B5"/>
    <w:rsid w:val="00807625"/>
    <w:rsid w:val="008108FA"/>
    <w:rsid w:val="00810B28"/>
    <w:rsid w:val="00813FCF"/>
    <w:rsid w:val="0081721D"/>
    <w:rsid w:val="00817CBC"/>
    <w:rsid w:val="00821D57"/>
    <w:rsid w:val="0082227E"/>
    <w:rsid w:val="008229C2"/>
    <w:rsid w:val="00823889"/>
    <w:rsid w:val="00825CD2"/>
    <w:rsid w:val="00827700"/>
    <w:rsid w:val="00831B56"/>
    <w:rsid w:val="00831CAC"/>
    <w:rsid w:val="00831F57"/>
    <w:rsid w:val="008347F5"/>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08E"/>
    <w:rsid w:val="008717C0"/>
    <w:rsid w:val="008722AC"/>
    <w:rsid w:val="00874B41"/>
    <w:rsid w:val="008766CB"/>
    <w:rsid w:val="00883B21"/>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E7"/>
    <w:rsid w:val="008B54C1"/>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4EB2"/>
    <w:rsid w:val="008D60DD"/>
    <w:rsid w:val="008E374E"/>
    <w:rsid w:val="008E3AA8"/>
    <w:rsid w:val="008E5A99"/>
    <w:rsid w:val="008E6349"/>
    <w:rsid w:val="008E7AE7"/>
    <w:rsid w:val="008F066B"/>
    <w:rsid w:val="008F0FE4"/>
    <w:rsid w:val="008F4E0B"/>
    <w:rsid w:val="008F5057"/>
    <w:rsid w:val="008F6744"/>
    <w:rsid w:val="009019A2"/>
    <w:rsid w:val="0090282B"/>
    <w:rsid w:val="00902EB9"/>
    <w:rsid w:val="009035C5"/>
    <w:rsid w:val="00906150"/>
    <w:rsid w:val="00907E7B"/>
    <w:rsid w:val="00911131"/>
    <w:rsid w:val="00911A3F"/>
    <w:rsid w:val="00913762"/>
    <w:rsid w:val="00915414"/>
    <w:rsid w:val="00920259"/>
    <w:rsid w:val="009203F8"/>
    <w:rsid w:val="00920D68"/>
    <w:rsid w:val="00924E42"/>
    <w:rsid w:val="009276FA"/>
    <w:rsid w:val="00927785"/>
    <w:rsid w:val="00931D55"/>
    <w:rsid w:val="0093507C"/>
    <w:rsid w:val="009400B4"/>
    <w:rsid w:val="0094228F"/>
    <w:rsid w:val="00945CA7"/>
    <w:rsid w:val="00946657"/>
    <w:rsid w:val="00952C2D"/>
    <w:rsid w:val="00954526"/>
    <w:rsid w:val="00954D5F"/>
    <w:rsid w:val="00955BEC"/>
    <w:rsid w:val="00956646"/>
    <w:rsid w:val="00960758"/>
    <w:rsid w:val="00960B67"/>
    <w:rsid w:val="00960EA3"/>
    <w:rsid w:val="00961CC8"/>
    <w:rsid w:val="00965AB2"/>
    <w:rsid w:val="009676B2"/>
    <w:rsid w:val="00967B90"/>
    <w:rsid w:val="00967BCA"/>
    <w:rsid w:val="009714EB"/>
    <w:rsid w:val="00973147"/>
    <w:rsid w:val="00973AEF"/>
    <w:rsid w:val="00974529"/>
    <w:rsid w:val="00975401"/>
    <w:rsid w:val="0097605D"/>
    <w:rsid w:val="00976A45"/>
    <w:rsid w:val="00976B38"/>
    <w:rsid w:val="00976E3B"/>
    <w:rsid w:val="00977FC0"/>
    <w:rsid w:val="00982494"/>
    <w:rsid w:val="00984B6B"/>
    <w:rsid w:val="0098730C"/>
    <w:rsid w:val="00990EC6"/>
    <w:rsid w:val="009962F8"/>
    <w:rsid w:val="00996466"/>
    <w:rsid w:val="009974A5"/>
    <w:rsid w:val="00997BE7"/>
    <w:rsid w:val="009A19D8"/>
    <w:rsid w:val="009A1B69"/>
    <w:rsid w:val="009A3515"/>
    <w:rsid w:val="009A43AC"/>
    <w:rsid w:val="009A43B4"/>
    <w:rsid w:val="009A5302"/>
    <w:rsid w:val="009B0E02"/>
    <w:rsid w:val="009B5D8A"/>
    <w:rsid w:val="009B6916"/>
    <w:rsid w:val="009C6B27"/>
    <w:rsid w:val="009D068A"/>
    <w:rsid w:val="009D11F9"/>
    <w:rsid w:val="009D1D56"/>
    <w:rsid w:val="009D2260"/>
    <w:rsid w:val="009D24CD"/>
    <w:rsid w:val="009D6EFC"/>
    <w:rsid w:val="009E0206"/>
    <w:rsid w:val="009E22A7"/>
    <w:rsid w:val="009E2DC6"/>
    <w:rsid w:val="009E3278"/>
    <w:rsid w:val="009E32FC"/>
    <w:rsid w:val="009E4C50"/>
    <w:rsid w:val="009E57CC"/>
    <w:rsid w:val="009E5DEF"/>
    <w:rsid w:val="009F046F"/>
    <w:rsid w:val="009F1DCE"/>
    <w:rsid w:val="009F26F8"/>
    <w:rsid w:val="009F302A"/>
    <w:rsid w:val="009F30A4"/>
    <w:rsid w:val="009F3D0A"/>
    <w:rsid w:val="009F438A"/>
    <w:rsid w:val="009F5166"/>
    <w:rsid w:val="009F66FC"/>
    <w:rsid w:val="009F7F2A"/>
    <w:rsid w:val="00A00313"/>
    <w:rsid w:val="00A00FEF"/>
    <w:rsid w:val="00A05BE9"/>
    <w:rsid w:val="00A06493"/>
    <w:rsid w:val="00A127F3"/>
    <w:rsid w:val="00A134CA"/>
    <w:rsid w:val="00A13915"/>
    <w:rsid w:val="00A15B1B"/>
    <w:rsid w:val="00A21CE3"/>
    <w:rsid w:val="00A22778"/>
    <w:rsid w:val="00A232FC"/>
    <w:rsid w:val="00A300D0"/>
    <w:rsid w:val="00A317E6"/>
    <w:rsid w:val="00A343AF"/>
    <w:rsid w:val="00A34D12"/>
    <w:rsid w:val="00A36999"/>
    <w:rsid w:val="00A369BE"/>
    <w:rsid w:val="00A37736"/>
    <w:rsid w:val="00A43C1B"/>
    <w:rsid w:val="00A43D7E"/>
    <w:rsid w:val="00A45C7C"/>
    <w:rsid w:val="00A529FE"/>
    <w:rsid w:val="00A52E01"/>
    <w:rsid w:val="00A5506D"/>
    <w:rsid w:val="00A5650E"/>
    <w:rsid w:val="00A62934"/>
    <w:rsid w:val="00A64497"/>
    <w:rsid w:val="00A65C4D"/>
    <w:rsid w:val="00A667BB"/>
    <w:rsid w:val="00A67555"/>
    <w:rsid w:val="00A67940"/>
    <w:rsid w:val="00A7368B"/>
    <w:rsid w:val="00A74DE3"/>
    <w:rsid w:val="00A75EF0"/>
    <w:rsid w:val="00A765E4"/>
    <w:rsid w:val="00A76ACE"/>
    <w:rsid w:val="00A81AC3"/>
    <w:rsid w:val="00A8323F"/>
    <w:rsid w:val="00A833A0"/>
    <w:rsid w:val="00A84267"/>
    <w:rsid w:val="00A849B2"/>
    <w:rsid w:val="00A861FD"/>
    <w:rsid w:val="00A8721E"/>
    <w:rsid w:val="00A9083A"/>
    <w:rsid w:val="00A90877"/>
    <w:rsid w:val="00A909AB"/>
    <w:rsid w:val="00A95061"/>
    <w:rsid w:val="00A95E0D"/>
    <w:rsid w:val="00AA399E"/>
    <w:rsid w:val="00AA3B49"/>
    <w:rsid w:val="00AA450E"/>
    <w:rsid w:val="00AA6E92"/>
    <w:rsid w:val="00AA7C9A"/>
    <w:rsid w:val="00AB5449"/>
    <w:rsid w:val="00AB5B6E"/>
    <w:rsid w:val="00AB5C5A"/>
    <w:rsid w:val="00AB6E70"/>
    <w:rsid w:val="00AB7CF1"/>
    <w:rsid w:val="00AC1BC6"/>
    <w:rsid w:val="00AC1C64"/>
    <w:rsid w:val="00AC247A"/>
    <w:rsid w:val="00AC5510"/>
    <w:rsid w:val="00AC5D99"/>
    <w:rsid w:val="00AD1F9A"/>
    <w:rsid w:val="00AD52FA"/>
    <w:rsid w:val="00AE04CF"/>
    <w:rsid w:val="00AE3129"/>
    <w:rsid w:val="00AE47FF"/>
    <w:rsid w:val="00AE5F8B"/>
    <w:rsid w:val="00AF1366"/>
    <w:rsid w:val="00AF1616"/>
    <w:rsid w:val="00AF210B"/>
    <w:rsid w:val="00AF3280"/>
    <w:rsid w:val="00AF450F"/>
    <w:rsid w:val="00AF6F35"/>
    <w:rsid w:val="00AF721D"/>
    <w:rsid w:val="00B03190"/>
    <w:rsid w:val="00B10A6F"/>
    <w:rsid w:val="00B12383"/>
    <w:rsid w:val="00B16CF6"/>
    <w:rsid w:val="00B2036B"/>
    <w:rsid w:val="00B24C33"/>
    <w:rsid w:val="00B267F3"/>
    <w:rsid w:val="00B269E3"/>
    <w:rsid w:val="00B26F64"/>
    <w:rsid w:val="00B300E0"/>
    <w:rsid w:val="00B315CB"/>
    <w:rsid w:val="00B33500"/>
    <w:rsid w:val="00B35063"/>
    <w:rsid w:val="00B416D8"/>
    <w:rsid w:val="00B4184D"/>
    <w:rsid w:val="00B41D66"/>
    <w:rsid w:val="00B42FE8"/>
    <w:rsid w:val="00B4350F"/>
    <w:rsid w:val="00B45344"/>
    <w:rsid w:val="00B46425"/>
    <w:rsid w:val="00B512B9"/>
    <w:rsid w:val="00B53DA6"/>
    <w:rsid w:val="00B55CE6"/>
    <w:rsid w:val="00B6359A"/>
    <w:rsid w:val="00B64597"/>
    <w:rsid w:val="00B657FB"/>
    <w:rsid w:val="00B65BBA"/>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366"/>
    <w:rsid w:val="00BB0993"/>
    <w:rsid w:val="00BB4A75"/>
    <w:rsid w:val="00BB5293"/>
    <w:rsid w:val="00BB64D3"/>
    <w:rsid w:val="00BB6BB2"/>
    <w:rsid w:val="00BB7A8E"/>
    <w:rsid w:val="00BC09DA"/>
    <w:rsid w:val="00BC0DCA"/>
    <w:rsid w:val="00BC0E01"/>
    <w:rsid w:val="00BC2A30"/>
    <w:rsid w:val="00BC31F3"/>
    <w:rsid w:val="00BC406A"/>
    <w:rsid w:val="00BC4BD3"/>
    <w:rsid w:val="00BC5361"/>
    <w:rsid w:val="00BC67B3"/>
    <w:rsid w:val="00BD0434"/>
    <w:rsid w:val="00BD23EE"/>
    <w:rsid w:val="00BD267B"/>
    <w:rsid w:val="00BD2F7E"/>
    <w:rsid w:val="00BD34BB"/>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21FA"/>
    <w:rsid w:val="00C135A0"/>
    <w:rsid w:val="00C13CB5"/>
    <w:rsid w:val="00C15C01"/>
    <w:rsid w:val="00C166AC"/>
    <w:rsid w:val="00C1756F"/>
    <w:rsid w:val="00C17710"/>
    <w:rsid w:val="00C2348E"/>
    <w:rsid w:val="00C26146"/>
    <w:rsid w:val="00C27610"/>
    <w:rsid w:val="00C27614"/>
    <w:rsid w:val="00C30298"/>
    <w:rsid w:val="00C31055"/>
    <w:rsid w:val="00C32371"/>
    <w:rsid w:val="00C32CBA"/>
    <w:rsid w:val="00C33332"/>
    <w:rsid w:val="00C353B9"/>
    <w:rsid w:val="00C379B6"/>
    <w:rsid w:val="00C37B24"/>
    <w:rsid w:val="00C37D62"/>
    <w:rsid w:val="00C4195C"/>
    <w:rsid w:val="00C43063"/>
    <w:rsid w:val="00C438D2"/>
    <w:rsid w:val="00C466A1"/>
    <w:rsid w:val="00C52241"/>
    <w:rsid w:val="00C525F0"/>
    <w:rsid w:val="00C52B88"/>
    <w:rsid w:val="00C546B8"/>
    <w:rsid w:val="00C54C29"/>
    <w:rsid w:val="00C563B6"/>
    <w:rsid w:val="00C61FA6"/>
    <w:rsid w:val="00C6243B"/>
    <w:rsid w:val="00C644F6"/>
    <w:rsid w:val="00C654B9"/>
    <w:rsid w:val="00C65CCD"/>
    <w:rsid w:val="00C66564"/>
    <w:rsid w:val="00C70483"/>
    <w:rsid w:val="00C7051F"/>
    <w:rsid w:val="00C74A69"/>
    <w:rsid w:val="00C802B6"/>
    <w:rsid w:val="00C806EF"/>
    <w:rsid w:val="00C80B8F"/>
    <w:rsid w:val="00C8197C"/>
    <w:rsid w:val="00C828A8"/>
    <w:rsid w:val="00C85300"/>
    <w:rsid w:val="00C863CA"/>
    <w:rsid w:val="00C866AE"/>
    <w:rsid w:val="00C94A5A"/>
    <w:rsid w:val="00C968D1"/>
    <w:rsid w:val="00CA2222"/>
    <w:rsid w:val="00CA3A1C"/>
    <w:rsid w:val="00CA559A"/>
    <w:rsid w:val="00CA71B4"/>
    <w:rsid w:val="00CB201C"/>
    <w:rsid w:val="00CB29A1"/>
    <w:rsid w:val="00CB2C31"/>
    <w:rsid w:val="00CB361A"/>
    <w:rsid w:val="00CC01A2"/>
    <w:rsid w:val="00CC38AF"/>
    <w:rsid w:val="00CC4099"/>
    <w:rsid w:val="00CD3DAC"/>
    <w:rsid w:val="00CD480F"/>
    <w:rsid w:val="00CD66F5"/>
    <w:rsid w:val="00CE21E6"/>
    <w:rsid w:val="00CE2C24"/>
    <w:rsid w:val="00CE3474"/>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2DF7"/>
    <w:rsid w:val="00D1408B"/>
    <w:rsid w:val="00D1503B"/>
    <w:rsid w:val="00D1720A"/>
    <w:rsid w:val="00D20667"/>
    <w:rsid w:val="00D207E2"/>
    <w:rsid w:val="00D21212"/>
    <w:rsid w:val="00D21678"/>
    <w:rsid w:val="00D22429"/>
    <w:rsid w:val="00D244A6"/>
    <w:rsid w:val="00D244E0"/>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475DC"/>
    <w:rsid w:val="00D50A01"/>
    <w:rsid w:val="00D50CAA"/>
    <w:rsid w:val="00D5384D"/>
    <w:rsid w:val="00D54120"/>
    <w:rsid w:val="00D56033"/>
    <w:rsid w:val="00D6012C"/>
    <w:rsid w:val="00D614F8"/>
    <w:rsid w:val="00D662E5"/>
    <w:rsid w:val="00D662E6"/>
    <w:rsid w:val="00D664C5"/>
    <w:rsid w:val="00D67253"/>
    <w:rsid w:val="00D702C8"/>
    <w:rsid w:val="00D70672"/>
    <w:rsid w:val="00D71249"/>
    <w:rsid w:val="00D71E20"/>
    <w:rsid w:val="00D71F9A"/>
    <w:rsid w:val="00D73109"/>
    <w:rsid w:val="00D75F33"/>
    <w:rsid w:val="00D7615A"/>
    <w:rsid w:val="00D82607"/>
    <w:rsid w:val="00D82A14"/>
    <w:rsid w:val="00D82BB8"/>
    <w:rsid w:val="00D82F86"/>
    <w:rsid w:val="00D8395C"/>
    <w:rsid w:val="00D86D79"/>
    <w:rsid w:val="00D86E0B"/>
    <w:rsid w:val="00D876E3"/>
    <w:rsid w:val="00D87764"/>
    <w:rsid w:val="00D87F92"/>
    <w:rsid w:val="00D91491"/>
    <w:rsid w:val="00D91494"/>
    <w:rsid w:val="00D95358"/>
    <w:rsid w:val="00D956F4"/>
    <w:rsid w:val="00D96BEB"/>
    <w:rsid w:val="00D97DD0"/>
    <w:rsid w:val="00D97F60"/>
    <w:rsid w:val="00DA1437"/>
    <w:rsid w:val="00DA63BF"/>
    <w:rsid w:val="00DA7163"/>
    <w:rsid w:val="00DB059F"/>
    <w:rsid w:val="00DB1593"/>
    <w:rsid w:val="00DB4686"/>
    <w:rsid w:val="00DB703C"/>
    <w:rsid w:val="00DC3C97"/>
    <w:rsid w:val="00DC4046"/>
    <w:rsid w:val="00DC54E1"/>
    <w:rsid w:val="00DC58EE"/>
    <w:rsid w:val="00DD007E"/>
    <w:rsid w:val="00DD116D"/>
    <w:rsid w:val="00DD365F"/>
    <w:rsid w:val="00DD36B3"/>
    <w:rsid w:val="00DD5985"/>
    <w:rsid w:val="00DD5E82"/>
    <w:rsid w:val="00DE01B2"/>
    <w:rsid w:val="00DE249E"/>
    <w:rsid w:val="00DE34A8"/>
    <w:rsid w:val="00DE3BCF"/>
    <w:rsid w:val="00DE43CE"/>
    <w:rsid w:val="00DE4F27"/>
    <w:rsid w:val="00DE7C50"/>
    <w:rsid w:val="00DF0563"/>
    <w:rsid w:val="00DF09C1"/>
    <w:rsid w:val="00DF14D3"/>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0776"/>
    <w:rsid w:val="00E31ED3"/>
    <w:rsid w:val="00E35200"/>
    <w:rsid w:val="00E407DE"/>
    <w:rsid w:val="00E40BC2"/>
    <w:rsid w:val="00E411A9"/>
    <w:rsid w:val="00E42137"/>
    <w:rsid w:val="00E42EC4"/>
    <w:rsid w:val="00E44258"/>
    <w:rsid w:val="00E4674F"/>
    <w:rsid w:val="00E47890"/>
    <w:rsid w:val="00E6193A"/>
    <w:rsid w:val="00E61FDB"/>
    <w:rsid w:val="00E62CBB"/>
    <w:rsid w:val="00E65AD0"/>
    <w:rsid w:val="00E65E85"/>
    <w:rsid w:val="00E6679E"/>
    <w:rsid w:val="00E67239"/>
    <w:rsid w:val="00E67425"/>
    <w:rsid w:val="00E72047"/>
    <w:rsid w:val="00E7223C"/>
    <w:rsid w:val="00E74117"/>
    <w:rsid w:val="00E755E4"/>
    <w:rsid w:val="00E81A21"/>
    <w:rsid w:val="00E8212F"/>
    <w:rsid w:val="00E82497"/>
    <w:rsid w:val="00E8344D"/>
    <w:rsid w:val="00E84346"/>
    <w:rsid w:val="00E846CA"/>
    <w:rsid w:val="00E851B4"/>
    <w:rsid w:val="00E85EAE"/>
    <w:rsid w:val="00E87161"/>
    <w:rsid w:val="00E91692"/>
    <w:rsid w:val="00E921D9"/>
    <w:rsid w:val="00E9245C"/>
    <w:rsid w:val="00E92CD1"/>
    <w:rsid w:val="00E93289"/>
    <w:rsid w:val="00E93841"/>
    <w:rsid w:val="00E93C63"/>
    <w:rsid w:val="00EA164E"/>
    <w:rsid w:val="00EA19DE"/>
    <w:rsid w:val="00EA297B"/>
    <w:rsid w:val="00EA327B"/>
    <w:rsid w:val="00EA38B4"/>
    <w:rsid w:val="00EA4355"/>
    <w:rsid w:val="00EA4F06"/>
    <w:rsid w:val="00EA6F97"/>
    <w:rsid w:val="00EB2551"/>
    <w:rsid w:val="00EB61A3"/>
    <w:rsid w:val="00EC0986"/>
    <w:rsid w:val="00EC1AC6"/>
    <w:rsid w:val="00EC2147"/>
    <w:rsid w:val="00EC2DDE"/>
    <w:rsid w:val="00EC3E01"/>
    <w:rsid w:val="00EC4BEC"/>
    <w:rsid w:val="00EC63B9"/>
    <w:rsid w:val="00EC69FF"/>
    <w:rsid w:val="00ED017F"/>
    <w:rsid w:val="00ED0612"/>
    <w:rsid w:val="00ED0943"/>
    <w:rsid w:val="00ED0F13"/>
    <w:rsid w:val="00ED2363"/>
    <w:rsid w:val="00ED2793"/>
    <w:rsid w:val="00ED2F66"/>
    <w:rsid w:val="00ED2FF4"/>
    <w:rsid w:val="00ED4F33"/>
    <w:rsid w:val="00ED551C"/>
    <w:rsid w:val="00ED6CE7"/>
    <w:rsid w:val="00EE2F4B"/>
    <w:rsid w:val="00EE3F68"/>
    <w:rsid w:val="00EF362F"/>
    <w:rsid w:val="00EF4754"/>
    <w:rsid w:val="00EF5329"/>
    <w:rsid w:val="00EF697F"/>
    <w:rsid w:val="00EF6D54"/>
    <w:rsid w:val="00F01490"/>
    <w:rsid w:val="00F0401C"/>
    <w:rsid w:val="00F06691"/>
    <w:rsid w:val="00F14B91"/>
    <w:rsid w:val="00F17971"/>
    <w:rsid w:val="00F218E8"/>
    <w:rsid w:val="00F22693"/>
    <w:rsid w:val="00F25957"/>
    <w:rsid w:val="00F2755A"/>
    <w:rsid w:val="00F27E8E"/>
    <w:rsid w:val="00F33133"/>
    <w:rsid w:val="00F33B2B"/>
    <w:rsid w:val="00F341AA"/>
    <w:rsid w:val="00F34F4B"/>
    <w:rsid w:val="00F41C80"/>
    <w:rsid w:val="00F457CC"/>
    <w:rsid w:val="00F47967"/>
    <w:rsid w:val="00F5189D"/>
    <w:rsid w:val="00F51D00"/>
    <w:rsid w:val="00F52A78"/>
    <w:rsid w:val="00F539B8"/>
    <w:rsid w:val="00F565BF"/>
    <w:rsid w:val="00F6566C"/>
    <w:rsid w:val="00F6590C"/>
    <w:rsid w:val="00F65C54"/>
    <w:rsid w:val="00F666E1"/>
    <w:rsid w:val="00F66A10"/>
    <w:rsid w:val="00F67B32"/>
    <w:rsid w:val="00F700FA"/>
    <w:rsid w:val="00F72146"/>
    <w:rsid w:val="00F73476"/>
    <w:rsid w:val="00F73EF3"/>
    <w:rsid w:val="00F75883"/>
    <w:rsid w:val="00F75D29"/>
    <w:rsid w:val="00F81001"/>
    <w:rsid w:val="00F81AF6"/>
    <w:rsid w:val="00F82B3D"/>
    <w:rsid w:val="00F854B7"/>
    <w:rsid w:val="00F85863"/>
    <w:rsid w:val="00F86AE5"/>
    <w:rsid w:val="00F87335"/>
    <w:rsid w:val="00F9377F"/>
    <w:rsid w:val="00F937D7"/>
    <w:rsid w:val="00F95182"/>
    <w:rsid w:val="00F96577"/>
    <w:rsid w:val="00F965C2"/>
    <w:rsid w:val="00FA35D6"/>
    <w:rsid w:val="00FA431F"/>
    <w:rsid w:val="00FA6269"/>
    <w:rsid w:val="00FB1C5B"/>
    <w:rsid w:val="00FB2353"/>
    <w:rsid w:val="00FB2A57"/>
    <w:rsid w:val="00FB2C2B"/>
    <w:rsid w:val="00FB40BB"/>
    <w:rsid w:val="00FB5C69"/>
    <w:rsid w:val="00FB6D76"/>
    <w:rsid w:val="00FB6DEC"/>
    <w:rsid w:val="00FB7BE1"/>
    <w:rsid w:val="00FC1320"/>
    <w:rsid w:val="00FC1FCC"/>
    <w:rsid w:val="00FC2328"/>
    <w:rsid w:val="00FC40E3"/>
    <w:rsid w:val="00FC45FA"/>
    <w:rsid w:val="00FC59C3"/>
    <w:rsid w:val="00FD0905"/>
    <w:rsid w:val="00FD1E34"/>
    <w:rsid w:val="00FD260C"/>
    <w:rsid w:val="00FD3AFE"/>
    <w:rsid w:val="00FD57FE"/>
    <w:rsid w:val="00FD75B6"/>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A298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242180644">
      <w:bodyDiv w:val="1"/>
      <w:marLeft w:val="0"/>
      <w:marRight w:val="0"/>
      <w:marTop w:val="0"/>
      <w:marBottom w:val="0"/>
      <w:divBdr>
        <w:top w:val="none" w:sz="0" w:space="0" w:color="auto"/>
        <w:left w:val="none" w:sz="0" w:space="0" w:color="auto"/>
        <w:bottom w:val="none" w:sz="0" w:space="0" w:color="auto"/>
        <w:right w:val="none" w:sz="0" w:space="0" w:color="auto"/>
      </w:divBdr>
    </w:div>
    <w:div w:id="303587294">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079862847">
      <w:bodyDiv w:val="1"/>
      <w:marLeft w:val="0"/>
      <w:marRight w:val="0"/>
      <w:marTop w:val="0"/>
      <w:marBottom w:val="0"/>
      <w:divBdr>
        <w:top w:val="none" w:sz="0" w:space="0" w:color="auto"/>
        <w:left w:val="none" w:sz="0" w:space="0" w:color="auto"/>
        <w:bottom w:val="none" w:sz="0" w:space="0" w:color="auto"/>
        <w:right w:val="none" w:sz="0" w:space="0" w:color="auto"/>
      </w:divBdr>
    </w:div>
    <w:div w:id="1099789740">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14B7E"/>
    <w:rsid w:val="001709A0"/>
    <w:rsid w:val="0017534D"/>
    <w:rsid w:val="001812DA"/>
    <w:rsid w:val="00203AE7"/>
    <w:rsid w:val="00225A57"/>
    <w:rsid w:val="0026175E"/>
    <w:rsid w:val="00263310"/>
    <w:rsid w:val="002A7A72"/>
    <w:rsid w:val="0034492F"/>
    <w:rsid w:val="00371CDB"/>
    <w:rsid w:val="00386571"/>
    <w:rsid w:val="00392A2C"/>
    <w:rsid w:val="003950D4"/>
    <w:rsid w:val="003C0BBF"/>
    <w:rsid w:val="003C5049"/>
    <w:rsid w:val="003D0B21"/>
    <w:rsid w:val="00403BEA"/>
    <w:rsid w:val="00440C5F"/>
    <w:rsid w:val="00471EA9"/>
    <w:rsid w:val="004F599B"/>
    <w:rsid w:val="004F5F28"/>
    <w:rsid w:val="00584FEE"/>
    <w:rsid w:val="005F328B"/>
    <w:rsid w:val="00654D47"/>
    <w:rsid w:val="006B2732"/>
    <w:rsid w:val="006C7A18"/>
    <w:rsid w:val="006F469E"/>
    <w:rsid w:val="00716477"/>
    <w:rsid w:val="00737ED2"/>
    <w:rsid w:val="00777A49"/>
    <w:rsid w:val="0079367C"/>
    <w:rsid w:val="007B57B0"/>
    <w:rsid w:val="00845628"/>
    <w:rsid w:val="00847C05"/>
    <w:rsid w:val="008A5A7C"/>
    <w:rsid w:val="008B5208"/>
    <w:rsid w:val="008C71EE"/>
    <w:rsid w:val="008E0891"/>
    <w:rsid w:val="008F7155"/>
    <w:rsid w:val="00935B01"/>
    <w:rsid w:val="00961A9D"/>
    <w:rsid w:val="00970887"/>
    <w:rsid w:val="00976717"/>
    <w:rsid w:val="00980687"/>
    <w:rsid w:val="00995DB1"/>
    <w:rsid w:val="009B7D00"/>
    <w:rsid w:val="00A05E28"/>
    <w:rsid w:val="00A079C8"/>
    <w:rsid w:val="00A42DC2"/>
    <w:rsid w:val="00AC22D7"/>
    <w:rsid w:val="00B044ED"/>
    <w:rsid w:val="00B15A92"/>
    <w:rsid w:val="00B16694"/>
    <w:rsid w:val="00B67ACD"/>
    <w:rsid w:val="00B77DBC"/>
    <w:rsid w:val="00C27C1D"/>
    <w:rsid w:val="00C34D63"/>
    <w:rsid w:val="00C5226F"/>
    <w:rsid w:val="00CF066E"/>
    <w:rsid w:val="00CF5F9A"/>
    <w:rsid w:val="00D064D5"/>
    <w:rsid w:val="00D103B8"/>
    <w:rsid w:val="00D328F9"/>
    <w:rsid w:val="00D456A5"/>
    <w:rsid w:val="00DE5B47"/>
    <w:rsid w:val="00E21375"/>
    <w:rsid w:val="00E66385"/>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B766-20E1-4E86-8A36-F884807C8EB7}">
  <ds:schemaRefs>
    <ds:schemaRef ds:uri="http://schemas.openxmlformats.org/officeDocument/2006/bibliography"/>
  </ds:schemaRefs>
</ds:datastoreItem>
</file>

<file path=customXml/itemProps2.xml><?xml version="1.0" encoding="utf-8"?>
<ds:datastoreItem xmlns:ds="http://schemas.openxmlformats.org/officeDocument/2006/customXml" ds:itemID="{12136AFB-99A1-4F04-9685-5F8AC1C6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Emma O'Hara</cp:lastModifiedBy>
  <cp:revision>2</cp:revision>
  <cp:lastPrinted>2019-09-10T15:34:00Z</cp:lastPrinted>
  <dcterms:created xsi:type="dcterms:W3CDTF">2022-08-08T08:35:00Z</dcterms:created>
  <dcterms:modified xsi:type="dcterms:W3CDTF">2022-08-08T08:35:00Z</dcterms:modified>
</cp:coreProperties>
</file>