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63" w:rsidRDefault="00B76263" w:rsidP="00B76263">
      <w:r>
        <w:rPr>
          <w:noProof/>
          <w:lang w:eastAsia="en-GB"/>
        </w:rPr>
        <w:drawing>
          <wp:anchor distT="0" distB="0" distL="114300" distR="114300" simplePos="0" relativeHeight="251659264" behindDoc="0" locked="0" layoutInCell="1" allowOverlap="1" wp14:anchorId="562F9187" wp14:editId="79EECA32">
            <wp:simplePos x="0" y="0"/>
            <wp:positionH relativeFrom="column">
              <wp:posOffset>0</wp:posOffset>
            </wp:positionH>
            <wp:positionV relativeFrom="paragraph">
              <wp:posOffset>0</wp:posOffset>
            </wp:positionV>
            <wp:extent cx="763905" cy="1008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p>
    <w:p w:rsidR="00B76263" w:rsidRPr="00C4741D" w:rsidRDefault="00B76263" w:rsidP="00B76263">
      <w:pPr>
        <w:jc w:val="right"/>
      </w:pPr>
    </w:p>
    <w:p w:rsidR="00B76263" w:rsidRPr="00C4741D" w:rsidRDefault="00B76263" w:rsidP="00B76263"/>
    <w:p w:rsidR="00B76263" w:rsidRPr="00C4741D" w:rsidRDefault="00B76263" w:rsidP="00B76263"/>
    <w:p w:rsidR="00B76263" w:rsidRPr="00C4741D" w:rsidRDefault="00B76263" w:rsidP="00B76263">
      <w:pPr>
        <w:tabs>
          <w:tab w:val="left" w:pos="1070"/>
        </w:tabs>
        <w:rPr>
          <w:rFonts w:ascii="Trebuchet MS" w:hAnsi="Trebuchet MS"/>
          <w:b/>
          <w:sz w:val="40"/>
          <w:szCs w:val="40"/>
        </w:rPr>
      </w:pPr>
      <w:r>
        <w:rPr>
          <w:rFonts w:ascii="Trebuchet MS" w:hAnsi="Trebuchet MS"/>
          <w:b/>
          <w:color w:val="FF0000"/>
          <w:sz w:val="40"/>
          <w:szCs w:val="40"/>
        </w:rPr>
        <w:t>APPROVED</w:t>
      </w:r>
      <w:r w:rsidRPr="004C7716">
        <w:rPr>
          <w:rFonts w:ascii="Trebuchet MS" w:hAnsi="Trebuchet MS"/>
          <w:b/>
          <w:sz w:val="40"/>
          <w:szCs w:val="40"/>
        </w:rPr>
        <w:t xml:space="preserve"> MINUTE OF MEETING OF THE </w:t>
      </w:r>
      <w:r>
        <w:rPr>
          <w:rFonts w:ascii="Trebuchet MS" w:hAnsi="Trebuchet MS"/>
          <w:b/>
          <w:sz w:val="40"/>
          <w:szCs w:val="40"/>
        </w:rPr>
        <w:t>LEGAL ASSISTANCE POLICY COMMITTEE</w:t>
      </w:r>
      <w:r w:rsidRPr="004C7716">
        <w:rPr>
          <w:rFonts w:ascii="Trebuchet MS" w:hAnsi="Trebuchet MS"/>
          <w:b/>
          <w:sz w:val="40"/>
          <w:szCs w:val="40"/>
        </w:rPr>
        <w:t xml:space="preserve"> </w:t>
      </w:r>
      <w:r>
        <w:rPr>
          <w:rFonts w:ascii="Trebuchet MS" w:hAnsi="Trebuchet MS"/>
          <w:b/>
          <w:sz w:val="40"/>
          <w:szCs w:val="40"/>
        </w:rPr>
        <w:br/>
      </w:r>
      <w:r w:rsidR="00F6037E">
        <w:rPr>
          <w:rFonts w:ascii="Trebuchet MS" w:hAnsi="Trebuchet MS"/>
          <w:b/>
          <w:sz w:val="32"/>
          <w:szCs w:val="32"/>
        </w:rPr>
        <w:t>Monday 15 August</w:t>
      </w:r>
      <w:r w:rsidRPr="00C4741D">
        <w:rPr>
          <w:rFonts w:ascii="Trebuchet MS" w:hAnsi="Trebuchet MS"/>
          <w:b/>
          <w:sz w:val="32"/>
          <w:szCs w:val="32"/>
        </w:rPr>
        <w:t xml:space="preserve">, </w:t>
      </w:r>
      <w:r w:rsidR="00F6037E">
        <w:rPr>
          <w:rFonts w:ascii="Trebuchet MS" w:hAnsi="Trebuchet MS"/>
          <w:b/>
          <w:sz w:val="32"/>
          <w:szCs w:val="32"/>
        </w:rPr>
        <w:t>11:30a</w:t>
      </w:r>
      <w:r>
        <w:rPr>
          <w:rFonts w:ascii="Trebuchet MS" w:hAnsi="Trebuchet MS"/>
          <w:b/>
          <w:sz w:val="32"/>
          <w:szCs w:val="32"/>
        </w:rPr>
        <w:t xml:space="preserve">m </w:t>
      </w:r>
    </w:p>
    <w:p w:rsidR="00B76263" w:rsidRDefault="00B76263" w:rsidP="00B76263">
      <w:pPr>
        <w:tabs>
          <w:tab w:val="left" w:pos="2040"/>
        </w:tabs>
      </w:pPr>
      <w:r w:rsidRPr="00C4741D">
        <w:rPr>
          <w:b/>
          <w:noProof/>
          <w:color w:val="2758A8"/>
          <w:lang w:eastAsia="en-GB"/>
        </w:rPr>
        <mc:AlternateContent>
          <mc:Choice Requires="wps">
            <w:drawing>
              <wp:anchor distT="36575" distB="36575" distL="36576" distR="36576" simplePos="0" relativeHeight="251660288" behindDoc="0" locked="0" layoutInCell="1" allowOverlap="1" wp14:anchorId="58CFDE6B" wp14:editId="39948B42">
                <wp:simplePos x="0" y="0"/>
                <wp:positionH relativeFrom="margin">
                  <wp:align>left</wp:align>
                </wp:positionH>
                <wp:positionV relativeFrom="paragraph">
                  <wp:posOffset>151130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9443B5" id="_x0000_t32" coordsize="21600,21600" o:spt="32" o:oned="t" path="m,l21600,21600e" filled="f">
                <v:path arrowok="t" fillok="f" o:connecttype="none"/>
                <o:lock v:ext="edit" shapetype="t"/>
              </v:shapetype>
              <v:shape id="Straight Arrow Connector 8" o:spid="_x0000_s1026" type="#_x0000_t32" style="position:absolute;margin-left:0;margin-top:11.9pt;width:529.5pt;height:0;z-index:251660288;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fngIAAIMFAAAOAAAAZHJzL2Uyb0RvYy54bWysVE2PmzAQvVfqf7B8Z/kIhAQtWWUJ6WXb&#10;rpStenawCVbBRrYTElX97x07Cd1sL1W1HJC/5vnNmze+fzh2LTowpbkUOQ7vAoyYqCTlYpfjby9r&#10;b4aRNkRQ0krBcnxiGj8sPn64H/qMRbKRLWUKAYjQ2dDnuDGmz3xfVw3riL6TPROwWUvVEQNTtfOp&#10;IgOgd60fBcHUH6SivZIV0xpWV+dNvHD4dc0q87WuNTOozTFwM+6v3H9r//7inmQ7RfqGVxca5D9Y&#10;dIQLuHSEWhFD0F7xv6A6XimpZW3uKtn5sq55xVwOkE0YvMlm05CeuVxAHN2PMun3g62+HJ4V4jTH&#10;UChBOijRxijCd41BS6XkgAopBMgoFZpZtYZeZxBUiGdl862OYtM/yeqHRkIWDRE75li/nHqACm2E&#10;fxNiJ7qHO7fDZ0nhDNkb6aQ71qqzkCAKOroKncYKsaNBFSxO0yieJlDI6rrnk+wa2CttPjHZITvI&#10;sb7kMSYQumvI4UkbS4tk1wB7q5Br3rbODq1AQ47nSZS4AC1bTu2mPabVblu0Ch0IGCpKk9nSqQJg&#10;N8eU3AvqwBpGaHkZG8Lb8xjOt8LiMefRMyOYHQ0M3Tok7Pzzcx7My1k5i704mpZeHKxW3nJdxN50&#10;HabJarIqilX4yxIN46zhlDJhuV69HMb/5pVLV51dOLp5FMW/RXfqAdlbpst1EqTxZOalaTLx4kkZ&#10;eI+zdeEti3A6TcvH4rF8w7R02ev3ITtKaVnJvWFq09ABUW7NMEnmUYhhAr0fpYH9MCLtDh6tyiiM&#10;lDTfuWmcd63rLMZNrcuyLMqzn1+hn4W41tDOxipccvsjFdT8Wl/XErYLzv20lfT0rK6tAp3ugi6v&#10;kn1KXs9h/PrtXPwGAAD//wMAUEsDBBQABgAIAAAAIQAmDE1u3AAAAAcBAAAPAAAAZHJzL2Rvd25y&#10;ZXYueG1sTI/NTsMwEITvSH0HaytxQdSh/IU0TlWhcuBQEIUHcONtkhKvI9tJ07dnKw5wnJnVzLf5&#10;crStGNCHxpGCm1kCAql0pqFKwdfny3UKIkRNRreOUMEJAyyLyUWuM+OO9IHDNlaCSyhkWkEdY5dJ&#10;GcoarQ4z1yFxtnfe6sjSV9J4feRy28p5kjxIqxvihVp3+Fxj+b3trYJ1+j5c+cf+bv1q31anuEkP&#10;3b5U6nI6rhYgIo7x7xjO+IwOBTPtXE8miFYBPxIVzG+Z/5wm90/s7H4dWeTyP3/xAwAA//8DAFBL&#10;AQItABQABgAIAAAAIQC2gziS/gAAAOEBAAATAAAAAAAAAAAAAAAAAAAAAABbQ29udGVudF9UeXBl&#10;c10ueG1sUEsBAi0AFAAGAAgAAAAhADj9If/WAAAAlAEAAAsAAAAAAAAAAAAAAAAALwEAAF9yZWxz&#10;Ly5yZWxzUEsBAi0AFAAGAAgAAAAhAA42KZ+eAgAAgwUAAA4AAAAAAAAAAAAAAAAALgIAAGRycy9l&#10;Mm9Eb2MueG1sUEsBAi0AFAAGAAgAAAAhACYMTW7cAAAABwEAAA8AAAAAAAAAAAAAAAAA+AQAAGRy&#10;cy9kb3ducmV2LnhtbFBLBQYAAAAABAAEAPMAAAABBgAAAAA=&#10;" strokecolor="#2758a8">
                <v:shadow color="#eeece1"/>
                <w10:wrap anchorx="margin"/>
              </v:shape>
            </w:pict>
          </mc:Fallback>
        </mc:AlternateContent>
      </w:r>
    </w:p>
    <w:p w:rsidR="00B76263" w:rsidRDefault="00B76263" w:rsidP="00B76263">
      <w:pPr>
        <w:tabs>
          <w:tab w:val="left" w:pos="2040"/>
        </w:tabs>
        <w:rPr>
          <w:rFonts w:ascii="Trebuchet MS" w:hAnsi="Trebuchet MS"/>
          <w:b/>
          <w:color w:val="2758A8"/>
          <w:sz w:val="40"/>
          <w:szCs w:val="40"/>
        </w:rPr>
      </w:pPr>
      <w:r w:rsidRPr="00C4741D">
        <w:rPr>
          <w:b/>
          <w:noProof/>
          <w:color w:val="2758A8"/>
          <w:lang w:eastAsia="en-GB"/>
        </w:rPr>
        <mc:AlternateContent>
          <mc:Choice Requires="wps">
            <w:drawing>
              <wp:anchor distT="36575" distB="36575" distL="36576" distR="36576" simplePos="0" relativeHeight="251661312" behindDoc="0" locked="0" layoutInCell="1" allowOverlap="1" wp14:anchorId="12AF3B65" wp14:editId="6786520D">
                <wp:simplePos x="0" y="0"/>
                <wp:positionH relativeFrom="margin">
                  <wp:align>left</wp:align>
                </wp:positionH>
                <wp:positionV relativeFrom="paragraph">
                  <wp:posOffset>367665</wp:posOffset>
                </wp:positionV>
                <wp:extent cx="67246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8D00EE" id="Straight Arrow Connector 2" o:spid="_x0000_s1026" type="#_x0000_t32" style="position:absolute;margin-left:0;margin-top:28.95pt;width:529.5pt;height:0;z-index:251661312;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HkoAIAAIMFAAAOAAAAZHJzL2Uyb0RvYy54bWysVE2PmzAQvVfqf7B8Z/kIhAQtWWUJ6WXb&#10;rpStenawCVbBRrYTsqr63zt2EppsL1W1HCyPzbx5M/PG9w/HrkUHpjSXIsfhXYARE5WkXOxy/O1l&#10;7c0w0oYISlopWI5fmcYPi48f7oc+Y5FsZEuZQgAidDb0OW6M6TPf11XDOqLvZM8EXNZSdcSAqXY+&#10;VWQA9K71oyCY+oNUtFeyYlrD6ep0iRcOv65ZZb7WtWYGtTkGbsatyq1bu/qLe5LtFOkbXp1pkP9g&#10;0REuIOgItSKGoL3if0F1vFJSy9rcVbLzZV3zirkcIJsweJPNpiE9c7lAcXQ/lkm/H2z15fCsEKc5&#10;jjASpIMWbYwifNcYtFRKDqiQQkAZpUKRrdbQ6wycCvGsbL7VUWz6J1n90EjIoiFixxzrl9ceoELr&#10;4d+4WEP3EHM7fJYU/iF7I13pjrXqLCQUBR1dh17HDrGjQRUcTtMonibQyOpy55Ps4tgrbT4x2SG7&#10;ybE+5zEmELow5PCkjaVFsouDjSrkmretk0Mr0JDjeRIlzkHLllN7aX/TarctWoUOBAQVpclsOXM5&#10;ws31b0ruBXVgDSO0PO8N4e1pD8FbYfGY0+iJEVhHA1t3Dgk7/fycB/NyVs5iL46mpRcHq5W3XBex&#10;N12HabKarIpiFf6yRMM4azilTFiuFy2H8b9p5TxVJxWOah6L4t+iu+oB2Vumy3USpPFk5qVpMvHi&#10;SRl4j7N14S2LcDpNy8fisXzDtHTZ6/chO5bSspJ7w9SmoQOi3IphksyjEIMBsx+lgf0wIu0OHq3K&#10;KIyUNN+5aZx2reosxk2vy7IsypOer9BPhbj00FpjF865/SkV9PzSXzcSdgpO87SV9PVZXUYFJt05&#10;nV8l+5Rc27C/fjsXvwEAAP//AwBQSwMEFAAGAAgAAAAhADU/K3fdAAAABwEAAA8AAABkcnMvZG93&#10;bnJldi54bWxMj8FOwzAQRO9I/Qdrkbgg6oAoTUM2VYXKgUNBFD7AjbdJaLyObCdN/x5XPcBxZlYz&#10;b/PlaFoxkPONZYT7aQKCuLS64Qrh++v1LgXhg2KtWsuEcCIPy2JylatM2yN/0rANlYgl7DOFUIfQ&#10;ZVL6siaj/NR2xDHbW2dUiNJVUjt1jOWmlQ9J8iSNajgu1Kqjl5rKw7Y3COv0Y7h18/5x/WbeV6ew&#10;SX+6fYl4cz2unkEEGsPfMZzxIzoUkWlne9ZetAjxkYAwmy9AnNNktojO7uLIIpf/+YtfAAAA//8D&#10;AFBLAQItABQABgAIAAAAIQC2gziS/gAAAOEBAAATAAAAAAAAAAAAAAAAAAAAAABbQ29udGVudF9U&#10;eXBlc10ueG1sUEsBAi0AFAAGAAgAAAAhADj9If/WAAAAlAEAAAsAAAAAAAAAAAAAAAAALwEAAF9y&#10;ZWxzLy5yZWxzUEsBAi0AFAAGAAgAAAAhAINqYeSgAgAAgwUAAA4AAAAAAAAAAAAAAAAALgIAAGRy&#10;cy9lMm9Eb2MueG1sUEsBAi0AFAAGAAgAAAAhADU/K3fdAAAABwEAAA8AAAAAAAAAAAAAAAAA+gQA&#10;AGRycy9kb3ducmV2LnhtbFBLBQYAAAAABAAEAPMAAAAEBgAAAAA=&#10;" strokecolor="#2758a8">
                <v:shadow color="#eeece1"/>
                <w10:wrap anchorx="margin"/>
              </v:shape>
            </w:pict>
          </mc:Fallback>
        </mc:AlternateContent>
      </w:r>
      <w:r>
        <w:rPr>
          <w:rFonts w:ascii="Trebuchet MS" w:hAnsi="Trebuchet MS"/>
          <w:b/>
          <w:color w:val="2758A8"/>
          <w:sz w:val="40"/>
          <w:szCs w:val="40"/>
        </w:rPr>
        <w:t>Minute</w:t>
      </w:r>
    </w:p>
    <w:p w:rsidR="00B76263" w:rsidRPr="00F6037E" w:rsidRDefault="00B76263" w:rsidP="00F6037E">
      <w:pPr>
        <w:tabs>
          <w:tab w:val="left" w:pos="4230"/>
        </w:tabs>
        <w:rPr>
          <w:rFonts w:ascii="Trebuchet MS" w:hAnsi="Trebuchet MS"/>
          <w:sz w:val="24"/>
          <w:szCs w:val="24"/>
        </w:rPr>
      </w:pPr>
      <w:r w:rsidRPr="004C7716">
        <w:rPr>
          <w:rFonts w:ascii="Trebuchet MS" w:hAnsi="Trebuchet MS"/>
          <w:b/>
          <w:sz w:val="24"/>
          <w:szCs w:val="24"/>
        </w:rPr>
        <w:t>Present</w:t>
      </w:r>
      <w:r>
        <w:rPr>
          <w:rFonts w:ascii="Trebuchet MS" w:hAnsi="Trebuchet MS"/>
          <w:b/>
          <w:sz w:val="24"/>
          <w:szCs w:val="24"/>
        </w:rPr>
        <w:t xml:space="preserve"> </w:t>
      </w:r>
      <w:r>
        <w:rPr>
          <w:rFonts w:ascii="Trebuchet MS" w:hAnsi="Trebuchet MS"/>
          <w:b/>
          <w:sz w:val="24"/>
          <w:szCs w:val="24"/>
        </w:rPr>
        <w:br/>
      </w:r>
      <w:r w:rsidR="00F6037E">
        <w:rPr>
          <w:rFonts w:ascii="Trebuchet MS" w:hAnsi="Trebuchet MS"/>
          <w:sz w:val="24"/>
          <w:szCs w:val="24"/>
        </w:rPr>
        <w:t xml:space="preserve">Raymond McMenamin (Chair) </w:t>
      </w:r>
      <w:r w:rsidR="00F6037E">
        <w:rPr>
          <w:rFonts w:ascii="Trebuchet MS" w:hAnsi="Trebuchet MS"/>
          <w:sz w:val="24"/>
          <w:szCs w:val="24"/>
        </w:rPr>
        <w:br/>
        <w:t>Ray Macfarlane</w:t>
      </w:r>
      <w:r w:rsidR="00F6037E">
        <w:rPr>
          <w:rFonts w:ascii="Trebuchet MS" w:hAnsi="Trebuchet MS"/>
          <w:sz w:val="24"/>
          <w:szCs w:val="24"/>
        </w:rPr>
        <w:br/>
        <w:t>Marieke Dwarshuis</w:t>
      </w:r>
      <w:r w:rsidR="00F6037E">
        <w:rPr>
          <w:rFonts w:ascii="Trebuchet MS" w:hAnsi="Trebuchet MS"/>
          <w:sz w:val="24"/>
          <w:szCs w:val="24"/>
        </w:rPr>
        <w:tab/>
      </w:r>
      <w:r w:rsidR="00F6037E">
        <w:rPr>
          <w:rFonts w:ascii="Trebuchet MS" w:hAnsi="Trebuchet MS"/>
          <w:sz w:val="24"/>
          <w:szCs w:val="24"/>
        </w:rPr>
        <w:tab/>
      </w:r>
      <w:r w:rsidR="00F6037E">
        <w:rPr>
          <w:rFonts w:ascii="Trebuchet MS" w:hAnsi="Trebuchet MS"/>
          <w:sz w:val="24"/>
          <w:szCs w:val="24"/>
        </w:rPr>
        <w:tab/>
      </w:r>
      <w:r w:rsidR="00F6037E">
        <w:rPr>
          <w:rFonts w:ascii="Trebuchet MS" w:hAnsi="Trebuchet MS"/>
          <w:sz w:val="24"/>
          <w:szCs w:val="24"/>
        </w:rPr>
        <w:br/>
        <w:t>Stephen Humphreys</w:t>
      </w:r>
      <w:r w:rsidR="00F6037E">
        <w:rPr>
          <w:rFonts w:ascii="Trebuchet MS" w:hAnsi="Trebuchet MS"/>
          <w:sz w:val="24"/>
          <w:szCs w:val="24"/>
        </w:rPr>
        <w:br/>
        <w:t>Sarah O’Neill</w:t>
      </w:r>
      <w:r w:rsidR="00F6037E">
        <w:rPr>
          <w:rFonts w:ascii="Trebuchet MS" w:hAnsi="Trebuchet MS"/>
          <w:sz w:val="24"/>
          <w:szCs w:val="24"/>
        </w:rPr>
        <w:br/>
      </w:r>
      <w:r w:rsidR="00F6037E" w:rsidRPr="00F6037E">
        <w:rPr>
          <w:rFonts w:ascii="Trebuchet MS" w:hAnsi="Trebuchet MS"/>
          <w:sz w:val="24"/>
          <w:szCs w:val="24"/>
        </w:rPr>
        <w:t>Gerry Bann</w:t>
      </w:r>
    </w:p>
    <w:p w:rsidR="00B76263" w:rsidRDefault="00B76263" w:rsidP="00F6037E">
      <w:pPr>
        <w:tabs>
          <w:tab w:val="left" w:pos="4230"/>
        </w:tabs>
        <w:rPr>
          <w:rFonts w:ascii="Trebuchet MS" w:hAnsi="Trebuchet MS"/>
          <w:sz w:val="24"/>
          <w:szCs w:val="24"/>
        </w:rPr>
      </w:pPr>
      <w:r w:rsidRPr="006876CC">
        <w:rPr>
          <w:rFonts w:ascii="Trebuchet MS" w:hAnsi="Trebuchet MS"/>
          <w:b/>
          <w:sz w:val="24"/>
          <w:szCs w:val="24"/>
        </w:rPr>
        <w:t>In attendance</w:t>
      </w:r>
      <w:r w:rsidRPr="008D17FD">
        <w:rPr>
          <w:b/>
        </w:rPr>
        <w:t xml:space="preserve"> </w:t>
      </w:r>
      <w:r w:rsidRPr="008D17FD">
        <w:br/>
      </w:r>
      <w:r w:rsidR="00F6037E">
        <w:rPr>
          <w:rFonts w:ascii="Trebuchet MS" w:hAnsi="Trebuchet MS"/>
          <w:sz w:val="24"/>
          <w:szCs w:val="24"/>
        </w:rPr>
        <w:t>Colin Lancaster Chief Executive</w:t>
      </w:r>
      <w:r w:rsidR="00F6037E">
        <w:rPr>
          <w:rFonts w:ascii="Trebuchet MS" w:hAnsi="Trebuchet MS"/>
          <w:sz w:val="24"/>
          <w:szCs w:val="24"/>
        </w:rPr>
        <w:br/>
      </w:r>
      <w:r w:rsidR="00F6037E" w:rsidRPr="00F6037E">
        <w:rPr>
          <w:rFonts w:ascii="Trebuchet MS" w:hAnsi="Trebuchet MS"/>
          <w:sz w:val="24"/>
          <w:szCs w:val="24"/>
        </w:rPr>
        <w:t>Marie-Louise Fox, Di</w:t>
      </w:r>
      <w:r w:rsidR="00F6037E">
        <w:rPr>
          <w:rFonts w:ascii="Trebuchet MS" w:hAnsi="Trebuchet MS"/>
          <w:sz w:val="24"/>
          <w:szCs w:val="24"/>
        </w:rPr>
        <w:t>rector of Strategic Development</w:t>
      </w:r>
      <w:r w:rsidR="00F6037E">
        <w:rPr>
          <w:rFonts w:ascii="Trebuchet MS" w:hAnsi="Trebuchet MS"/>
          <w:sz w:val="24"/>
          <w:szCs w:val="24"/>
        </w:rPr>
        <w:br/>
      </w:r>
      <w:r w:rsidR="00F6037E" w:rsidRPr="00F6037E">
        <w:rPr>
          <w:rFonts w:ascii="Trebuchet MS" w:hAnsi="Trebuchet MS"/>
          <w:sz w:val="24"/>
          <w:szCs w:val="24"/>
        </w:rPr>
        <w:t>Ian D</w:t>
      </w:r>
      <w:r w:rsidR="00F6037E">
        <w:rPr>
          <w:rFonts w:ascii="Trebuchet MS" w:hAnsi="Trebuchet MS"/>
          <w:sz w:val="24"/>
          <w:szCs w:val="24"/>
        </w:rPr>
        <w:t>ickson, Principal Legal Advisor</w:t>
      </w:r>
      <w:r w:rsidR="00F6037E">
        <w:rPr>
          <w:rFonts w:ascii="Trebuchet MS" w:hAnsi="Trebuchet MS"/>
          <w:sz w:val="24"/>
          <w:szCs w:val="24"/>
        </w:rPr>
        <w:br/>
      </w:r>
      <w:r w:rsidR="00F6037E" w:rsidRPr="00F6037E">
        <w:rPr>
          <w:rFonts w:ascii="Trebuchet MS" w:hAnsi="Trebuchet MS"/>
          <w:sz w:val="24"/>
          <w:szCs w:val="24"/>
        </w:rPr>
        <w:t>Ad</w:t>
      </w:r>
      <w:r w:rsidR="00F6037E">
        <w:rPr>
          <w:rFonts w:ascii="Trebuchet MS" w:hAnsi="Trebuchet MS"/>
          <w:sz w:val="24"/>
          <w:szCs w:val="24"/>
        </w:rPr>
        <w:t>am Ford, Director of Operations</w:t>
      </w:r>
      <w:r w:rsidR="00F6037E">
        <w:rPr>
          <w:rFonts w:ascii="Trebuchet MS" w:hAnsi="Trebuchet MS"/>
          <w:sz w:val="24"/>
          <w:szCs w:val="24"/>
        </w:rPr>
        <w:br/>
      </w:r>
      <w:r w:rsidR="00F6037E" w:rsidRPr="00F6037E">
        <w:rPr>
          <w:rFonts w:ascii="Trebuchet MS" w:hAnsi="Trebuchet MS"/>
          <w:sz w:val="24"/>
          <w:szCs w:val="24"/>
        </w:rPr>
        <w:t xml:space="preserve">Linda Ross, </w:t>
      </w:r>
      <w:r w:rsidR="00F6037E">
        <w:rPr>
          <w:rFonts w:ascii="Trebuchet MS" w:hAnsi="Trebuchet MS"/>
          <w:sz w:val="24"/>
          <w:szCs w:val="24"/>
        </w:rPr>
        <w:t>Director of Corporate Services</w:t>
      </w:r>
      <w:r w:rsidR="00F6037E">
        <w:rPr>
          <w:rFonts w:ascii="Trebuchet MS" w:hAnsi="Trebuchet MS"/>
          <w:sz w:val="24"/>
          <w:szCs w:val="24"/>
        </w:rPr>
        <w:tab/>
      </w:r>
      <w:r w:rsidR="00F6037E">
        <w:rPr>
          <w:rFonts w:ascii="Trebuchet MS" w:hAnsi="Trebuchet MS"/>
          <w:sz w:val="24"/>
          <w:szCs w:val="24"/>
        </w:rPr>
        <w:br/>
      </w:r>
      <w:r w:rsidR="00F6037E" w:rsidRPr="00F6037E">
        <w:rPr>
          <w:rFonts w:ascii="Trebuchet MS" w:hAnsi="Trebuchet MS"/>
          <w:sz w:val="24"/>
          <w:szCs w:val="24"/>
        </w:rPr>
        <w:t>Paul Hara</w:t>
      </w:r>
      <w:r w:rsidR="00F6037E">
        <w:rPr>
          <w:rFonts w:ascii="Trebuchet MS" w:hAnsi="Trebuchet MS"/>
          <w:sz w:val="24"/>
          <w:szCs w:val="24"/>
        </w:rPr>
        <w:t>n, Director of Client Services</w:t>
      </w:r>
      <w:r w:rsidR="00F6037E">
        <w:rPr>
          <w:rFonts w:ascii="Trebuchet MS" w:hAnsi="Trebuchet MS"/>
          <w:sz w:val="24"/>
          <w:szCs w:val="24"/>
        </w:rPr>
        <w:tab/>
      </w:r>
      <w:r w:rsidR="00F6037E">
        <w:rPr>
          <w:rFonts w:ascii="Trebuchet MS" w:hAnsi="Trebuchet MS"/>
          <w:sz w:val="24"/>
          <w:szCs w:val="24"/>
        </w:rPr>
        <w:br/>
      </w:r>
      <w:r w:rsidR="00F6037E" w:rsidRPr="00F6037E">
        <w:rPr>
          <w:rFonts w:ascii="Trebuchet MS" w:hAnsi="Trebuchet MS"/>
          <w:sz w:val="24"/>
          <w:szCs w:val="24"/>
        </w:rPr>
        <w:t>Andy McIn</w:t>
      </w:r>
      <w:r w:rsidR="00F6037E">
        <w:rPr>
          <w:rFonts w:ascii="Trebuchet MS" w:hAnsi="Trebuchet MS"/>
          <w:sz w:val="24"/>
          <w:szCs w:val="24"/>
        </w:rPr>
        <w:t>tosh, Corporate Support Manager</w:t>
      </w:r>
      <w:r w:rsidR="00F6037E">
        <w:rPr>
          <w:rFonts w:ascii="Trebuchet MS" w:hAnsi="Trebuchet MS"/>
          <w:sz w:val="24"/>
          <w:szCs w:val="24"/>
        </w:rPr>
        <w:br/>
      </w:r>
      <w:r w:rsidR="00F6037E" w:rsidRPr="00F6037E">
        <w:rPr>
          <w:rFonts w:ascii="Trebuchet MS" w:hAnsi="Trebuchet MS"/>
          <w:sz w:val="24"/>
          <w:szCs w:val="24"/>
        </w:rPr>
        <w:t>Sarah Lynchehaun, Corporat</w:t>
      </w:r>
      <w:r w:rsidR="00F6037E">
        <w:rPr>
          <w:rFonts w:ascii="Trebuchet MS" w:hAnsi="Trebuchet MS"/>
          <w:sz w:val="24"/>
          <w:szCs w:val="24"/>
        </w:rPr>
        <w:t>e Governance and Policy Officer</w:t>
      </w:r>
      <w:r w:rsidR="00F6037E">
        <w:rPr>
          <w:rFonts w:ascii="Trebuchet MS" w:hAnsi="Trebuchet MS"/>
          <w:sz w:val="24"/>
          <w:szCs w:val="24"/>
        </w:rPr>
        <w:br/>
      </w:r>
      <w:r w:rsidR="00F6037E" w:rsidRPr="00F6037E">
        <w:rPr>
          <w:rFonts w:ascii="Trebuchet MS" w:hAnsi="Trebuchet MS"/>
          <w:sz w:val="24"/>
          <w:szCs w:val="24"/>
        </w:rPr>
        <w:t>Hazel Thoms,</w:t>
      </w:r>
      <w:r w:rsidR="00F6037E">
        <w:rPr>
          <w:rFonts w:ascii="Trebuchet MS" w:hAnsi="Trebuchet MS"/>
          <w:sz w:val="24"/>
          <w:szCs w:val="24"/>
        </w:rPr>
        <w:t xml:space="preserve"> Manager Policy and Development</w:t>
      </w:r>
      <w:r w:rsidR="00F6037E">
        <w:rPr>
          <w:rFonts w:ascii="Trebuchet MS" w:hAnsi="Trebuchet MS"/>
          <w:sz w:val="24"/>
          <w:szCs w:val="24"/>
        </w:rPr>
        <w:br/>
      </w:r>
      <w:r w:rsidR="00F6037E" w:rsidRPr="00F6037E">
        <w:rPr>
          <w:rFonts w:ascii="Trebuchet MS" w:hAnsi="Trebuchet MS"/>
          <w:sz w:val="24"/>
          <w:szCs w:val="24"/>
        </w:rPr>
        <w:t>Cindy</w:t>
      </w:r>
      <w:r w:rsidR="00F6037E">
        <w:rPr>
          <w:rFonts w:ascii="Trebuchet MS" w:hAnsi="Trebuchet MS"/>
          <w:sz w:val="24"/>
          <w:szCs w:val="24"/>
        </w:rPr>
        <w:t xml:space="preserve"> Morris, Manager, Civil Finance</w:t>
      </w:r>
      <w:r w:rsidR="00F6037E">
        <w:rPr>
          <w:rFonts w:ascii="Trebuchet MS" w:hAnsi="Trebuchet MS"/>
          <w:sz w:val="24"/>
          <w:szCs w:val="24"/>
        </w:rPr>
        <w:br/>
      </w:r>
      <w:r w:rsidR="00F6037E" w:rsidRPr="00F6037E">
        <w:rPr>
          <w:rFonts w:ascii="Trebuchet MS" w:hAnsi="Trebuchet MS"/>
          <w:sz w:val="24"/>
          <w:szCs w:val="24"/>
        </w:rPr>
        <w:t>Kim Blance, Senior Specialist, Civil Finance</w:t>
      </w:r>
    </w:p>
    <w:p w:rsidR="00B76263" w:rsidRPr="009B7C67" w:rsidRDefault="00B76263" w:rsidP="00B76263">
      <w:pPr>
        <w:pStyle w:val="ListParagraph"/>
        <w:numPr>
          <w:ilvl w:val="0"/>
          <w:numId w:val="2"/>
        </w:numPr>
        <w:rPr>
          <w:b/>
          <w:sz w:val="28"/>
          <w:szCs w:val="28"/>
        </w:rPr>
      </w:pPr>
      <w:r w:rsidRPr="009B7C67">
        <w:rPr>
          <w:b/>
          <w:sz w:val="28"/>
          <w:szCs w:val="28"/>
        </w:rPr>
        <w:t>Apologies for absence</w:t>
      </w:r>
    </w:p>
    <w:p w:rsidR="00B76263" w:rsidRDefault="00F6037E" w:rsidP="00B76263">
      <w:pPr>
        <w:rPr>
          <w:rFonts w:ascii="Trebuchet MS" w:hAnsi="Trebuchet MS"/>
          <w:sz w:val="24"/>
          <w:szCs w:val="24"/>
        </w:rPr>
      </w:pPr>
      <w:r w:rsidRPr="00F6037E">
        <w:rPr>
          <w:rFonts w:ascii="Trebuchet MS" w:hAnsi="Trebuchet MS"/>
          <w:sz w:val="24"/>
          <w:szCs w:val="24"/>
        </w:rPr>
        <w:t>There were no apologies.</w:t>
      </w:r>
    </w:p>
    <w:p w:rsidR="00B76263" w:rsidRPr="009B7C67" w:rsidRDefault="00B76263" w:rsidP="00B76263">
      <w:pPr>
        <w:pStyle w:val="ListParagraph"/>
        <w:numPr>
          <w:ilvl w:val="0"/>
          <w:numId w:val="2"/>
        </w:numPr>
        <w:rPr>
          <w:b/>
          <w:sz w:val="28"/>
          <w:szCs w:val="28"/>
        </w:rPr>
      </w:pPr>
      <w:r w:rsidRPr="009B7C67">
        <w:rPr>
          <w:b/>
          <w:sz w:val="28"/>
          <w:szCs w:val="28"/>
        </w:rPr>
        <w:t>Declaration of interests</w:t>
      </w:r>
    </w:p>
    <w:p w:rsidR="00B76263" w:rsidRPr="00812CEF" w:rsidRDefault="00B76263" w:rsidP="00B76263">
      <w:pPr>
        <w:rPr>
          <w:rFonts w:ascii="Trebuchet MS" w:hAnsi="Trebuchet MS"/>
          <w:sz w:val="24"/>
          <w:szCs w:val="24"/>
        </w:rPr>
      </w:pPr>
      <w:r>
        <w:rPr>
          <w:rFonts w:ascii="Trebuchet MS" w:hAnsi="Trebuchet MS"/>
          <w:sz w:val="24"/>
          <w:szCs w:val="24"/>
        </w:rPr>
        <w:t xml:space="preserve">None. </w:t>
      </w:r>
    </w:p>
    <w:p w:rsidR="00B76263" w:rsidRPr="009B7C67" w:rsidRDefault="00B76263" w:rsidP="00B76263">
      <w:pPr>
        <w:pStyle w:val="ListParagraph"/>
        <w:numPr>
          <w:ilvl w:val="0"/>
          <w:numId w:val="2"/>
        </w:numPr>
        <w:rPr>
          <w:b/>
          <w:sz w:val="28"/>
          <w:szCs w:val="28"/>
        </w:rPr>
      </w:pPr>
      <w:r w:rsidRPr="009B7C67">
        <w:rPr>
          <w:b/>
          <w:sz w:val="28"/>
          <w:szCs w:val="28"/>
        </w:rPr>
        <w:t xml:space="preserve">Draft minute of meeting of </w:t>
      </w:r>
      <w:r w:rsidR="00F6037E">
        <w:rPr>
          <w:b/>
          <w:sz w:val="28"/>
          <w:szCs w:val="28"/>
        </w:rPr>
        <w:t>4 July 2022</w:t>
      </w:r>
    </w:p>
    <w:p w:rsidR="00F6037E" w:rsidRDefault="00B76263" w:rsidP="00B76263">
      <w:pPr>
        <w:rPr>
          <w:rFonts w:ascii="Trebuchet MS" w:hAnsi="Trebuchet MS"/>
          <w:sz w:val="24"/>
          <w:szCs w:val="24"/>
        </w:rPr>
      </w:pPr>
      <w:r w:rsidRPr="00D711B1">
        <w:rPr>
          <w:rFonts w:ascii="Trebuchet MS" w:hAnsi="Trebuchet MS"/>
          <w:sz w:val="24"/>
          <w:szCs w:val="24"/>
        </w:rPr>
        <w:t>The draft minute was approved by the Committee.</w:t>
      </w:r>
      <w:r w:rsidR="00F6037E">
        <w:rPr>
          <w:rFonts w:ascii="Trebuchet MS" w:hAnsi="Trebuchet MS"/>
          <w:sz w:val="24"/>
          <w:szCs w:val="24"/>
        </w:rPr>
        <w:t xml:space="preserve"> </w:t>
      </w:r>
    </w:p>
    <w:p w:rsidR="00B76263" w:rsidRPr="009B7C67" w:rsidRDefault="00B76263" w:rsidP="00B76263">
      <w:pPr>
        <w:pStyle w:val="ListParagraph"/>
        <w:numPr>
          <w:ilvl w:val="0"/>
          <w:numId w:val="2"/>
        </w:numPr>
        <w:rPr>
          <w:b/>
          <w:sz w:val="28"/>
          <w:szCs w:val="28"/>
        </w:rPr>
      </w:pPr>
      <w:r>
        <w:rPr>
          <w:b/>
          <w:sz w:val="28"/>
          <w:szCs w:val="28"/>
        </w:rPr>
        <w:t>Reports</w:t>
      </w:r>
    </w:p>
    <w:p w:rsidR="00F6037E" w:rsidRPr="00F6037E" w:rsidRDefault="00F6037E" w:rsidP="00F6037E">
      <w:pPr>
        <w:rPr>
          <w:rFonts w:ascii="Trebuchet MS" w:hAnsi="Trebuchet MS"/>
          <w:sz w:val="24"/>
          <w:szCs w:val="24"/>
        </w:rPr>
      </w:pPr>
      <w:r>
        <w:rPr>
          <w:b/>
          <w:color w:val="2758A8"/>
          <w:sz w:val="24"/>
          <w:szCs w:val="24"/>
        </w:rPr>
        <w:br/>
      </w:r>
      <w:r w:rsidRPr="00F6037E">
        <w:rPr>
          <w:rFonts w:ascii="Trebuchet MS" w:hAnsi="Trebuchet MS"/>
          <w:b/>
          <w:color w:val="2758A8"/>
          <w:sz w:val="26"/>
          <w:szCs w:val="26"/>
        </w:rPr>
        <w:t xml:space="preserve">4.1.  </w:t>
      </w:r>
      <w:r w:rsidR="00B76263" w:rsidRPr="00F6037E">
        <w:rPr>
          <w:rFonts w:ascii="Trebuchet MS" w:hAnsi="Trebuchet MS"/>
          <w:b/>
          <w:color w:val="2758A8"/>
          <w:sz w:val="26"/>
          <w:szCs w:val="26"/>
        </w:rPr>
        <w:t xml:space="preserve">GALA: </w:t>
      </w:r>
      <w:r w:rsidRPr="00F6037E">
        <w:rPr>
          <w:rFonts w:ascii="Trebuchet MS" w:hAnsi="Trebuchet MS"/>
          <w:b/>
          <w:color w:val="2758A8"/>
          <w:sz w:val="26"/>
          <w:szCs w:val="26"/>
        </w:rPr>
        <w:t>Determining self-employed income for means assessment</w:t>
      </w:r>
      <w:r w:rsidR="00B76263" w:rsidRPr="00D711B1">
        <w:rPr>
          <w:rFonts w:ascii="Trebuchet MS" w:hAnsi="Trebuchet MS"/>
          <w:sz w:val="24"/>
          <w:szCs w:val="24"/>
        </w:rPr>
        <w:br/>
      </w:r>
      <w:r w:rsidRPr="00F6037E">
        <w:rPr>
          <w:rFonts w:ascii="Trebuchet MS" w:hAnsi="Trebuchet MS"/>
          <w:sz w:val="24"/>
          <w:szCs w:val="24"/>
        </w:rPr>
        <w:t xml:space="preserve">The purpose of the paper was to provide an overview of early consideration that the GALA project is giving to potential changes regarding how income earned through self-employment </w:t>
      </w:r>
      <w:r w:rsidRPr="00F6037E">
        <w:rPr>
          <w:rFonts w:ascii="Trebuchet MS" w:hAnsi="Trebuchet MS"/>
          <w:sz w:val="24"/>
          <w:szCs w:val="24"/>
        </w:rPr>
        <w:lastRenderedPageBreak/>
        <w:t>was determined. The paper also provided the committee with a draft outline options appraisal and consultation planned for later that year.</w:t>
      </w:r>
    </w:p>
    <w:p w:rsidR="00F6037E" w:rsidRPr="00F6037E" w:rsidRDefault="00F6037E" w:rsidP="00F6037E">
      <w:pPr>
        <w:rPr>
          <w:rFonts w:ascii="Trebuchet MS" w:hAnsi="Trebuchet MS"/>
          <w:sz w:val="24"/>
          <w:szCs w:val="24"/>
        </w:rPr>
      </w:pPr>
      <w:r w:rsidRPr="00F6037E">
        <w:rPr>
          <w:rFonts w:ascii="Trebuchet MS" w:hAnsi="Trebuchet MS"/>
          <w:sz w:val="24"/>
          <w:szCs w:val="24"/>
        </w:rPr>
        <w:t>It was noted that the assessment of the income of self-employed applicants was both a challenging and time-consuming process. It was noted that there are an increasing number of applications which featured this type of income.</w:t>
      </w:r>
    </w:p>
    <w:p w:rsidR="00F6037E" w:rsidRPr="00F6037E" w:rsidRDefault="00F6037E" w:rsidP="00F6037E">
      <w:pPr>
        <w:rPr>
          <w:rFonts w:ascii="Trebuchet MS" w:hAnsi="Trebuchet MS"/>
          <w:sz w:val="24"/>
          <w:szCs w:val="24"/>
        </w:rPr>
      </w:pPr>
      <w:r w:rsidRPr="00F6037E">
        <w:rPr>
          <w:rFonts w:ascii="Trebuchet MS" w:hAnsi="Trebuchet MS"/>
          <w:sz w:val="24"/>
          <w:szCs w:val="24"/>
        </w:rPr>
        <w:t xml:space="preserve">It was advised that the project was looking at how other organisations assessed similar income, one of which was the Child Support Agency (CSA). It was noted that other organisations appeared to face similar challenges. </w:t>
      </w:r>
    </w:p>
    <w:p w:rsidR="00F6037E" w:rsidRPr="00F6037E" w:rsidRDefault="00F6037E" w:rsidP="00F6037E">
      <w:pPr>
        <w:rPr>
          <w:rFonts w:ascii="Trebuchet MS" w:hAnsi="Trebuchet MS"/>
          <w:sz w:val="24"/>
          <w:szCs w:val="24"/>
        </w:rPr>
      </w:pPr>
      <w:r w:rsidRPr="00F6037E">
        <w:rPr>
          <w:rFonts w:ascii="Trebuchet MS" w:hAnsi="Trebuchet MS"/>
          <w:sz w:val="24"/>
          <w:szCs w:val="24"/>
        </w:rPr>
        <w:t xml:space="preserve">The committee noted that it was a very interesting paper. There was recommendation of caution around the comparisons drawn with the CSA due to the CSA’s interaction with people when they already had an obligation to pay. This was different to SLAB’s financial assessment that was a gateway to the receipt of funding. Organisations, such as banks, that assessed income in the awarding of mortgages and loans were suggested as a closer fit. </w:t>
      </w:r>
    </w:p>
    <w:p w:rsidR="00F6037E" w:rsidRPr="00F6037E" w:rsidRDefault="00F6037E" w:rsidP="00F6037E">
      <w:pPr>
        <w:rPr>
          <w:rFonts w:ascii="Trebuchet MS" w:hAnsi="Trebuchet MS"/>
          <w:sz w:val="24"/>
          <w:szCs w:val="24"/>
        </w:rPr>
      </w:pPr>
      <w:r w:rsidRPr="00F6037E">
        <w:rPr>
          <w:rFonts w:ascii="Trebuchet MS" w:hAnsi="Trebuchet MS"/>
          <w:sz w:val="24"/>
          <w:szCs w:val="24"/>
        </w:rPr>
        <w:t>The Committee noted that the policy intention would help to drive any process changes. For example, an aim to facilitate access to justice may result in different changes being made than an aim to simply increase efficiency.</w:t>
      </w:r>
    </w:p>
    <w:p w:rsidR="00F6037E" w:rsidRPr="00F6037E" w:rsidRDefault="00F6037E" w:rsidP="00F6037E">
      <w:pPr>
        <w:rPr>
          <w:rFonts w:ascii="Trebuchet MS" w:hAnsi="Trebuchet MS"/>
          <w:sz w:val="24"/>
          <w:szCs w:val="24"/>
        </w:rPr>
      </w:pPr>
      <w:r w:rsidRPr="00F6037E">
        <w:rPr>
          <w:rFonts w:ascii="Trebuchet MS" w:hAnsi="Trebuchet MS"/>
          <w:sz w:val="24"/>
          <w:szCs w:val="24"/>
        </w:rPr>
        <w:t xml:space="preserve">Regarding accepting estimates of self-employed income, the articulation of risk appetite was seen to be particularly important. The Committee advised that there may be risk in being an early adopter of radical changes. Furthermore, the Committee noted the risk of simply pushing issues further down the process. If an estimate was initially accepted but with confirmation information being required later, it may be better to spend the time collating the information required at the start. Members also noted the risk of applicants pursuing action based on their expectation of zero or low contributions because of </w:t>
      </w:r>
      <w:r>
        <w:rPr>
          <w:rFonts w:ascii="Trebuchet MS" w:hAnsi="Trebuchet MS"/>
          <w:sz w:val="24"/>
          <w:szCs w:val="24"/>
        </w:rPr>
        <w:t>inaccurate financial estimates.</w:t>
      </w:r>
    </w:p>
    <w:p w:rsidR="00B76263" w:rsidRDefault="00F6037E" w:rsidP="00F6037E">
      <w:pPr>
        <w:rPr>
          <w:rFonts w:ascii="Trebuchet MS" w:hAnsi="Trebuchet MS"/>
          <w:sz w:val="24"/>
          <w:szCs w:val="24"/>
        </w:rPr>
      </w:pPr>
      <w:r w:rsidRPr="00F6037E">
        <w:rPr>
          <w:rFonts w:ascii="Trebuchet MS" w:hAnsi="Trebuchet MS"/>
          <w:sz w:val="24"/>
          <w:szCs w:val="24"/>
        </w:rPr>
        <w:t>The Committee concluded by noting that it was clear that the process needed to be simplified for SLAB staff and should not discourage potential applicants from seeking legal assistance on account of the process being complex. It welcomed the work done so far and Members looked forward to considering the issues again when developed further.</w:t>
      </w:r>
    </w:p>
    <w:p w:rsidR="00F6037E" w:rsidRPr="00F6037E" w:rsidRDefault="00F6037E" w:rsidP="00F6037E">
      <w:pPr>
        <w:rPr>
          <w:rFonts w:ascii="Trebuchet MS" w:hAnsi="Trebuchet MS"/>
          <w:sz w:val="24"/>
          <w:szCs w:val="24"/>
        </w:rPr>
      </w:pPr>
      <w:r w:rsidRPr="00F6037E">
        <w:rPr>
          <w:rFonts w:ascii="Trebuchet MS" w:hAnsi="Trebuchet MS"/>
          <w:b/>
          <w:color w:val="2758A8"/>
          <w:sz w:val="26"/>
          <w:szCs w:val="26"/>
        </w:rPr>
        <w:t>4.2.  GALA: Costs incurred by an assisted person which arise due to a protected characteristic</w:t>
      </w:r>
      <w:r>
        <w:rPr>
          <w:rFonts w:ascii="Trebuchet MS" w:hAnsi="Trebuchet MS"/>
          <w:b/>
          <w:color w:val="2758A8"/>
          <w:sz w:val="26"/>
          <w:szCs w:val="26"/>
        </w:rPr>
        <w:t xml:space="preserve"> </w:t>
      </w:r>
      <w:r w:rsidRPr="00D711B1">
        <w:rPr>
          <w:rFonts w:ascii="Trebuchet MS" w:hAnsi="Trebuchet MS"/>
          <w:sz w:val="24"/>
          <w:szCs w:val="24"/>
        </w:rPr>
        <w:br/>
      </w:r>
      <w:r w:rsidRPr="00F6037E">
        <w:rPr>
          <w:rFonts w:ascii="Trebuchet MS" w:hAnsi="Trebuchet MS"/>
          <w:sz w:val="24"/>
          <w:szCs w:val="24"/>
        </w:rPr>
        <w:t>The purpose of the paper was to provide an overview of work which had been ongoing regarding costs incurred in delivery of casework under the legal aid schemes that arise due to protected character</w:t>
      </w:r>
      <w:r>
        <w:rPr>
          <w:rFonts w:ascii="Trebuchet MS" w:hAnsi="Trebuchet MS"/>
          <w:sz w:val="24"/>
          <w:szCs w:val="24"/>
        </w:rPr>
        <w:t xml:space="preserve">istics of the assisted person. </w:t>
      </w:r>
    </w:p>
    <w:p w:rsidR="00F6037E" w:rsidRPr="00F6037E" w:rsidRDefault="00F6037E" w:rsidP="00F6037E">
      <w:pPr>
        <w:rPr>
          <w:rFonts w:ascii="Trebuchet MS" w:hAnsi="Trebuchet MS"/>
          <w:sz w:val="24"/>
          <w:szCs w:val="24"/>
        </w:rPr>
      </w:pPr>
      <w:r w:rsidRPr="00F6037E">
        <w:rPr>
          <w:rFonts w:ascii="Trebuchet MS" w:hAnsi="Trebuchet MS"/>
          <w:sz w:val="24"/>
          <w:szCs w:val="24"/>
        </w:rPr>
        <w:t>Under certain conditions, and if additional costs were incurred by an assisted person due to a protected characteristic, that assisted person may be asked to pay a higher amount for their civil legal aid case than another person with a substantively similar matter, but who did not have the same protected characteristic(s)</w:t>
      </w:r>
      <w:r>
        <w:rPr>
          <w:rFonts w:ascii="Trebuchet MS" w:hAnsi="Trebuchet MS"/>
          <w:sz w:val="24"/>
          <w:szCs w:val="24"/>
        </w:rPr>
        <w:t>, for example</w:t>
      </w:r>
      <w:r w:rsidRPr="00F6037E">
        <w:rPr>
          <w:rFonts w:ascii="Trebuchet MS" w:hAnsi="Trebuchet MS"/>
          <w:sz w:val="24"/>
          <w:szCs w:val="24"/>
        </w:rPr>
        <w:t xml:space="preserve"> if the assisted person had a contribution to pay. The GALA review group had agreed that there was a degree to which this matter cou</w:t>
      </w:r>
      <w:r>
        <w:rPr>
          <w:rFonts w:ascii="Trebuchet MS" w:hAnsi="Trebuchet MS"/>
          <w:sz w:val="24"/>
          <w:szCs w:val="24"/>
        </w:rPr>
        <w:t xml:space="preserve">ld be resolved through policy. </w:t>
      </w:r>
    </w:p>
    <w:p w:rsidR="00F6037E" w:rsidRPr="00F6037E" w:rsidRDefault="00F6037E" w:rsidP="00F6037E">
      <w:pPr>
        <w:rPr>
          <w:rFonts w:ascii="Trebuchet MS" w:hAnsi="Trebuchet MS"/>
          <w:sz w:val="24"/>
          <w:szCs w:val="24"/>
        </w:rPr>
      </w:pPr>
      <w:r w:rsidRPr="00F6037E">
        <w:rPr>
          <w:rFonts w:ascii="Trebuchet MS" w:hAnsi="Trebuchet MS"/>
          <w:sz w:val="24"/>
          <w:szCs w:val="24"/>
        </w:rPr>
        <w:t xml:space="preserve">The Committee supported the proposal that any costs incurred because of a protected characteristic could be removed from the total liability due from an assisted person. The Committee noted that its view that an assisted person with a protected characteristic should not be worse off when compared a person with the same legal complaint. However, the underlying policy needed to be clear and any impacts of creating a precedent would also need to be understood. </w:t>
      </w:r>
    </w:p>
    <w:p w:rsidR="00F6037E" w:rsidRPr="00F6037E" w:rsidRDefault="00F6037E" w:rsidP="00F6037E">
      <w:pPr>
        <w:rPr>
          <w:rFonts w:ascii="Trebuchet MS" w:hAnsi="Trebuchet MS"/>
          <w:sz w:val="24"/>
          <w:szCs w:val="24"/>
        </w:rPr>
      </w:pPr>
      <w:r w:rsidRPr="00F6037E">
        <w:rPr>
          <w:rFonts w:ascii="Trebuchet MS" w:hAnsi="Trebuchet MS"/>
          <w:sz w:val="24"/>
          <w:szCs w:val="24"/>
        </w:rPr>
        <w:lastRenderedPageBreak/>
        <w:t xml:space="preserve">The Committee noted that any element of discretion brought challenges and risks of inconsistencies – it would be preferable if the legislation stated SLAB had to make specific adjustments. The complexity of assessing the actual costs of equality related assistance </w:t>
      </w:r>
      <w:r>
        <w:rPr>
          <w:rFonts w:ascii="Trebuchet MS" w:hAnsi="Trebuchet MS"/>
          <w:sz w:val="24"/>
          <w:szCs w:val="24"/>
        </w:rPr>
        <w:t>was also raised as a challenge.</w:t>
      </w:r>
    </w:p>
    <w:p w:rsidR="00F6037E" w:rsidRPr="00F6037E" w:rsidRDefault="00F6037E" w:rsidP="00F6037E">
      <w:pPr>
        <w:rPr>
          <w:rFonts w:ascii="Trebuchet MS" w:hAnsi="Trebuchet MS"/>
          <w:sz w:val="24"/>
          <w:szCs w:val="24"/>
        </w:rPr>
      </w:pPr>
      <w:r w:rsidRPr="00F6037E">
        <w:rPr>
          <w:rFonts w:ascii="Trebuchet MS" w:hAnsi="Trebuchet MS"/>
          <w:sz w:val="24"/>
          <w:szCs w:val="24"/>
        </w:rPr>
        <w:t>There was a discussion about scope of policy intention and a recommendation that any further option development and appraisal include consideration about how costs incurred are dealt with for clients being assisted on a private fee basis and how this currently works for clients of PDSO/CLA</w:t>
      </w:r>
      <w:r>
        <w:rPr>
          <w:rFonts w:ascii="Trebuchet MS" w:hAnsi="Trebuchet MS"/>
          <w:sz w:val="24"/>
          <w:szCs w:val="24"/>
        </w:rPr>
        <w:t>O.</w:t>
      </w:r>
    </w:p>
    <w:p w:rsidR="00F6037E" w:rsidRPr="008D17FD" w:rsidRDefault="00F6037E" w:rsidP="00F6037E">
      <w:pPr>
        <w:rPr>
          <w:rFonts w:ascii="Trebuchet MS" w:hAnsi="Trebuchet MS"/>
          <w:sz w:val="24"/>
          <w:szCs w:val="24"/>
        </w:rPr>
      </w:pPr>
      <w:r w:rsidRPr="00F6037E">
        <w:rPr>
          <w:rFonts w:ascii="Trebuchet MS" w:hAnsi="Trebuchet MS"/>
          <w:sz w:val="24"/>
          <w:szCs w:val="24"/>
        </w:rPr>
        <w:t>It was noted that this was a complex policy issue and the Committee looked forward to considering the matter further in the future.</w:t>
      </w:r>
    </w:p>
    <w:p w:rsidR="00B76263" w:rsidRPr="006876CC" w:rsidRDefault="00B76263" w:rsidP="00B76263">
      <w:pPr>
        <w:pStyle w:val="ListParagraph"/>
        <w:numPr>
          <w:ilvl w:val="0"/>
          <w:numId w:val="2"/>
        </w:numPr>
        <w:rPr>
          <w:b/>
          <w:sz w:val="28"/>
          <w:szCs w:val="28"/>
        </w:rPr>
      </w:pPr>
      <w:r w:rsidRPr="009B7C67">
        <w:rPr>
          <w:b/>
          <w:sz w:val="28"/>
          <w:szCs w:val="28"/>
        </w:rPr>
        <w:t>AOB</w:t>
      </w:r>
    </w:p>
    <w:p w:rsidR="00B76263" w:rsidRPr="006876CC" w:rsidRDefault="00B76263" w:rsidP="00B76263">
      <w:pPr>
        <w:rPr>
          <w:rFonts w:ascii="Trebuchet MS" w:hAnsi="Trebuchet MS"/>
          <w:b/>
          <w:sz w:val="24"/>
          <w:szCs w:val="24"/>
        </w:rPr>
      </w:pPr>
      <w:r w:rsidRPr="006876CC">
        <w:rPr>
          <w:rFonts w:ascii="Trebuchet MS" w:hAnsi="Trebuchet MS" w:cstheme="minorHAnsi"/>
          <w:sz w:val="24"/>
          <w:szCs w:val="24"/>
          <w:lang w:val="en-US"/>
        </w:rPr>
        <w:t>None.</w:t>
      </w:r>
    </w:p>
    <w:p w:rsidR="00B76263" w:rsidRDefault="00B76263" w:rsidP="00B76263">
      <w:pPr>
        <w:tabs>
          <w:tab w:val="left" w:pos="4230"/>
        </w:tabs>
        <w:rPr>
          <w:rFonts w:ascii="Trebuchet MS" w:hAnsi="Trebuchet MS"/>
          <w:sz w:val="24"/>
          <w:szCs w:val="24"/>
        </w:rPr>
      </w:pPr>
      <w:r w:rsidRPr="00E1231D">
        <w:rPr>
          <w:rFonts w:ascii="Trebuchet MS" w:hAnsi="Trebuchet MS"/>
          <w:b/>
          <w:color w:val="2758A8"/>
          <w:sz w:val="24"/>
          <w:szCs w:val="24"/>
        </w:rPr>
        <w:t>Meeting concluded</w:t>
      </w:r>
      <w:r>
        <w:rPr>
          <w:rFonts w:ascii="Trebuchet MS" w:hAnsi="Trebuchet MS"/>
          <w:sz w:val="24"/>
          <w:szCs w:val="24"/>
        </w:rPr>
        <w:t xml:space="preserve">: </w:t>
      </w:r>
      <w:r w:rsidR="00F6037E">
        <w:rPr>
          <w:rFonts w:ascii="Trebuchet MS" w:hAnsi="Trebuchet MS"/>
          <w:sz w:val="24"/>
          <w:szCs w:val="24"/>
        </w:rPr>
        <w:t>12:30pm</w:t>
      </w:r>
      <w:r>
        <w:rPr>
          <w:rFonts w:ascii="Trebuchet MS" w:hAnsi="Trebuchet MS"/>
          <w:sz w:val="24"/>
          <w:szCs w:val="24"/>
        </w:rPr>
        <w:t>.</w:t>
      </w:r>
    </w:p>
    <w:p w:rsidR="00B76263" w:rsidRPr="00402165" w:rsidRDefault="00B76263" w:rsidP="00B76263">
      <w:pPr>
        <w:rPr>
          <w:rFonts w:ascii="Trebuchet MS" w:hAnsi="Trebuchet MS" w:cs="Microsoft Sans Serif"/>
          <w:sz w:val="24"/>
          <w:szCs w:val="24"/>
        </w:rPr>
      </w:pPr>
      <w:r w:rsidRPr="00C4741D">
        <w:rPr>
          <w:rFonts w:ascii="Trebuchet MS" w:hAnsi="Trebuchet MS" w:cs="Microsoft Sans Serif"/>
          <w:b/>
          <w:color w:val="2758A8"/>
          <w:sz w:val="24"/>
          <w:szCs w:val="24"/>
        </w:rPr>
        <w:t>Date of next meeting:</w:t>
      </w:r>
      <w:r w:rsidRPr="00402165">
        <w:rPr>
          <w:rFonts w:ascii="Trebuchet MS" w:hAnsi="Trebuchet MS"/>
        </w:rPr>
        <w:t xml:space="preserve"> </w:t>
      </w:r>
      <w:r w:rsidR="00F6037E">
        <w:rPr>
          <w:rFonts w:ascii="Trebuchet MS" w:hAnsi="Trebuchet MS" w:cs="Microsoft Sans Serif"/>
          <w:sz w:val="24"/>
          <w:szCs w:val="24"/>
        </w:rPr>
        <w:t>5 September</w:t>
      </w:r>
      <w:r w:rsidRPr="00402165">
        <w:rPr>
          <w:rFonts w:ascii="Trebuchet MS" w:hAnsi="Trebuchet MS" w:cs="Microsoft Sans Serif"/>
          <w:sz w:val="24"/>
          <w:szCs w:val="24"/>
        </w:rPr>
        <w:t xml:space="preserve"> 2023. </w:t>
      </w:r>
      <w:bookmarkStart w:id="0" w:name="_GoBack"/>
      <w:bookmarkEnd w:id="0"/>
    </w:p>
    <w:p w:rsidR="00B76263" w:rsidRPr="00C4741D" w:rsidRDefault="00B76263" w:rsidP="00B76263">
      <w:pPr>
        <w:rPr>
          <w:rFonts w:ascii="Trebuchet MS" w:hAnsi="Trebuchet MS" w:cs="Microsoft Sans Serif"/>
          <w:sz w:val="24"/>
          <w:szCs w:val="24"/>
        </w:rPr>
      </w:pPr>
    </w:p>
    <w:p w:rsidR="00B76263" w:rsidRPr="00041818" w:rsidRDefault="00B76263" w:rsidP="00B76263">
      <w:pPr>
        <w:rPr>
          <w:rFonts w:ascii="Trebuchet MS" w:hAnsi="Trebuchet MS"/>
          <w:sz w:val="24"/>
          <w:szCs w:val="24"/>
        </w:rPr>
      </w:pPr>
    </w:p>
    <w:p w:rsidR="00B76263" w:rsidRPr="00041818" w:rsidRDefault="00B76263" w:rsidP="00B76263">
      <w:pPr>
        <w:rPr>
          <w:rFonts w:ascii="Trebuchet MS" w:hAnsi="Trebuchet MS"/>
          <w:sz w:val="24"/>
          <w:szCs w:val="24"/>
        </w:rPr>
      </w:pPr>
    </w:p>
    <w:p w:rsidR="00CD43AA" w:rsidRDefault="00CD43AA"/>
    <w:sectPr w:rsidR="00CD43AA" w:rsidSect="00C4741D">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18" w:rsidRPr="00C4741D" w:rsidRDefault="00F6037E">
    <w:pPr>
      <w:pStyle w:val="Footer"/>
      <w:jc w:val="right"/>
      <w:rPr>
        <w:rFonts w:ascii="Trebuchet MS" w:hAnsi="Trebuchet MS"/>
        <w:sz w:val="24"/>
        <w:szCs w:val="24"/>
      </w:rPr>
    </w:pPr>
    <w:r w:rsidRPr="00C4741D">
      <w:rPr>
        <w:rFonts w:ascii="Trebuchet MS" w:hAnsi="Trebuchet MS"/>
        <w:sz w:val="24"/>
        <w:szCs w:val="24"/>
      </w:rPr>
      <w:t xml:space="preserve">Scottish Legal Aid Board </w:t>
    </w:r>
    <w:r>
      <w:rPr>
        <w:rFonts w:ascii="Trebuchet MS" w:hAnsi="Trebuchet MS"/>
        <w:sz w:val="24"/>
        <w:szCs w:val="24"/>
      </w:rPr>
      <w:t>–</w:t>
    </w:r>
    <w:r w:rsidRPr="00C4741D">
      <w:rPr>
        <w:rFonts w:ascii="Trebuchet MS" w:hAnsi="Trebuchet MS"/>
        <w:sz w:val="24"/>
        <w:szCs w:val="24"/>
      </w:rPr>
      <w:t xml:space="preserve"> </w:t>
    </w:r>
    <w:r>
      <w:rPr>
        <w:rFonts w:ascii="Trebuchet MS" w:hAnsi="Trebuchet MS"/>
        <w:sz w:val="24"/>
        <w:szCs w:val="24"/>
      </w:rPr>
      <w:t>LAPC</w:t>
    </w:r>
    <w:r w:rsidRPr="00C4741D">
      <w:rPr>
        <w:rFonts w:ascii="Trebuchet MS" w:hAnsi="Trebuchet MS"/>
        <w:sz w:val="24"/>
        <w:szCs w:val="24"/>
      </w:rPr>
      <w:t xml:space="preserve"> </w:t>
    </w:r>
    <w:r>
      <w:rPr>
        <w:rFonts w:ascii="Trebuchet MS" w:hAnsi="Trebuchet MS"/>
        <w:sz w:val="24"/>
        <w:szCs w:val="24"/>
      </w:rPr>
      <w:t xml:space="preserve">Minute </w:t>
    </w:r>
    <w:r>
      <w:rPr>
        <w:rFonts w:ascii="Trebuchet MS" w:hAnsi="Trebuchet MS"/>
        <w:sz w:val="24"/>
        <w:szCs w:val="24"/>
      </w:rPr>
      <w:t>06.12.22</w:t>
    </w:r>
    <w:r w:rsidRPr="00C4741D">
      <w:rPr>
        <w:rFonts w:ascii="Trebuchet MS" w:hAnsi="Trebuchet MS"/>
        <w:sz w:val="24"/>
        <w:szCs w:val="24"/>
      </w:rPr>
      <w:t xml:space="preserve">      </w:t>
    </w:r>
    <w:sdt>
      <w:sdtPr>
        <w:rPr>
          <w:rFonts w:ascii="Trebuchet MS" w:hAnsi="Trebuchet MS"/>
          <w:sz w:val="24"/>
          <w:szCs w:val="24"/>
        </w:rPr>
        <w:id w:val="314316149"/>
        <w:docPartObj>
          <w:docPartGallery w:val="Page Numbers (Bottom of Page)"/>
          <w:docPartUnique/>
        </w:docPartObj>
      </w:sdtPr>
      <w:sdtEndPr>
        <w:rPr>
          <w:noProof/>
        </w:rPr>
      </w:sdtEndPr>
      <w:sdtContent>
        <w:r w:rsidRPr="00C4741D">
          <w:rPr>
            <w:rFonts w:ascii="Trebuchet MS" w:hAnsi="Trebuchet MS"/>
            <w:sz w:val="24"/>
            <w:szCs w:val="24"/>
          </w:rPr>
          <w:fldChar w:fldCharType="begin"/>
        </w:r>
        <w:r w:rsidRPr="00C4741D">
          <w:rPr>
            <w:rFonts w:ascii="Trebuchet MS" w:hAnsi="Trebuchet MS"/>
            <w:sz w:val="24"/>
            <w:szCs w:val="24"/>
          </w:rPr>
          <w:instrText xml:space="preserve"> PAGE   \* MERGEFORMAT </w:instrText>
        </w:r>
        <w:r w:rsidRPr="00C4741D">
          <w:rPr>
            <w:rFonts w:ascii="Trebuchet MS" w:hAnsi="Trebuchet MS"/>
            <w:sz w:val="24"/>
            <w:szCs w:val="24"/>
          </w:rPr>
          <w:fldChar w:fldCharType="separate"/>
        </w:r>
        <w:r>
          <w:rPr>
            <w:rFonts w:ascii="Trebuchet MS" w:hAnsi="Trebuchet MS"/>
            <w:noProof/>
            <w:sz w:val="24"/>
            <w:szCs w:val="24"/>
          </w:rPr>
          <w:t>1</w:t>
        </w:r>
        <w:r w:rsidRPr="00C4741D">
          <w:rPr>
            <w:rFonts w:ascii="Trebuchet MS" w:hAnsi="Trebuchet MS"/>
            <w:noProof/>
            <w:sz w:val="24"/>
            <w:szCs w:val="24"/>
          </w:rPr>
          <w:fldChar w:fldCharType="end"/>
        </w:r>
      </w:sdtContent>
    </w:sdt>
  </w:p>
  <w:p w:rsidR="00041818" w:rsidRDefault="00F6037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87A"/>
    <w:multiLevelType w:val="hybridMultilevel"/>
    <w:tmpl w:val="EB804D0C"/>
    <w:lvl w:ilvl="0" w:tplc="54CEDF54">
      <w:start w:val="1"/>
      <w:numFmt w:val="decimal"/>
      <w:pStyle w:val="ListParagraph"/>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9F7526"/>
    <w:multiLevelType w:val="hybridMultilevel"/>
    <w:tmpl w:val="33F6D6AC"/>
    <w:lvl w:ilvl="0" w:tplc="3AAEB83E">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63"/>
    <w:rsid w:val="000E7F7F"/>
    <w:rsid w:val="00B76263"/>
    <w:rsid w:val="00CD43AA"/>
    <w:rsid w:val="00F6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94AD"/>
  <w15:chartTrackingRefBased/>
  <w15:docId w15:val="{2D0E7C8B-2EDD-4607-AFEE-000BB7A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63"/>
    <w:pPr>
      <w:numPr>
        <w:numId w:val="1"/>
      </w:numPr>
      <w:spacing w:after="0" w:line="240" w:lineRule="auto"/>
    </w:pPr>
    <w:rPr>
      <w:rFonts w:ascii="Trebuchet MS" w:hAnsi="Trebuchet MS"/>
      <w:sz w:val="24"/>
      <w:szCs w:val="24"/>
    </w:rPr>
  </w:style>
  <w:style w:type="paragraph" w:styleId="Footer">
    <w:name w:val="footer"/>
    <w:basedOn w:val="Normal"/>
    <w:link w:val="FooterChar"/>
    <w:uiPriority w:val="99"/>
    <w:unhideWhenUsed/>
    <w:rsid w:val="00B76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Corr</dc:creator>
  <cp:keywords/>
  <dc:description/>
  <cp:lastModifiedBy>Lindsay Corr</cp:lastModifiedBy>
  <cp:revision>2</cp:revision>
  <dcterms:created xsi:type="dcterms:W3CDTF">2023-06-09T13:12:00Z</dcterms:created>
  <dcterms:modified xsi:type="dcterms:W3CDTF">2023-06-09T13:24:00Z</dcterms:modified>
</cp:coreProperties>
</file>