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2491" w14:textId="0AAF9A0E" w:rsidR="00C4741D" w:rsidRDefault="00C4741D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FD9B299" wp14:editId="0DA57D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3905" cy="10083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LOGOcolourhir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8903E" w14:textId="77777777" w:rsidR="00C4741D" w:rsidRPr="00C4741D" w:rsidRDefault="00C4741D" w:rsidP="00FC4F46">
      <w:pPr>
        <w:jc w:val="right"/>
      </w:pPr>
    </w:p>
    <w:p w14:paraId="1E024B87" w14:textId="77777777" w:rsidR="00C4741D" w:rsidRPr="00C4741D" w:rsidRDefault="00C4741D" w:rsidP="00C4741D"/>
    <w:p w14:paraId="59184BF0" w14:textId="77777777" w:rsidR="00C4741D" w:rsidRPr="00C4741D" w:rsidRDefault="00C4741D" w:rsidP="00C4741D"/>
    <w:p w14:paraId="1426247C" w14:textId="5EAC08A0" w:rsidR="00C4741D" w:rsidRDefault="00C3315D" w:rsidP="00C3315D">
      <w:pPr>
        <w:tabs>
          <w:tab w:val="left" w:pos="1070"/>
        </w:tabs>
      </w:pPr>
      <w:r w:rsidRPr="00C4741D">
        <w:rPr>
          <w:b/>
          <w:noProof/>
          <w:color w:val="2758A8"/>
          <w:lang w:eastAsia="en-GB"/>
        </w:rPr>
        <mc:AlternateContent>
          <mc:Choice Requires="wps">
            <w:drawing>
              <wp:anchor distT="36575" distB="36575" distL="36576" distR="36576" simplePos="0" relativeHeight="251663360" behindDoc="0" locked="0" layoutInCell="1" allowOverlap="1" wp14:anchorId="65015D0A" wp14:editId="005B471E">
                <wp:simplePos x="0" y="0"/>
                <wp:positionH relativeFrom="margin">
                  <wp:align>left</wp:align>
                </wp:positionH>
                <wp:positionV relativeFrom="paragraph">
                  <wp:posOffset>506730</wp:posOffset>
                </wp:positionV>
                <wp:extent cx="6724650" cy="0"/>
                <wp:effectExtent l="0" t="0" r="1905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58A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E04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0;margin-top:39.9pt;width:529.5pt;height:0;z-index:251663360;visibility:visible;mso-wrap-style:square;mso-width-percent:0;mso-height-percent:0;mso-wrap-distance-left:2.88pt;mso-wrap-distance-top:1.016mm;mso-wrap-distance-right:2.88pt;mso-wrap-distance-bottom:1.016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" strokecolor="#2758a8">
                <v:shadow color="#eeece1"/>
                <w10:wrap anchorx="margin"/>
              </v:shape>
            </w:pict>
          </mc:Fallback>
        </mc:AlternateContent>
      </w:r>
      <w:r w:rsidR="00FB5551">
        <w:rPr>
          <w:rFonts w:ascii="Trebuchet MS" w:hAnsi="Trebuchet MS"/>
          <w:b/>
          <w:sz w:val="40"/>
          <w:szCs w:val="40"/>
        </w:rPr>
        <w:t>Annual Assessment of Board Effectiveness</w:t>
      </w:r>
      <w:r w:rsidR="00C4741D">
        <w:rPr>
          <w:rFonts w:ascii="Trebuchet MS" w:hAnsi="Trebuchet MS"/>
          <w:b/>
          <w:sz w:val="40"/>
          <w:szCs w:val="40"/>
        </w:rPr>
        <w:br/>
      </w:r>
    </w:p>
    <w:p w14:paraId="16526AE9" w14:textId="6913D7A2" w:rsidR="00C3315D" w:rsidRPr="00C3315D" w:rsidRDefault="00C4741D" w:rsidP="00C3315D">
      <w:pPr>
        <w:tabs>
          <w:tab w:val="left" w:pos="2040"/>
        </w:tabs>
        <w:jc w:val="right"/>
        <w:rPr>
          <w:rFonts w:ascii="Trebuchet MS" w:hAnsi="Trebuchet MS"/>
          <w:b/>
          <w:color w:val="2758A8"/>
          <w:sz w:val="24"/>
          <w:szCs w:val="24"/>
        </w:rPr>
      </w:pPr>
      <w:r w:rsidRPr="00C3315D">
        <w:rPr>
          <w:b/>
          <w:noProof/>
          <w:color w:val="2758A8"/>
          <w:sz w:val="24"/>
          <w:szCs w:val="24"/>
          <w:lang w:eastAsia="en-GB"/>
        </w:rPr>
        <mc:AlternateContent>
          <mc:Choice Requires="wps">
            <w:drawing>
              <wp:anchor distT="36575" distB="36575" distL="36576" distR="36576" simplePos="0" relativeHeight="251665408" behindDoc="0" locked="0" layoutInCell="1" allowOverlap="1" wp14:anchorId="48C3EE63" wp14:editId="1F9D376A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672465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58A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DA000" id="Straight Arrow Connector 2" o:spid="_x0000_s1026" type="#_x0000_t32" style="position:absolute;margin-left:0;margin-top:34.45pt;width:529.5pt;height:0;z-index:251665408;visibility:visible;mso-wrap-style:square;mso-width-percent:0;mso-height-percent:0;mso-wrap-distance-left:2.88pt;mso-wrap-distance-top:1.016mm;mso-wrap-distance-right:2.88pt;mso-wrap-distance-bottom:1.016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" strokecolor="#2758a8">
                <v:shadow color="#eeece1"/>
                <w10:wrap anchorx="margin"/>
              </v:shape>
            </w:pict>
          </mc:Fallback>
        </mc:AlternateContent>
      </w:r>
      <w:r w:rsidRPr="00C3315D">
        <w:rPr>
          <w:rFonts w:ascii="Trebuchet MS" w:hAnsi="Trebuchet MS"/>
          <w:b/>
          <w:color w:val="2758A8"/>
          <w:sz w:val="24"/>
          <w:szCs w:val="24"/>
        </w:rPr>
        <w:t>AGENDA</w:t>
      </w:r>
      <w:r w:rsidR="00C3315D">
        <w:rPr>
          <w:rFonts w:ascii="Trebuchet MS" w:hAnsi="Trebuchet MS"/>
          <w:b/>
          <w:color w:val="2758A8"/>
          <w:sz w:val="24"/>
          <w:szCs w:val="24"/>
        </w:rPr>
        <w:t xml:space="preserve"> ITEM: </w:t>
      </w:r>
      <w:r w:rsidR="00F9418C">
        <w:rPr>
          <w:rFonts w:ascii="Trebuchet MS" w:hAnsi="Trebuchet MS"/>
          <w:b/>
          <w:color w:val="2758A8"/>
          <w:sz w:val="24"/>
          <w:szCs w:val="24"/>
        </w:rPr>
        <w:t>10</w:t>
      </w:r>
      <w:r w:rsidR="00C3315D">
        <w:rPr>
          <w:rFonts w:ascii="Trebuchet MS" w:hAnsi="Trebuchet MS"/>
          <w:b/>
          <w:color w:val="2758A8"/>
          <w:sz w:val="24"/>
          <w:szCs w:val="24"/>
        </w:rPr>
        <w:br/>
        <w:t xml:space="preserve">REPORT NUMBER: </w:t>
      </w:r>
      <w:r w:rsidR="00A57845">
        <w:rPr>
          <w:rFonts w:ascii="Trebuchet MS" w:hAnsi="Trebuchet MS"/>
          <w:b/>
          <w:color w:val="2758A8"/>
          <w:sz w:val="24"/>
          <w:szCs w:val="24"/>
        </w:rPr>
        <w:t>SLAB</w:t>
      </w:r>
      <w:r w:rsidR="00C3315D">
        <w:rPr>
          <w:rFonts w:ascii="Trebuchet MS" w:hAnsi="Trebuchet MS"/>
          <w:b/>
          <w:color w:val="2758A8"/>
          <w:sz w:val="24"/>
          <w:szCs w:val="24"/>
        </w:rPr>
        <w:t>/</w:t>
      </w:r>
      <w:r w:rsidR="00A57845">
        <w:rPr>
          <w:rFonts w:ascii="Trebuchet MS" w:hAnsi="Trebuchet MS"/>
          <w:b/>
          <w:color w:val="2758A8"/>
          <w:sz w:val="24"/>
          <w:szCs w:val="24"/>
        </w:rPr>
        <w:t>20</w:t>
      </w:r>
      <w:r w:rsidR="00C3315D">
        <w:rPr>
          <w:rFonts w:ascii="Trebuchet MS" w:hAnsi="Trebuchet MS"/>
          <w:b/>
          <w:color w:val="2758A8"/>
          <w:sz w:val="24"/>
          <w:szCs w:val="24"/>
        </w:rPr>
        <w:t>2</w:t>
      </w:r>
      <w:r w:rsidR="00FB5551">
        <w:rPr>
          <w:rFonts w:ascii="Trebuchet MS" w:hAnsi="Trebuchet MS"/>
          <w:b/>
          <w:color w:val="2758A8"/>
          <w:sz w:val="24"/>
          <w:szCs w:val="24"/>
        </w:rPr>
        <w:t>3</w:t>
      </w:r>
      <w:r w:rsidR="00C3315D">
        <w:rPr>
          <w:rFonts w:ascii="Trebuchet MS" w:hAnsi="Trebuchet MS"/>
          <w:b/>
          <w:color w:val="2758A8"/>
          <w:sz w:val="24"/>
          <w:szCs w:val="24"/>
        </w:rPr>
        <w:t>/</w:t>
      </w:r>
      <w:r w:rsidR="00F9418C">
        <w:rPr>
          <w:rFonts w:ascii="Trebuchet MS" w:hAnsi="Trebuchet MS"/>
          <w:b/>
          <w:color w:val="2758A8"/>
          <w:sz w:val="24"/>
          <w:szCs w:val="24"/>
        </w:rPr>
        <w:t>36</w:t>
      </w:r>
    </w:p>
    <w:tbl>
      <w:tblPr>
        <w:tblStyle w:val="TableGrid"/>
        <w:tblpPr w:leftFromText="180" w:rightFromText="180" w:vertAnchor="page" w:horzAnchor="margin" w:tblpY="4501"/>
        <w:tblW w:w="10627" w:type="dxa"/>
        <w:tblLayout w:type="fixed"/>
        <w:tblLook w:val="04A0" w:firstRow="1" w:lastRow="0" w:firstColumn="1" w:lastColumn="0" w:noHBand="0" w:noVBand="1"/>
      </w:tblPr>
      <w:tblGrid>
        <w:gridCol w:w="2689"/>
        <w:gridCol w:w="7938"/>
      </w:tblGrid>
      <w:tr w:rsidR="00A57845" w:rsidRPr="006077E6" w14:paraId="21BFE13A" w14:textId="77777777" w:rsidTr="00A57845">
        <w:tc>
          <w:tcPr>
            <w:tcW w:w="2689" w:type="dxa"/>
            <w:shd w:val="clear" w:color="auto" w:fill="D9D9D9" w:themeFill="background1" w:themeFillShade="D9"/>
          </w:tcPr>
          <w:p w14:paraId="72DC3985" w14:textId="77777777" w:rsidR="00A57845" w:rsidRPr="00B86375" w:rsidRDefault="00A57845" w:rsidP="00A57845">
            <w:pPr>
              <w:rPr>
                <w:b/>
                <w:sz w:val="24"/>
                <w:szCs w:val="24"/>
              </w:rPr>
            </w:pPr>
            <w:r w:rsidRPr="00B86375">
              <w:rPr>
                <w:b/>
                <w:sz w:val="24"/>
                <w:szCs w:val="24"/>
              </w:rPr>
              <w:t>Report to:</w:t>
            </w:r>
          </w:p>
        </w:tc>
        <w:sdt>
          <w:sdtPr>
            <w:rPr>
              <w:sz w:val="24"/>
              <w:szCs w:val="24"/>
            </w:rPr>
            <w:alias w:val="Report to"/>
            <w:tag w:val="Report to"/>
            <w:id w:val="-2087455742"/>
            <w:placeholder>
              <w:docPart w:val="723892EDB0B8437B849EAF544D98C63F"/>
            </w:placeholder>
            <w:dropDownList>
              <w:listItem w:value="Choose an item."/>
              <w:listItem w:displayText="The Board" w:value="The Board"/>
              <w:listItem w:displayText="Legal Assistance Policy Committee" w:value="Legal Assistance Policy Committee"/>
              <w:listItem w:displayText="Remuneration and Applications Committee" w:value="Remuneration and Applications Committee"/>
              <w:listItem w:displayText="Audit Committee" w:value="Audit Committee"/>
              <w:listItem w:displayText="Section 31 Committee" w:value="Section 31 Committee"/>
              <w:listItem w:displayText="Review Committee" w:value="Review Committee"/>
            </w:dropDownList>
          </w:sdtPr>
          <w:sdtEndPr/>
          <w:sdtContent>
            <w:tc>
              <w:tcPr>
                <w:tcW w:w="7938" w:type="dxa"/>
              </w:tcPr>
              <w:p w14:paraId="05978B19" w14:textId="6E71F697" w:rsidR="00A57845" w:rsidRPr="006077E6" w:rsidRDefault="00FB5551" w:rsidP="00A57845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Board</w:t>
                </w:r>
              </w:p>
            </w:tc>
          </w:sdtContent>
        </w:sdt>
      </w:tr>
      <w:tr w:rsidR="00A57845" w:rsidRPr="006077E6" w14:paraId="71855F30" w14:textId="77777777" w:rsidTr="00A57845">
        <w:tc>
          <w:tcPr>
            <w:tcW w:w="2689" w:type="dxa"/>
            <w:shd w:val="clear" w:color="auto" w:fill="D9D9D9" w:themeFill="background1" w:themeFillShade="D9"/>
          </w:tcPr>
          <w:p w14:paraId="593028D0" w14:textId="77777777" w:rsidR="00A57845" w:rsidRPr="00B86375" w:rsidRDefault="00A57845" w:rsidP="00A57845">
            <w:pPr>
              <w:rPr>
                <w:b/>
                <w:sz w:val="24"/>
                <w:szCs w:val="24"/>
              </w:rPr>
            </w:pPr>
            <w:r w:rsidRPr="00B86375">
              <w:rPr>
                <w:b/>
                <w:sz w:val="24"/>
                <w:szCs w:val="24"/>
              </w:rPr>
              <w:t xml:space="preserve">Meeting </w:t>
            </w:r>
            <w:r>
              <w:rPr>
                <w:b/>
                <w:sz w:val="24"/>
                <w:szCs w:val="24"/>
              </w:rPr>
              <w:t>d</w:t>
            </w:r>
            <w:r w:rsidRPr="00B86375">
              <w:rPr>
                <w:b/>
                <w:sz w:val="24"/>
                <w:szCs w:val="24"/>
              </w:rPr>
              <w:t>ate:</w:t>
            </w:r>
          </w:p>
        </w:tc>
        <w:tc>
          <w:tcPr>
            <w:tcW w:w="7938" w:type="dxa"/>
          </w:tcPr>
          <w:p w14:paraId="279A9CFD" w14:textId="1E13E890" w:rsidR="00A57845" w:rsidRPr="006077E6" w:rsidRDefault="00FB5551" w:rsidP="00A5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18 September 2023 </w:t>
            </w:r>
          </w:p>
        </w:tc>
      </w:tr>
      <w:tr w:rsidR="00A57845" w:rsidRPr="006077E6" w14:paraId="0F780D6A" w14:textId="77777777" w:rsidTr="00A57845">
        <w:tc>
          <w:tcPr>
            <w:tcW w:w="2689" w:type="dxa"/>
            <w:shd w:val="clear" w:color="auto" w:fill="D9D9D9" w:themeFill="background1" w:themeFillShade="D9"/>
          </w:tcPr>
          <w:p w14:paraId="24A1A701" w14:textId="77777777" w:rsidR="00A57845" w:rsidRPr="00B86375" w:rsidRDefault="00A57845" w:rsidP="00A57845">
            <w:pPr>
              <w:rPr>
                <w:b/>
                <w:sz w:val="24"/>
                <w:szCs w:val="24"/>
              </w:rPr>
            </w:pPr>
            <w:r w:rsidRPr="00B86375">
              <w:rPr>
                <w:b/>
                <w:sz w:val="24"/>
                <w:szCs w:val="24"/>
              </w:rPr>
              <w:t xml:space="preserve">Report </w:t>
            </w:r>
            <w:r>
              <w:rPr>
                <w:b/>
                <w:sz w:val="24"/>
                <w:szCs w:val="24"/>
              </w:rPr>
              <w:t>t</w:t>
            </w:r>
            <w:r w:rsidRPr="00B86375">
              <w:rPr>
                <w:b/>
                <w:sz w:val="24"/>
                <w:szCs w:val="24"/>
              </w:rPr>
              <w:t>itle</w:t>
            </w:r>
          </w:p>
        </w:tc>
        <w:tc>
          <w:tcPr>
            <w:tcW w:w="7938" w:type="dxa"/>
          </w:tcPr>
          <w:p w14:paraId="6890A0DC" w14:textId="70C395F5" w:rsidR="00A57845" w:rsidRPr="006077E6" w:rsidRDefault="00FB5551" w:rsidP="00A5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Assessment of Board Effectiveness</w:t>
            </w:r>
          </w:p>
        </w:tc>
      </w:tr>
      <w:tr w:rsidR="00A57845" w:rsidRPr="006077E6" w14:paraId="011DE73C" w14:textId="77777777" w:rsidTr="00A57845">
        <w:tc>
          <w:tcPr>
            <w:tcW w:w="2689" w:type="dxa"/>
            <w:shd w:val="clear" w:color="auto" w:fill="D9D9D9" w:themeFill="background1" w:themeFillShade="D9"/>
          </w:tcPr>
          <w:p w14:paraId="0BA747CB" w14:textId="77777777" w:rsidR="00A57845" w:rsidRPr="00B86375" w:rsidRDefault="00A57845" w:rsidP="00A57845">
            <w:pPr>
              <w:rPr>
                <w:b/>
                <w:sz w:val="24"/>
                <w:szCs w:val="24"/>
              </w:rPr>
            </w:pPr>
            <w:r w:rsidRPr="00B86375">
              <w:rPr>
                <w:b/>
                <w:sz w:val="24"/>
                <w:szCs w:val="24"/>
              </w:rPr>
              <w:t xml:space="preserve">Report </w:t>
            </w: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7938" w:type="dxa"/>
          </w:tcPr>
          <w:sdt>
            <w:sdtPr>
              <w:rPr>
                <w:sz w:val="24"/>
                <w:szCs w:val="24"/>
              </w:rPr>
              <w:id w:val="-488241055"/>
              <w:placeholder>
                <w:docPart w:val="84C10392050547F788AAC488B548440C"/>
              </w:placeholder>
              <w:dropDownList>
                <w:listItem w:value="Choose an item."/>
                <w:listItem w:displayText="For Information" w:value="For Information"/>
                <w:listItem w:displayText="For Decision" w:value="For Decision"/>
                <w:listItem w:displayText="For Discussion" w:value="For Discussion"/>
              </w:dropDownList>
            </w:sdtPr>
            <w:sdtEndPr/>
            <w:sdtContent>
              <w:p w14:paraId="2B79F7A3" w14:textId="196980E1" w:rsidR="00A57845" w:rsidRPr="006077E6" w:rsidRDefault="0085110E" w:rsidP="00A57845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For Information</w:t>
                </w:r>
              </w:p>
            </w:sdtContent>
          </w:sdt>
        </w:tc>
      </w:tr>
      <w:tr w:rsidR="00A57845" w:rsidRPr="006077E6" w14:paraId="0A3018E7" w14:textId="77777777" w:rsidTr="00A57845">
        <w:tc>
          <w:tcPr>
            <w:tcW w:w="2689" w:type="dxa"/>
            <w:shd w:val="clear" w:color="auto" w:fill="D9D9D9" w:themeFill="background1" w:themeFillShade="D9"/>
          </w:tcPr>
          <w:p w14:paraId="733C930E" w14:textId="77777777" w:rsidR="00A57845" w:rsidRPr="00B86375" w:rsidRDefault="00A57845" w:rsidP="00A57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 status:</w:t>
            </w:r>
          </w:p>
        </w:tc>
        <w:sdt>
          <w:sdtPr>
            <w:rPr>
              <w:sz w:val="24"/>
              <w:szCs w:val="24"/>
            </w:rPr>
            <w:id w:val="540716937"/>
            <w:placeholder>
              <w:docPart w:val="9553C5DBE26D4E4A8A615376738F73FC"/>
            </w:placeholder>
            <w:dropDownList>
              <w:listItem w:value="Choose an item."/>
              <w:listItem w:displayText="Business as usual" w:value="Business as usual"/>
              <w:listItem w:displayText="Business from a project" w:value="Business from a project"/>
              <w:listItem w:displayText="Directorate project" w:value="Directorate project"/>
            </w:dropDownList>
          </w:sdtPr>
          <w:sdtEndPr/>
          <w:sdtContent>
            <w:tc>
              <w:tcPr>
                <w:tcW w:w="7938" w:type="dxa"/>
              </w:tcPr>
              <w:p w14:paraId="75E26B02" w14:textId="384D6211" w:rsidR="00A57845" w:rsidRPr="009D2260" w:rsidRDefault="00FB5551" w:rsidP="00A57845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Business as usual</w:t>
                </w:r>
              </w:p>
            </w:tc>
          </w:sdtContent>
        </w:sdt>
      </w:tr>
    </w:tbl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A57845" w14:paraId="3128DDA3" w14:textId="77777777" w:rsidTr="00A57845">
        <w:tc>
          <w:tcPr>
            <w:tcW w:w="2689" w:type="dxa"/>
            <w:shd w:val="clear" w:color="auto" w:fill="D9D9D9" w:themeFill="background1" w:themeFillShade="D9"/>
          </w:tcPr>
          <w:p w14:paraId="7237FC0E" w14:textId="77777777" w:rsidR="00A57845" w:rsidRPr="00B86375" w:rsidRDefault="00A57845" w:rsidP="00A57845">
            <w:pPr>
              <w:rPr>
                <w:b/>
                <w:sz w:val="24"/>
                <w:szCs w:val="24"/>
              </w:rPr>
            </w:pPr>
            <w:r w:rsidRPr="00B86375">
              <w:rPr>
                <w:b/>
                <w:sz w:val="24"/>
                <w:szCs w:val="24"/>
              </w:rPr>
              <w:t>Written by:</w:t>
            </w:r>
          </w:p>
        </w:tc>
        <w:tc>
          <w:tcPr>
            <w:tcW w:w="7938" w:type="dxa"/>
          </w:tcPr>
          <w:p w14:paraId="68CD9062" w14:textId="47BA5893" w:rsidR="00A57845" w:rsidRDefault="00FB5551" w:rsidP="00A5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Lynchehaun, Corporate Governance and Policy Officer</w:t>
            </w:r>
          </w:p>
        </w:tc>
      </w:tr>
      <w:tr w:rsidR="00A57845" w14:paraId="72AE4E29" w14:textId="77777777" w:rsidTr="00A57845">
        <w:tc>
          <w:tcPr>
            <w:tcW w:w="2689" w:type="dxa"/>
            <w:shd w:val="clear" w:color="auto" w:fill="D9D9D9" w:themeFill="background1" w:themeFillShade="D9"/>
          </w:tcPr>
          <w:p w14:paraId="07CB8E7C" w14:textId="77777777" w:rsidR="00A57845" w:rsidRPr="00B86375" w:rsidRDefault="00A57845" w:rsidP="00A57845">
            <w:pPr>
              <w:rPr>
                <w:b/>
                <w:sz w:val="24"/>
                <w:szCs w:val="24"/>
              </w:rPr>
            </w:pPr>
            <w:r w:rsidRPr="00B86375">
              <w:rPr>
                <w:b/>
                <w:sz w:val="24"/>
                <w:szCs w:val="24"/>
              </w:rPr>
              <w:t>Director responsible:</w:t>
            </w:r>
          </w:p>
        </w:tc>
        <w:sdt>
          <w:sdtPr>
            <w:rPr>
              <w:sz w:val="24"/>
              <w:szCs w:val="24"/>
            </w:rPr>
            <w:id w:val="655648332"/>
            <w:placeholder>
              <w:docPart w:val="0DF79C0771BF448FB395227F14EFE32F"/>
            </w:placeholder>
            <w:dropDownList>
              <w:listItem w:value="Choose an item."/>
              <w:listItem w:displayText="Colin Lancaster" w:value="Colin Lancaster"/>
              <w:listItem w:displayText="Marie-Louise Fox" w:value="Marie-Louise Fox"/>
              <w:listItem w:displayText="Ian Dickson" w:value="Ian Dickson"/>
              <w:listItem w:displayText="Adam Ford" w:value="Adam Ford"/>
              <w:listItem w:displayText="Linda Ross" w:value="Linda Ross"/>
            </w:dropDownList>
          </w:sdtPr>
          <w:sdtEndPr/>
          <w:sdtContent>
            <w:tc>
              <w:tcPr>
                <w:tcW w:w="7938" w:type="dxa"/>
              </w:tcPr>
              <w:p w14:paraId="2725DD7A" w14:textId="32BC4226" w:rsidR="00A57845" w:rsidRDefault="00FB5551" w:rsidP="00A57845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Colin Lancaster</w:t>
                </w:r>
              </w:p>
            </w:tc>
          </w:sdtContent>
        </w:sdt>
      </w:tr>
      <w:tr w:rsidR="00A57845" w14:paraId="19BDFCCE" w14:textId="77777777" w:rsidTr="00A57845">
        <w:tc>
          <w:tcPr>
            <w:tcW w:w="2689" w:type="dxa"/>
            <w:shd w:val="clear" w:color="auto" w:fill="D9D9D9" w:themeFill="background1" w:themeFillShade="D9"/>
          </w:tcPr>
          <w:p w14:paraId="23F9679E" w14:textId="77777777" w:rsidR="00A57845" w:rsidRPr="00B86375" w:rsidRDefault="00A57845" w:rsidP="00A57845">
            <w:pPr>
              <w:rPr>
                <w:b/>
                <w:sz w:val="24"/>
                <w:szCs w:val="24"/>
              </w:rPr>
            </w:pPr>
            <w:r w:rsidRPr="00B86375">
              <w:rPr>
                <w:b/>
                <w:sz w:val="24"/>
                <w:szCs w:val="24"/>
              </w:rPr>
              <w:t>Presented by:</w:t>
            </w:r>
          </w:p>
        </w:tc>
        <w:tc>
          <w:tcPr>
            <w:tcW w:w="7938" w:type="dxa"/>
          </w:tcPr>
          <w:p w14:paraId="3208E174" w14:textId="2B615D45" w:rsidR="00A57845" w:rsidRDefault="00FB5551" w:rsidP="00A5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Lynchehaun, Corporate Gov</w:t>
            </w:r>
            <w:r w:rsidR="00F87E71">
              <w:rPr>
                <w:sz w:val="24"/>
                <w:szCs w:val="24"/>
              </w:rPr>
              <w:t>ernance and Policy Officer</w:t>
            </w:r>
          </w:p>
        </w:tc>
      </w:tr>
      <w:tr w:rsidR="00A57845" w14:paraId="647C2AD7" w14:textId="77777777" w:rsidTr="00A57845">
        <w:tc>
          <w:tcPr>
            <w:tcW w:w="2689" w:type="dxa"/>
            <w:shd w:val="clear" w:color="auto" w:fill="D9D9D9" w:themeFill="background1" w:themeFillShade="D9"/>
          </w:tcPr>
          <w:p w14:paraId="28982043" w14:textId="77777777" w:rsidR="00A57845" w:rsidRPr="00B86375" w:rsidRDefault="00A57845" w:rsidP="00A57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details:</w:t>
            </w:r>
          </w:p>
        </w:tc>
        <w:tc>
          <w:tcPr>
            <w:tcW w:w="7938" w:type="dxa"/>
          </w:tcPr>
          <w:p w14:paraId="6F1A715F" w14:textId="3F9BFE37" w:rsidR="00A57845" w:rsidRDefault="005427DD" w:rsidP="00A57845">
            <w:pPr>
              <w:rPr>
                <w:sz w:val="24"/>
                <w:szCs w:val="24"/>
              </w:rPr>
            </w:pPr>
            <w:hyperlink r:id="rId12" w:history="1">
              <w:r w:rsidRPr="00042F39">
                <w:rPr>
                  <w:rStyle w:val="Hyperlink"/>
                  <w:sz w:val="24"/>
                  <w:szCs w:val="24"/>
                </w:rPr>
                <w:t>LynchehaunSa@slab.org.uk</w:t>
              </w:r>
            </w:hyperlink>
          </w:p>
        </w:tc>
      </w:tr>
    </w:tbl>
    <w:p w14:paraId="0A847883" w14:textId="77777777" w:rsidR="00C3315D" w:rsidRPr="00A57845" w:rsidRDefault="00C3315D" w:rsidP="00C3315D">
      <w:pPr>
        <w:tabs>
          <w:tab w:val="left" w:pos="4230"/>
        </w:tabs>
        <w:rPr>
          <w:rFonts w:ascii="Trebuchet MS" w:hAnsi="Trebuchet MS"/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122"/>
        <w:gridCol w:w="8505"/>
      </w:tblGrid>
      <w:tr w:rsidR="00A57845" w14:paraId="5B7BFA86" w14:textId="77777777" w:rsidTr="00A57845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170FFD7A" w14:textId="77777777" w:rsidR="00A57845" w:rsidRPr="00B86375" w:rsidRDefault="00A57845" w:rsidP="00A57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Delivery of Strategic Objectives</w:t>
            </w:r>
          </w:p>
        </w:tc>
      </w:tr>
      <w:tr w:rsidR="00A57845" w14:paraId="3CE7E6D8" w14:textId="77777777" w:rsidTr="006C6575">
        <w:tc>
          <w:tcPr>
            <w:tcW w:w="2122" w:type="dxa"/>
          </w:tcPr>
          <w:p w14:paraId="3E46D247" w14:textId="77777777" w:rsidR="00A57845" w:rsidRDefault="00A57845" w:rsidP="00A5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the Strategic Objective(s) relevant to the issues </w:t>
            </w:r>
          </w:p>
        </w:tc>
        <w:tc>
          <w:tcPr>
            <w:tcW w:w="8505" w:type="dxa"/>
          </w:tcPr>
          <w:p w14:paraId="573F0898" w14:textId="28C49B9F" w:rsidR="007F6C45" w:rsidRPr="007378A5" w:rsidRDefault="007F6C45" w:rsidP="007F6C45">
            <w:pPr>
              <w:pStyle w:val="ListParagraph"/>
              <w:numPr>
                <w:ilvl w:val="0"/>
                <w:numId w:val="8"/>
              </w:numPr>
              <w:ind w:left="313"/>
              <w:contextualSpacing/>
            </w:pPr>
            <w:r w:rsidRPr="007378A5">
              <w:t xml:space="preserve">Our timely, </w:t>
            </w:r>
            <w:proofErr w:type="gramStart"/>
            <w:r w:rsidRPr="007378A5">
              <w:t>clear</w:t>
            </w:r>
            <w:proofErr w:type="gramEnd"/>
            <w:r w:rsidRPr="007378A5">
              <w:t xml:space="preserve"> and consistent decisions on legal aid applications and accounts deliver a positive customer experience.</w:t>
            </w:r>
          </w:p>
          <w:p w14:paraId="283994C0" w14:textId="14C91E0D" w:rsidR="007F6C45" w:rsidRPr="007378A5" w:rsidRDefault="007F6C45" w:rsidP="007F6C45">
            <w:pPr>
              <w:pStyle w:val="ListParagraph"/>
              <w:numPr>
                <w:ilvl w:val="0"/>
                <w:numId w:val="8"/>
              </w:numPr>
              <w:ind w:left="313"/>
              <w:contextualSpacing/>
            </w:pPr>
            <w:r w:rsidRPr="007378A5">
              <w:t xml:space="preserve">Our client legal services and targeted funding deliver high quality and accessible information, </w:t>
            </w:r>
            <w:proofErr w:type="gramStart"/>
            <w:r w:rsidRPr="007378A5">
              <w:t>advice</w:t>
            </w:r>
            <w:proofErr w:type="gramEnd"/>
            <w:r w:rsidRPr="007378A5">
              <w:t xml:space="preserve"> and representation.</w:t>
            </w:r>
          </w:p>
          <w:p w14:paraId="440C41F2" w14:textId="1EC704AC" w:rsidR="007F6C45" w:rsidRDefault="007F6C45" w:rsidP="007F6C45">
            <w:pPr>
              <w:pStyle w:val="ListParagraph"/>
              <w:numPr>
                <w:ilvl w:val="0"/>
                <w:numId w:val="8"/>
              </w:numPr>
              <w:ind w:left="313"/>
              <w:contextualSpacing/>
            </w:pPr>
            <w:r w:rsidRPr="007378A5">
              <w:t>We support our people to develop the skills and ways of working needed to deliver our mission, both now and in the future</w:t>
            </w:r>
            <w:r w:rsidR="006C6575">
              <w:t>.</w:t>
            </w:r>
          </w:p>
          <w:p w14:paraId="5D9460BB" w14:textId="5BFD482E" w:rsidR="00981332" w:rsidRPr="007F6C45" w:rsidRDefault="007F6C45" w:rsidP="007F6C45">
            <w:pPr>
              <w:pStyle w:val="ListParagraph"/>
              <w:numPr>
                <w:ilvl w:val="0"/>
                <w:numId w:val="8"/>
              </w:numPr>
              <w:ind w:left="313"/>
              <w:contextualSpacing/>
            </w:pPr>
            <w:r w:rsidRPr="007F6C45">
              <w:t>Our advice to Ministers supports their decision making on the future of legal aid and SLAB</w:t>
            </w:r>
            <w:r w:rsidR="006C6575">
              <w:t>.</w:t>
            </w:r>
          </w:p>
          <w:p w14:paraId="79728B5B" w14:textId="77777777" w:rsidR="00773BB9" w:rsidRDefault="00773BB9" w:rsidP="00512703">
            <w:pPr>
              <w:tabs>
                <w:tab w:val="left" w:pos="4230"/>
              </w:tabs>
              <w:rPr>
                <w:iCs/>
                <w:sz w:val="24"/>
                <w:szCs w:val="24"/>
              </w:rPr>
            </w:pPr>
          </w:p>
          <w:p w14:paraId="11EC9A4B" w14:textId="27E17778" w:rsidR="00A57845" w:rsidRPr="006C6575" w:rsidRDefault="00773BB9" w:rsidP="00512703">
            <w:pPr>
              <w:tabs>
                <w:tab w:val="left" w:pos="423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An effective Board who are engaged and informed will provide support and sound decision making which deliver</w:t>
            </w:r>
            <w:r w:rsidR="0067241B">
              <w:rPr>
                <w:iCs/>
                <w:sz w:val="24"/>
                <w:szCs w:val="24"/>
              </w:rPr>
              <w:t>s</w:t>
            </w:r>
            <w:r>
              <w:rPr>
                <w:iCs/>
                <w:sz w:val="24"/>
                <w:szCs w:val="24"/>
              </w:rPr>
              <w:t xml:space="preserve"> improved outcomes aligned with the Corporate Plan</w:t>
            </w:r>
            <w:r w:rsidR="00953540">
              <w:rPr>
                <w:iCs/>
                <w:sz w:val="24"/>
                <w:szCs w:val="24"/>
              </w:rPr>
              <w:t xml:space="preserve"> and objectives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14:paraId="278FBDC5" w14:textId="77777777" w:rsidR="00512703" w:rsidRPr="00A57845" w:rsidRDefault="00512703" w:rsidP="00C3315D">
      <w:pPr>
        <w:tabs>
          <w:tab w:val="left" w:pos="4230"/>
        </w:tabs>
        <w:rPr>
          <w:rFonts w:ascii="Trebuchet MS" w:hAnsi="Trebuchet MS"/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7845" w14:paraId="6FB56C5D" w14:textId="77777777" w:rsidTr="00A57845">
        <w:tc>
          <w:tcPr>
            <w:tcW w:w="10627" w:type="dxa"/>
            <w:shd w:val="clear" w:color="auto" w:fill="D9D9D9" w:themeFill="background1" w:themeFillShade="D9"/>
          </w:tcPr>
          <w:p w14:paraId="506FE51D" w14:textId="77777777" w:rsidR="00A57845" w:rsidRPr="00B86375" w:rsidRDefault="00A57845" w:rsidP="00512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to Board remit</w:t>
            </w:r>
          </w:p>
        </w:tc>
      </w:tr>
      <w:tr w:rsidR="00A57845" w14:paraId="6257D822" w14:textId="77777777" w:rsidTr="00A57845">
        <w:tc>
          <w:tcPr>
            <w:tcW w:w="10627" w:type="dxa"/>
          </w:tcPr>
          <w:p w14:paraId="2E46848D" w14:textId="0FB10B6A" w:rsidR="00A57845" w:rsidRPr="006C6575" w:rsidRDefault="0085110E" w:rsidP="00A5784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The a</w:t>
            </w:r>
            <w:r w:rsidRPr="0085110E">
              <w:rPr>
                <w:iCs/>
                <w:sz w:val="24"/>
                <w:szCs w:val="24"/>
              </w:rPr>
              <w:t>pproval of any assessment of the Board’s effectiveness</w:t>
            </w:r>
            <w:r>
              <w:rPr>
                <w:iCs/>
                <w:sz w:val="24"/>
                <w:szCs w:val="24"/>
              </w:rPr>
              <w:t xml:space="preserve"> is reserved </w:t>
            </w:r>
            <w:r w:rsidR="0067241B">
              <w:rPr>
                <w:iCs/>
                <w:sz w:val="24"/>
                <w:szCs w:val="24"/>
              </w:rPr>
              <w:t>to</w:t>
            </w:r>
            <w:r>
              <w:rPr>
                <w:iCs/>
                <w:sz w:val="24"/>
                <w:szCs w:val="24"/>
              </w:rPr>
              <w:t xml:space="preserve"> the Board.</w:t>
            </w:r>
          </w:p>
        </w:tc>
      </w:tr>
    </w:tbl>
    <w:p w14:paraId="375429C4" w14:textId="77777777" w:rsidR="0085110E" w:rsidRPr="00A57845" w:rsidRDefault="0085110E" w:rsidP="00A57845">
      <w:pPr>
        <w:rPr>
          <w:rFonts w:ascii="Trebuchet MS" w:hAnsi="Trebuchet MS"/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7845" w14:paraId="4DA188DE" w14:textId="77777777" w:rsidTr="00A57845">
        <w:tc>
          <w:tcPr>
            <w:tcW w:w="10627" w:type="dxa"/>
            <w:shd w:val="clear" w:color="auto" w:fill="D9D9D9" w:themeFill="background1" w:themeFillShade="D9"/>
          </w:tcPr>
          <w:p w14:paraId="55237DE4" w14:textId="77777777" w:rsidR="00A57845" w:rsidRPr="00B86375" w:rsidRDefault="00A57845" w:rsidP="00A57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 of the paper</w:t>
            </w:r>
          </w:p>
        </w:tc>
      </w:tr>
      <w:tr w:rsidR="00A57845" w14:paraId="6D300752" w14:textId="77777777" w:rsidTr="00A57845">
        <w:tc>
          <w:tcPr>
            <w:tcW w:w="10627" w:type="dxa"/>
          </w:tcPr>
          <w:p w14:paraId="0D28B18C" w14:textId="24C585D5" w:rsidR="00A57845" w:rsidRDefault="0085110E" w:rsidP="005D3A23">
            <w:pPr>
              <w:rPr>
                <w:sz w:val="24"/>
                <w:szCs w:val="24"/>
              </w:rPr>
            </w:pPr>
            <w:r w:rsidRPr="0085110E">
              <w:rPr>
                <w:sz w:val="24"/>
                <w:szCs w:val="24"/>
              </w:rPr>
              <w:t>The Board has previously agreed that this paper should be published as a matter of course. It will be published on our website in due course.</w:t>
            </w:r>
          </w:p>
        </w:tc>
      </w:tr>
    </w:tbl>
    <w:p w14:paraId="6695CF38" w14:textId="77777777" w:rsidR="00A57845" w:rsidRPr="00A57845" w:rsidRDefault="00A57845" w:rsidP="00A57845">
      <w:pPr>
        <w:rPr>
          <w:rFonts w:ascii="Trebuchet MS" w:hAnsi="Trebuchet MS"/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10"/>
        <w:gridCol w:w="8217"/>
      </w:tblGrid>
      <w:tr w:rsidR="00A57845" w14:paraId="34123477" w14:textId="77777777" w:rsidTr="00A57845">
        <w:tc>
          <w:tcPr>
            <w:tcW w:w="10627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1C3B900E" w14:textId="77777777" w:rsidR="00A57845" w:rsidRPr="00D664C5" w:rsidRDefault="00A57845" w:rsidP="00A57845">
            <w:pPr>
              <w:rPr>
                <w:b/>
                <w:sz w:val="24"/>
                <w:szCs w:val="24"/>
              </w:rPr>
            </w:pPr>
            <w:r w:rsidRPr="00D664C5">
              <w:rPr>
                <w:b/>
                <w:sz w:val="24"/>
                <w:szCs w:val="24"/>
              </w:rPr>
              <w:t xml:space="preserve">Executive </w:t>
            </w:r>
            <w:r>
              <w:rPr>
                <w:b/>
                <w:sz w:val="24"/>
                <w:szCs w:val="24"/>
              </w:rPr>
              <w:t>s</w:t>
            </w:r>
            <w:r w:rsidRPr="00D664C5">
              <w:rPr>
                <w:b/>
                <w:sz w:val="24"/>
                <w:szCs w:val="24"/>
              </w:rPr>
              <w:t>ummary</w:t>
            </w:r>
          </w:p>
        </w:tc>
      </w:tr>
      <w:tr w:rsidR="00A57845" w14:paraId="20513D0F" w14:textId="77777777" w:rsidTr="00A57845">
        <w:tc>
          <w:tcPr>
            <w:tcW w:w="10627" w:type="dxa"/>
            <w:gridSpan w:val="2"/>
            <w:tcBorders>
              <w:left w:val="single" w:sz="4" w:space="0" w:color="000000"/>
            </w:tcBorders>
          </w:tcPr>
          <w:p w14:paraId="0BEF3826" w14:textId="34E97265" w:rsidR="0067241B" w:rsidRDefault="001065CE" w:rsidP="00A57845">
            <w:pPr>
              <w:rPr>
                <w:sz w:val="24"/>
                <w:szCs w:val="24"/>
              </w:rPr>
            </w:pPr>
            <w:r w:rsidRPr="001065CE">
              <w:rPr>
                <w:sz w:val="24"/>
                <w:szCs w:val="24"/>
              </w:rPr>
              <w:t xml:space="preserve">As part of </w:t>
            </w:r>
            <w:r w:rsidR="00953540">
              <w:rPr>
                <w:sz w:val="24"/>
                <w:szCs w:val="24"/>
              </w:rPr>
              <w:t>our</w:t>
            </w:r>
            <w:r w:rsidRPr="001065CE">
              <w:rPr>
                <w:sz w:val="24"/>
                <w:szCs w:val="24"/>
              </w:rPr>
              <w:t xml:space="preserve"> annual governance</w:t>
            </w:r>
            <w:r w:rsidR="00953540">
              <w:rPr>
                <w:sz w:val="24"/>
                <w:szCs w:val="24"/>
              </w:rPr>
              <w:t xml:space="preserve"> program</w:t>
            </w:r>
            <w:r w:rsidR="0067241B">
              <w:rPr>
                <w:sz w:val="24"/>
                <w:szCs w:val="24"/>
              </w:rPr>
              <w:t>me,</w:t>
            </w:r>
            <w:r w:rsidRPr="001065CE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n </w:t>
            </w:r>
            <w:r w:rsidR="0067241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ssessment of </w:t>
            </w:r>
            <w:r w:rsidR="0067241B">
              <w:rPr>
                <w:sz w:val="24"/>
                <w:szCs w:val="24"/>
              </w:rPr>
              <w:t>b</w:t>
            </w:r>
            <w:r w:rsidRPr="001065CE">
              <w:rPr>
                <w:sz w:val="24"/>
                <w:szCs w:val="24"/>
              </w:rPr>
              <w:t xml:space="preserve">oard </w:t>
            </w:r>
            <w:r w:rsidR="0067241B">
              <w:rPr>
                <w:sz w:val="24"/>
                <w:szCs w:val="24"/>
              </w:rPr>
              <w:t>e</w:t>
            </w:r>
            <w:r w:rsidRPr="001065CE">
              <w:rPr>
                <w:sz w:val="24"/>
                <w:szCs w:val="24"/>
              </w:rPr>
              <w:t>ffectiveness for 2022-23</w:t>
            </w:r>
            <w:r>
              <w:rPr>
                <w:sz w:val="24"/>
                <w:szCs w:val="24"/>
              </w:rPr>
              <w:t xml:space="preserve"> was undertaken</w:t>
            </w:r>
            <w:r w:rsidRPr="001065CE">
              <w:rPr>
                <w:sz w:val="24"/>
                <w:szCs w:val="24"/>
              </w:rPr>
              <w:t xml:space="preserve">. </w:t>
            </w:r>
            <w:r w:rsidR="0067241B">
              <w:rPr>
                <w:sz w:val="24"/>
                <w:szCs w:val="24"/>
              </w:rPr>
              <w:t xml:space="preserve">A range of documentation was considered to analyse Board input, including board meeting papers and </w:t>
            </w:r>
            <w:r w:rsidRPr="001065CE">
              <w:rPr>
                <w:sz w:val="24"/>
                <w:szCs w:val="24"/>
              </w:rPr>
              <w:t>minutes.</w:t>
            </w:r>
            <w:r>
              <w:rPr>
                <w:sz w:val="24"/>
                <w:szCs w:val="24"/>
              </w:rPr>
              <w:t xml:space="preserve"> </w:t>
            </w:r>
          </w:p>
          <w:p w14:paraId="0A820B1D" w14:textId="77777777" w:rsidR="006C6575" w:rsidRDefault="006C6575" w:rsidP="00A57845">
            <w:pPr>
              <w:rPr>
                <w:sz w:val="24"/>
                <w:szCs w:val="24"/>
              </w:rPr>
            </w:pPr>
          </w:p>
          <w:p w14:paraId="397388BB" w14:textId="160FACAA" w:rsidR="001065CE" w:rsidRPr="00434C6D" w:rsidRDefault="001065CE" w:rsidP="00A5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concluded that the Board functions effectively.</w:t>
            </w:r>
          </w:p>
        </w:tc>
      </w:tr>
      <w:tr w:rsidR="00A57845" w14:paraId="1067857A" w14:textId="77777777" w:rsidTr="00A57845">
        <w:tc>
          <w:tcPr>
            <w:tcW w:w="10627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0907EEF9" w14:textId="77777777" w:rsidR="00A57845" w:rsidRDefault="00A57845" w:rsidP="00A57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Previous consideration</w:t>
            </w:r>
          </w:p>
        </w:tc>
      </w:tr>
      <w:tr w:rsidR="00A57845" w14:paraId="2F5A9492" w14:textId="77777777" w:rsidTr="00A57845">
        <w:tc>
          <w:tcPr>
            <w:tcW w:w="2410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6E784394" w14:textId="77777777" w:rsidR="00A57845" w:rsidRDefault="00A57845" w:rsidP="00A57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8217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16C56FB1" w14:textId="77777777" w:rsidR="00A57845" w:rsidRDefault="00A57845" w:rsidP="00A57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</w:t>
            </w:r>
          </w:p>
        </w:tc>
      </w:tr>
      <w:tr w:rsidR="00A57845" w14:paraId="13034B5D" w14:textId="77777777" w:rsidTr="00A57845">
        <w:tc>
          <w:tcPr>
            <w:tcW w:w="2410" w:type="dxa"/>
            <w:tcBorders>
              <w:left w:val="single" w:sz="4" w:space="0" w:color="000000"/>
            </w:tcBorders>
          </w:tcPr>
          <w:p w14:paraId="535F9B81" w14:textId="107A725D" w:rsidR="00650B75" w:rsidRPr="00777096" w:rsidRDefault="00953540" w:rsidP="00A5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50B75">
              <w:rPr>
                <w:sz w:val="24"/>
                <w:szCs w:val="24"/>
              </w:rPr>
              <w:t xml:space="preserve">oard – </w:t>
            </w:r>
            <w:r w:rsidR="00773BB9">
              <w:rPr>
                <w:sz w:val="24"/>
                <w:szCs w:val="24"/>
              </w:rPr>
              <w:t>December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217" w:type="dxa"/>
            <w:tcBorders>
              <w:left w:val="single" w:sz="4" w:space="0" w:color="000000"/>
            </w:tcBorders>
          </w:tcPr>
          <w:p w14:paraId="0CB1908E" w14:textId="6E89457A" w:rsidR="00953540" w:rsidRDefault="00953540" w:rsidP="009535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Board Effectiveness was last brought to the Board in December 2021. </w:t>
            </w:r>
            <w:r w:rsidR="0081730E">
              <w:rPr>
                <w:sz w:val="24"/>
                <w:szCs w:val="24"/>
              </w:rPr>
              <w:t>There were no actions arising.</w:t>
            </w:r>
          </w:p>
        </w:tc>
      </w:tr>
    </w:tbl>
    <w:p w14:paraId="006EF5F9" w14:textId="77777777" w:rsidR="00A57845" w:rsidRPr="00A57845" w:rsidRDefault="00A57845" w:rsidP="00C3315D">
      <w:pPr>
        <w:tabs>
          <w:tab w:val="left" w:pos="4230"/>
        </w:tabs>
        <w:rPr>
          <w:rFonts w:ascii="Trebuchet MS" w:hAnsi="Trebuchet MS"/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7845" w:rsidRPr="00B86375" w14:paraId="734373B9" w14:textId="77777777" w:rsidTr="00A57845">
        <w:tc>
          <w:tcPr>
            <w:tcW w:w="10627" w:type="dxa"/>
            <w:shd w:val="clear" w:color="auto" w:fill="D9D9D9" w:themeFill="background1" w:themeFillShade="D9"/>
          </w:tcPr>
          <w:p w14:paraId="3BDEF400" w14:textId="77777777" w:rsidR="00A57845" w:rsidRPr="00B86375" w:rsidRDefault="00A57845" w:rsidP="00A57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</w:t>
            </w:r>
          </w:p>
        </w:tc>
      </w:tr>
      <w:tr w:rsidR="00A57845" w14:paraId="47DAA6C6" w14:textId="77777777" w:rsidTr="00A57845">
        <w:tc>
          <w:tcPr>
            <w:tcW w:w="10627" w:type="dxa"/>
          </w:tcPr>
          <w:p w14:paraId="7DBB6FB2" w14:textId="768CBCCD" w:rsidR="00A57845" w:rsidRDefault="001065CE" w:rsidP="00A5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39D7C69" w14:textId="74F3D826" w:rsidR="001065CE" w:rsidRPr="0081730E" w:rsidRDefault="001065CE" w:rsidP="001065CE">
            <w:pPr>
              <w:rPr>
                <w:b/>
                <w:bCs/>
                <w:sz w:val="24"/>
                <w:szCs w:val="24"/>
                <w:u w:val="single"/>
              </w:rPr>
            </w:pPr>
            <w:r w:rsidRPr="0081730E">
              <w:rPr>
                <w:b/>
                <w:bCs/>
                <w:sz w:val="24"/>
                <w:szCs w:val="24"/>
                <w:u w:val="single"/>
              </w:rPr>
              <w:t>Format</w:t>
            </w:r>
            <w:r w:rsidR="0067241B" w:rsidRPr="0081730E">
              <w:rPr>
                <w:b/>
                <w:bCs/>
                <w:sz w:val="24"/>
                <w:szCs w:val="24"/>
                <w:u w:val="single"/>
              </w:rPr>
              <w:t xml:space="preserve"> of the assessment tool</w:t>
            </w:r>
          </w:p>
          <w:p w14:paraId="58F8E80E" w14:textId="78A93BF7" w:rsidR="001065CE" w:rsidRPr="006C6575" w:rsidRDefault="001065CE" w:rsidP="006C6575">
            <w:pPr>
              <w:rPr>
                <w:sz w:val="24"/>
                <w:szCs w:val="24"/>
              </w:rPr>
            </w:pPr>
            <w:r w:rsidRPr="006C6575">
              <w:rPr>
                <w:sz w:val="24"/>
                <w:szCs w:val="24"/>
              </w:rPr>
              <w:t xml:space="preserve">The </w:t>
            </w:r>
            <w:r w:rsidR="0067241B" w:rsidRPr="006C6575">
              <w:rPr>
                <w:sz w:val="24"/>
                <w:szCs w:val="24"/>
              </w:rPr>
              <w:t>f</w:t>
            </w:r>
            <w:r w:rsidRPr="006C6575">
              <w:rPr>
                <w:sz w:val="24"/>
                <w:szCs w:val="24"/>
              </w:rPr>
              <w:t xml:space="preserve">ormat of the report has remained relatively unchanged to the previous year’s document, with the </w:t>
            </w:r>
            <w:r w:rsidR="0067241B" w:rsidRPr="006C6575">
              <w:rPr>
                <w:sz w:val="24"/>
                <w:szCs w:val="24"/>
              </w:rPr>
              <w:t>p</w:t>
            </w:r>
            <w:r w:rsidRPr="006C6575">
              <w:rPr>
                <w:sz w:val="24"/>
                <w:szCs w:val="24"/>
              </w:rPr>
              <w:t xml:space="preserve">erformance </w:t>
            </w:r>
            <w:r w:rsidR="0067241B" w:rsidRPr="006C6575">
              <w:rPr>
                <w:sz w:val="24"/>
                <w:szCs w:val="24"/>
              </w:rPr>
              <w:t>c</w:t>
            </w:r>
            <w:r w:rsidRPr="006C6575">
              <w:rPr>
                <w:sz w:val="24"/>
                <w:szCs w:val="24"/>
              </w:rPr>
              <w:t xml:space="preserve">ategory and </w:t>
            </w:r>
            <w:r w:rsidR="0067241B" w:rsidRPr="006C6575">
              <w:rPr>
                <w:sz w:val="24"/>
                <w:szCs w:val="24"/>
              </w:rPr>
              <w:t>p</w:t>
            </w:r>
            <w:r w:rsidRPr="006C6575">
              <w:rPr>
                <w:sz w:val="24"/>
                <w:szCs w:val="24"/>
              </w:rPr>
              <w:t xml:space="preserve">erformance </w:t>
            </w:r>
            <w:r w:rsidR="0067241B" w:rsidRPr="006C6575">
              <w:rPr>
                <w:sz w:val="24"/>
                <w:szCs w:val="24"/>
              </w:rPr>
              <w:t>i</w:t>
            </w:r>
            <w:r w:rsidRPr="006C6575">
              <w:rPr>
                <w:sz w:val="24"/>
                <w:szCs w:val="24"/>
              </w:rPr>
              <w:t>ndicators staying the same. It is noted that the Audit Committee were happy with the format of their annual report to the Board</w:t>
            </w:r>
            <w:r w:rsidR="00DA5CA6" w:rsidRPr="006C6575">
              <w:rPr>
                <w:sz w:val="24"/>
                <w:szCs w:val="24"/>
              </w:rPr>
              <w:t xml:space="preserve"> recognising</w:t>
            </w:r>
            <w:r w:rsidRPr="006C6575">
              <w:rPr>
                <w:sz w:val="24"/>
                <w:szCs w:val="24"/>
              </w:rPr>
              <w:t xml:space="preserve"> and documenting where they ha</w:t>
            </w:r>
            <w:r w:rsidR="00CA1553" w:rsidRPr="006C6575">
              <w:rPr>
                <w:sz w:val="24"/>
                <w:szCs w:val="24"/>
              </w:rPr>
              <w:t>d</w:t>
            </w:r>
            <w:r w:rsidRPr="006C6575">
              <w:rPr>
                <w:sz w:val="24"/>
                <w:szCs w:val="24"/>
              </w:rPr>
              <w:t xml:space="preserve"> added value. We have tried to bring out the same kind of supporting evidence here.</w:t>
            </w:r>
          </w:p>
          <w:p w14:paraId="5D6031DB" w14:textId="77777777" w:rsidR="001065CE" w:rsidRDefault="001065CE" w:rsidP="001065CE"/>
          <w:p w14:paraId="6DA7F091" w14:textId="277CFD8B" w:rsidR="001065CE" w:rsidRPr="0081730E" w:rsidRDefault="00FF05BD" w:rsidP="001065CE">
            <w:pPr>
              <w:rPr>
                <w:b/>
                <w:bCs/>
                <w:sz w:val="24"/>
                <w:szCs w:val="24"/>
                <w:u w:val="single"/>
              </w:rPr>
            </w:pPr>
            <w:r w:rsidRPr="0081730E">
              <w:rPr>
                <w:b/>
                <w:bCs/>
                <w:sz w:val="24"/>
                <w:szCs w:val="24"/>
                <w:u w:val="single"/>
              </w:rPr>
              <w:t>Evidence</w:t>
            </w:r>
          </w:p>
          <w:p w14:paraId="01179188" w14:textId="4B9D4C7E" w:rsidR="004A315B" w:rsidRDefault="004A315B" w:rsidP="001065CE">
            <w:pPr>
              <w:rPr>
                <w:b/>
                <w:bCs/>
                <w:sz w:val="24"/>
                <w:szCs w:val="24"/>
              </w:rPr>
            </w:pPr>
          </w:p>
          <w:p w14:paraId="6C8C67B8" w14:textId="18239807" w:rsidR="004A315B" w:rsidRPr="000C124C" w:rsidRDefault="004A315B" w:rsidP="001065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Evidence of effective oversight has included:</w:t>
            </w:r>
          </w:p>
          <w:p w14:paraId="474A2443" w14:textId="77777777" w:rsidR="004A315B" w:rsidRDefault="004A315B" w:rsidP="001065CE"/>
          <w:p w14:paraId="4FB36168" w14:textId="7A16061F" w:rsidR="00FF05BD" w:rsidRDefault="00FF05BD" w:rsidP="0081730E">
            <w:pPr>
              <w:pStyle w:val="ListParagraph"/>
              <w:numPr>
                <w:ilvl w:val="0"/>
                <w:numId w:val="0"/>
              </w:numPr>
              <w:ind w:left="29"/>
            </w:pPr>
            <w:r w:rsidRPr="000C124C">
              <w:t>The contributions made by the Board have shown an understanding of the</w:t>
            </w:r>
            <w:r w:rsidR="00055A7E" w:rsidRPr="000C124C">
              <w:t xml:space="preserve"> complex</w:t>
            </w:r>
            <w:r w:rsidRPr="000C124C">
              <w:t xml:space="preserve"> role of the organisation and responsibilities to customers</w:t>
            </w:r>
            <w:r w:rsidR="004A315B">
              <w:t xml:space="preserve">. </w:t>
            </w:r>
            <w:proofErr w:type="gramStart"/>
            <w:r w:rsidR="004A315B">
              <w:t xml:space="preserve">In particular, </w:t>
            </w:r>
            <w:r w:rsidR="00055A7E" w:rsidRPr="000C124C">
              <w:t>benchmarking</w:t>
            </w:r>
            <w:proofErr w:type="gramEnd"/>
            <w:r w:rsidR="00055A7E" w:rsidRPr="000C124C">
              <w:t xml:space="preserve"> discussions, civil legal aid applications and </w:t>
            </w:r>
            <w:r w:rsidR="004A315B">
              <w:t>g</w:t>
            </w:r>
            <w:r w:rsidR="00A96BB4">
              <w:t xml:space="preserve">rant </w:t>
            </w:r>
            <w:r w:rsidR="004A315B">
              <w:t>f</w:t>
            </w:r>
            <w:r w:rsidR="00A96BB4">
              <w:t>unding procedures</w:t>
            </w:r>
            <w:r w:rsidR="00055A7E" w:rsidRPr="000C124C">
              <w:t xml:space="preserve">. </w:t>
            </w:r>
          </w:p>
          <w:p w14:paraId="32530544" w14:textId="77777777" w:rsidR="000C124C" w:rsidRPr="000C124C" w:rsidRDefault="000C124C" w:rsidP="004A315B">
            <w:pPr>
              <w:pStyle w:val="ListParagraph"/>
              <w:numPr>
                <w:ilvl w:val="0"/>
                <w:numId w:val="0"/>
              </w:numPr>
              <w:ind w:left="29"/>
            </w:pPr>
          </w:p>
          <w:p w14:paraId="26D143D9" w14:textId="55348FDC" w:rsidR="00055A7E" w:rsidRDefault="00055A7E" w:rsidP="0081730E">
            <w:pPr>
              <w:pStyle w:val="ListParagraph"/>
              <w:numPr>
                <w:ilvl w:val="0"/>
                <w:numId w:val="0"/>
              </w:numPr>
              <w:ind w:left="29"/>
            </w:pPr>
            <w:r w:rsidRPr="000C124C">
              <w:t>The Board have consistently requested updates in relation to the progression of the E</w:t>
            </w:r>
            <w:r w:rsidR="008529BA">
              <w:t xml:space="preserve">qualities and </w:t>
            </w:r>
            <w:r w:rsidRPr="000C124C">
              <w:t>H</w:t>
            </w:r>
            <w:r w:rsidR="008529BA">
              <w:t xml:space="preserve">uman </w:t>
            </w:r>
            <w:r w:rsidRPr="000C124C">
              <w:t>R</w:t>
            </w:r>
            <w:r w:rsidR="008529BA">
              <w:t xml:space="preserve">ights </w:t>
            </w:r>
            <w:r w:rsidR="000C124C">
              <w:t>C</w:t>
            </w:r>
            <w:r w:rsidR="008529BA">
              <w:t>ommission (EHRC)</w:t>
            </w:r>
            <w:r w:rsidRPr="000C124C">
              <w:t xml:space="preserve"> </w:t>
            </w:r>
            <w:r w:rsidR="004A315B">
              <w:t>a</w:t>
            </w:r>
            <w:r w:rsidRPr="000C124C">
              <w:t xml:space="preserve">ction </w:t>
            </w:r>
            <w:r w:rsidR="004A315B">
              <w:t>p</w:t>
            </w:r>
            <w:r w:rsidRPr="000C124C">
              <w:t xml:space="preserve">lan. </w:t>
            </w:r>
          </w:p>
          <w:p w14:paraId="51EE204E" w14:textId="77777777" w:rsidR="000C124C" w:rsidRDefault="000C124C" w:rsidP="004A315B">
            <w:pPr>
              <w:pStyle w:val="ListParagraph"/>
              <w:numPr>
                <w:ilvl w:val="0"/>
                <w:numId w:val="0"/>
              </w:numPr>
              <w:ind w:left="29"/>
            </w:pPr>
          </w:p>
          <w:p w14:paraId="4FD9BF27" w14:textId="4162DEBB" w:rsidR="00055A7E" w:rsidRPr="000C124C" w:rsidRDefault="00055A7E" w:rsidP="0081730E">
            <w:pPr>
              <w:pStyle w:val="ListParagraph"/>
              <w:numPr>
                <w:ilvl w:val="0"/>
                <w:numId w:val="0"/>
              </w:numPr>
              <w:ind w:left="29"/>
            </w:pPr>
            <w:r w:rsidRPr="000C124C">
              <w:t>When matters brought to the Board have required additional information</w:t>
            </w:r>
            <w:r w:rsidR="000C124C">
              <w:t xml:space="preserve"> or clarity</w:t>
            </w:r>
            <w:r w:rsidRPr="000C124C">
              <w:t>, the Board have asked for details and for the subject to be brought to a following meeting to be revisited.</w:t>
            </w:r>
            <w:r w:rsidRPr="000C124C">
              <w:rPr>
                <w:sz w:val="18"/>
                <w:szCs w:val="18"/>
              </w:rPr>
              <w:t xml:space="preserve"> </w:t>
            </w:r>
          </w:p>
          <w:p w14:paraId="17611893" w14:textId="77777777" w:rsidR="000C124C" w:rsidRPr="000C124C" w:rsidRDefault="000C124C" w:rsidP="004A315B">
            <w:pPr>
              <w:pStyle w:val="ListParagraph"/>
              <w:numPr>
                <w:ilvl w:val="0"/>
                <w:numId w:val="0"/>
              </w:numPr>
              <w:ind w:left="29"/>
            </w:pPr>
          </w:p>
          <w:p w14:paraId="35496FDC" w14:textId="2B51D86E" w:rsidR="00055A7E" w:rsidRDefault="00055A7E" w:rsidP="0081730E">
            <w:pPr>
              <w:pStyle w:val="ListParagraph"/>
              <w:numPr>
                <w:ilvl w:val="0"/>
                <w:numId w:val="0"/>
              </w:numPr>
              <w:ind w:left="29"/>
            </w:pPr>
            <w:r w:rsidRPr="000C124C">
              <w:t xml:space="preserve">The Board have taken an interest in the wellbeing of the staff and have raised questions in relation to </w:t>
            </w:r>
            <w:r w:rsidR="000C124C" w:rsidRPr="000C124C">
              <w:t>the delayed pay awar</w:t>
            </w:r>
            <w:r w:rsidR="004A315B">
              <w:t xml:space="preserve">d, arrangements for supporting staff with </w:t>
            </w:r>
            <w:r w:rsidR="000C124C" w:rsidRPr="000C124C">
              <w:t>mental health</w:t>
            </w:r>
            <w:r w:rsidR="000C124C">
              <w:t xml:space="preserve"> </w:t>
            </w:r>
            <w:r w:rsidR="004A315B">
              <w:t>issues and</w:t>
            </w:r>
            <w:r w:rsidR="000C124C">
              <w:t xml:space="preserve"> the results of the staff survey</w:t>
            </w:r>
            <w:r w:rsidR="000C124C" w:rsidRPr="000C124C">
              <w:t xml:space="preserve">. </w:t>
            </w:r>
          </w:p>
          <w:p w14:paraId="3FD9F076" w14:textId="77777777" w:rsidR="0085110E" w:rsidRPr="0085110E" w:rsidRDefault="0085110E" w:rsidP="004A315B">
            <w:pPr>
              <w:ind w:left="29" w:hanging="360"/>
            </w:pPr>
          </w:p>
          <w:p w14:paraId="04FC1471" w14:textId="459F7EB9" w:rsidR="0085110E" w:rsidRPr="0085110E" w:rsidRDefault="004A315B" w:rsidP="0081730E">
            <w:pPr>
              <w:pStyle w:val="ListParagraph"/>
              <w:numPr>
                <w:ilvl w:val="0"/>
                <w:numId w:val="0"/>
              </w:numPr>
              <w:ind w:left="29"/>
            </w:pPr>
            <w:r>
              <w:t xml:space="preserve">During </w:t>
            </w:r>
            <w:r w:rsidR="0085110E">
              <w:t xml:space="preserve">2022 there was an Internal Audit report of </w:t>
            </w:r>
            <w:r>
              <w:t>b</w:t>
            </w:r>
            <w:r w:rsidR="0085110E">
              <w:t xml:space="preserve">est </w:t>
            </w:r>
            <w:r>
              <w:t>v</w:t>
            </w:r>
            <w:r w:rsidR="0085110E">
              <w:t>alue where the Standing Orders of the Board were reviewed. It was reported that decision making was clear and transparent.</w:t>
            </w:r>
          </w:p>
          <w:p w14:paraId="3A516701" w14:textId="12CD6018" w:rsidR="000C124C" w:rsidRPr="000C124C" w:rsidRDefault="000C124C" w:rsidP="000C124C">
            <w:pPr>
              <w:rPr>
                <w:b/>
                <w:bCs/>
                <w:sz w:val="24"/>
                <w:szCs w:val="24"/>
              </w:rPr>
            </w:pPr>
          </w:p>
          <w:p w14:paraId="02953FC8" w14:textId="6BEC26DF" w:rsidR="000C124C" w:rsidRPr="000C124C" w:rsidRDefault="004A315B" w:rsidP="0081730E">
            <w:pPr>
              <w:pStyle w:val="ListParagraph"/>
              <w:numPr>
                <w:ilvl w:val="0"/>
                <w:numId w:val="0"/>
              </w:numPr>
              <w:ind w:left="29"/>
            </w:pPr>
            <w:r>
              <w:t>T</w:t>
            </w:r>
            <w:r w:rsidR="000C124C">
              <w:t>he</w:t>
            </w:r>
            <w:r w:rsidR="00916A82">
              <w:t>re was significant</w:t>
            </w:r>
            <w:r w:rsidR="000C124C">
              <w:t xml:space="preserve"> collaborative engagement which took place at the Strategy Day in December 2022</w:t>
            </w:r>
            <w:r w:rsidR="00916A82">
              <w:t>. It was felt that the groundwork for the n</w:t>
            </w:r>
            <w:r w:rsidR="000C124C">
              <w:t xml:space="preserve">ew Corporate Plan </w:t>
            </w:r>
            <w:r w:rsidR="00916A82">
              <w:t xml:space="preserve">presented an opportunity for the organisation and in turn a renewed focus for the Board. The Board discussed at length the anticipated challenges during the life span of the Corporate Plan and agreed that a different bold approach was required. The Board utilised the time to identify the plan as a mechanism to influence and to think and engage differently. </w:t>
            </w:r>
          </w:p>
          <w:p w14:paraId="1AB90AA9" w14:textId="18C6EC1D" w:rsidR="001065CE" w:rsidRPr="000C124C" w:rsidRDefault="001065CE" w:rsidP="001065CE">
            <w:pPr>
              <w:rPr>
                <w:sz w:val="24"/>
                <w:szCs w:val="24"/>
              </w:rPr>
            </w:pPr>
          </w:p>
        </w:tc>
      </w:tr>
    </w:tbl>
    <w:p w14:paraId="2A3CC84E" w14:textId="77777777" w:rsidR="00A57845" w:rsidRPr="00A57845" w:rsidRDefault="00A57845" w:rsidP="00A57845">
      <w:pPr>
        <w:rPr>
          <w:rFonts w:ascii="Trebuchet MS" w:hAnsi="Trebuchet MS"/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A57845" w14:paraId="7D92576C" w14:textId="77777777" w:rsidTr="00583F60">
        <w:tc>
          <w:tcPr>
            <w:tcW w:w="2547" w:type="dxa"/>
            <w:shd w:val="clear" w:color="auto" w:fill="D9D9D9" w:themeFill="background1" w:themeFillShade="D9"/>
          </w:tcPr>
          <w:p w14:paraId="78DD3206" w14:textId="77777777" w:rsidR="00A57845" w:rsidRPr="002265D6" w:rsidRDefault="00A57845" w:rsidP="00A57845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D9D9D9" w:themeFill="background1" w:themeFillShade="D9"/>
          </w:tcPr>
          <w:p w14:paraId="58D4FA47" w14:textId="77777777" w:rsidR="00A57845" w:rsidRPr="002265D6" w:rsidRDefault="00A57845" w:rsidP="00A57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Governance links</w:t>
            </w:r>
            <w:r w:rsidRPr="002265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DE55BE">
              <w:rPr>
                <w:i/>
                <w:sz w:val="24"/>
                <w:szCs w:val="24"/>
              </w:rPr>
              <w:t>An</w:t>
            </w:r>
            <w:r w:rsidRPr="00C353B9">
              <w:rPr>
                <w:i/>
                <w:sz w:val="24"/>
                <w:szCs w:val="24"/>
              </w:rPr>
              <w:t xml:space="preserve">y relevant information linked to key heads of </w:t>
            </w:r>
            <w:r>
              <w:rPr>
                <w:i/>
                <w:sz w:val="24"/>
                <w:szCs w:val="24"/>
              </w:rPr>
              <w:t xml:space="preserve">corporate </w:t>
            </w:r>
            <w:r w:rsidRPr="00C353B9">
              <w:rPr>
                <w:i/>
                <w:sz w:val="24"/>
                <w:szCs w:val="24"/>
              </w:rPr>
              <w:t>governance</w:t>
            </w:r>
          </w:p>
        </w:tc>
      </w:tr>
      <w:tr w:rsidR="00A57845" w14:paraId="29CBAEAB" w14:textId="77777777" w:rsidTr="00583F60">
        <w:tc>
          <w:tcPr>
            <w:tcW w:w="2547" w:type="dxa"/>
          </w:tcPr>
          <w:p w14:paraId="7230BE12" w14:textId="77777777" w:rsidR="00A57845" w:rsidRDefault="00A57845" w:rsidP="0058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Finance and resources</w:t>
            </w:r>
          </w:p>
        </w:tc>
        <w:tc>
          <w:tcPr>
            <w:tcW w:w="8080" w:type="dxa"/>
          </w:tcPr>
          <w:p w14:paraId="52F8B1D9" w14:textId="28529B26" w:rsidR="00A57845" w:rsidRDefault="00B25C6B" w:rsidP="0058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  <w:r w:rsidR="000A687E">
              <w:rPr>
                <w:sz w:val="24"/>
                <w:szCs w:val="24"/>
              </w:rPr>
              <w:t xml:space="preserve"> </w:t>
            </w:r>
          </w:p>
        </w:tc>
      </w:tr>
      <w:tr w:rsidR="00A57845" w14:paraId="57F67E12" w14:textId="77777777" w:rsidTr="00583F60">
        <w:tc>
          <w:tcPr>
            <w:tcW w:w="2547" w:type="dxa"/>
          </w:tcPr>
          <w:p w14:paraId="05F8B1FD" w14:textId="77777777" w:rsidR="00A57845" w:rsidRDefault="00A57845" w:rsidP="0058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Risk</w:t>
            </w:r>
          </w:p>
        </w:tc>
        <w:tc>
          <w:tcPr>
            <w:tcW w:w="8080" w:type="dxa"/>
          </w:tcPr>
          <w:p w14:paraId="30D0DE8C" w14:textId="1034A2D0" w:rsidR="00B25C6B" w:rsidRDefault="00B25C6B" w:rsidP="00583F60">
            <w:pPr>
              <w:rPr>
                <w:sz w:val="24"/>
                <w:szCs w:val="24"/>
              </w:rPr>
            </w:pPr>
            <w:r w:rsidRPr="00B25C6B">
              <w:rPr>
                <w:sz w:val="24"/>
                <w:szCs w:val="24"/>
              </w:rPr>
              <w:t>This work contributes to mitigating a functional risk we have of there being a failure in board and committee governance.</w:t>
            </w:r>
          </w:p>
        </w:tc>
      </w:tr>
      <w:tr w:rsidR="00A57845" w14:paraId="37CC9239" w14:textId="77777777" w:rsidTr="00583F60">
        <w:tc>
          <w:tcPr>
            <w:tcW w:w="2547" w:type="dxa"/>
          </w:tcPr>
          <w:p w14:paraId="264F50E2" w14:textId="77777777" w:rsidR="00A57845" w:rsidRDefault="00A57845" w:rsidP="0058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Legal and compliance</w:t>
            </w:r>
          </w:p>
        </w:tc>
        <w:tc>
          <w:tcPr>
            <w:tcW w:w="8080" w:type="dxa"/>
          </w:tcPr>
          <w:p w14:paraId="4BDEA77F" w14:textId="386105B1" w:rsidR="00A57845" w:rsidRDefault="00B25C6B" w:rsidP="0058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A57845" w14:paraId="0C3B3AAE" w14:textId="77777777" w:rsidTr="006C6575">
        <w:trPr>
          <w:trHeight w:val="424"/>
        </w:trPr>
        <w:tc>
          <w:tcPr>
            <w:tcW w:w="2547" w:type="dxa"/>
          </w:tcPr>
          <w:p w14:paraId="3E125B71" w14:textId="77777777" w:rsidR="00A57845" w:rsidRDefault="00A57845" w:rsidP="0058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Performance</w:t>
            </w:r>
          </w:p>
        </w:tc>
        <w:tc>
          <w:tcPr>
            <w:tcW w:w="8080" w:type="dxa"/>
          </w:tcPr>
          <w:p w14:paraId="614AC382" w14:textId="4E56C088" w:rsidR="00A57845" w:rsidRDefault="00B25C6B" w:rsidP="0058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directly linked to the measurement of performance.</w:t>
            </w:r>
          </w:p>
        </w:tc>
      </w:tr>
      <w:tr w:rsidR="00A57845" w14:paraId="6EE67778" w14:textId="77777777" w:rsidTr="00583F60">
        <w:tc>
          <w:tcPr>
            <w:tcW w:w="2547" w:type="dxa"/>
          </w:tcPr>
          <w:p w14:paraId="5746E0A1" w14:textId="77777777" w:rsidR="00A57845" w:rsidRDefault="00A57845" w:rsidP="0058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Equalities impact</w:t>
            </w:r>
          </w:p>
        </w:tc>
        <w:tc>
          <w:tcPr>
            <w:tcW w:w="8080" w:type="dxa"/>
          </w:tcPr>
          <w:p w14:paraId="55245BE6" w14:textId="42E5D408" w:rsidR="00A57845" w:rsidRDefault="00B25C6B" w:rsidP="0058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 of the Board is a performance measure in the effectiveness tool.</w:t>
            </w:r>
          </w:p>
        </w:tc>
      </w:tr>
      <w:tr w:rsidR="00A57845" w14:paraId="231143C5" w14:textId="77777777" w:rsidTr="00583F60">
        <w:tc>
          <w:tcPr>
            <w:tcW w:w="2547" w:type="dxa"/>
          </w:tcPr>
          <w:p w14:paraId="1A822C89" w14:textId="77777777" w:rsidR="00A57845" w:rsidRDefault="00A57845" w:rsidP="0058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Privacy impact and data protection</w:t>
            </w:r>
          </w:p>
        </w:tc>
        <w:tc>
          <w:tcPr>
            <w:tcW w:w="8080" w:type="dxa"/>
          </w:tcPr>
          <w:p w14:paraId="0EF333A7" w14:textId="4FF3873A" w:rsidR="00A57845" w:rsidRDefault="00B25C6B" w:rsidP="0058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A57845" w14:paraId="6156606B" w14:textId="77777777" w:rsidTr="00583F60">
        <w:tc>
          <w:tcPr>
            <w:tcW w:w="2547" w:type="dxa"/>
          </w:tcPr>
          <w:p w14:paraId="68619596" w14:textId="77777777" w:rsidR="00A57845" w:rsidRDefault="00A57845" w:rsidP="0058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Communications and engagement</w:t>
            </w:r>
          </w:p>
        </w:tc>
        <w:tc>
          <w:tcPr>
            <w:tcW w:w="8080" w:type="dxa"/>
          </w:tcPr>
          <w:p w14:paraId="02B47E1A" w14:textId="51B1CD1E" w:rsidR="00A57845" w:rsidRDefault="00B25C6B" w:rsidP="0058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14:paraId="49BDD2D2" w14:textId="77777777" w:rsidR="00583F60" w:rsidRPr="00583F60" w:rsidRDefault="00583F60" w:rsidP="00C4741D">
      <w:pPr>
        <w:tabs>
          <w:tab w:val="left" w:pos="4230"/>
        </w:tabs>
        <w:rPr>
          <w:rFonts w:ascii="Trebuchet MS" w:hAnsi="Trebuchet MS"/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83F60" w:rsidRPr="0098730C" w14:paraId="48F23290" w14:textId="77777777" w:rsidTr="00583F60">
        <w:tc>
          <w:tcPr>
            <w:tcW w:w="106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4DACFD" w14:textId="77777777" w:rsidR="00583F60" w:rsidRPr="0098730C" w:rsidRDefault="00583F60" w:rsidP="00512703">
            <w:pPr>
              <w:rPr>
                <w:b/>
                <w:sz w:val="24"/>
                <w:szCs w:val="24"/>
              </w:rPr>
            </w:pPr>
            <w:r w:rsidRPr="0098730C">
              <w:rPr>
                <w:b/>
                <w:sz w:val="24"/>
                <w:szCs w:val="24"/>
              </w:rPr>
              <w:t>Conclusion and next steps</w:t>
            </w:r>
          </w:p>
        </w:tc>
      </w:tr>
      <w:tr w:rsidR="00583F60" w14:paraId="74F08DDD" w14:textId="77777777" w:rsidTr="00583F60">
        <w:tc>
          <w:tcPr>
            <w:tcW w:w="10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F77A" w14:textId="788A81CC" w:rsidR="00583F60" w:rsidRDefault="00A96BB4" w:rsidP="0051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concluded that the Board is engaged, providing best value and are </w:t>
            </w:r>
            <w:r w:rsidR="00A2638B">
              <w:rPr>
                <w:sz w:val="24"/>
                <w:szCs w:val="24"/>
              </w:rPr>
              <w:t xml:space="preserve">well </w:t>
            </w:r>
            <w:r>
              <w:rPr>
                <w:sz w:val="24"/>
                <w:szCs w:val="24"/>
              </w:rPr>
              <w:t xml:space="preserve">supported by the Executive Team and Chief Executive’s Office. </w:t>
            </w:r>
          </w:p>
          <w:p w14:paraId="37A120AF" w14:textId="1FDEDCF4" w:rsidR="00A96BB4" w:rsidRDefault="00A96BB4" w:rsidP="00512703">
            <w:pPr>
              <w:rPr>
                <w:sz w:val="24"/>
                <w:szCs w:val="24"/>
              </w:rPr>
            </w:pPr>
          </w:p>
          <w:p w14:paraId="5167851E" w14:textId="2CDEC078" w:rsidR="00F621CC" w:rsidRDefault="00F621CC" w:rsidP="0051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steps or possible action required for 2023-24 is set out in the assessment.  </w:t>
            </w:r>
          </w:p>
          <w:p w14:paraId="0E8A9130" w14:textId="70733E94" w:rsidR="00A96BB4" w:rsidRDefault="00577BC3" w:rsidP="0051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Board is asked to approve the</w:t>
            </w:r>
            <w:r w:rsidR="004A315B">
              <w:rPr>
                <w:sz w:val="24"/>
                <w:szCs w:val="24"/>
              </w:rPr>
              <w:t xml:space="preserve"> assessment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B7F56AA" w14:textId="77777777" w:rsidR="00583F60" w:rsidRPr="00583F60" w:rsidRDefault="00583F60" w:rsidP="00583F60">
      <w:pPr>
        <w:rPr>
          <w:rFonts w:ascii="Trebuchet MS" w:hAnsi="Trebuchet MS"/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83F60" w14:paraId="1AA3FA39" w14:textId="77777777" w:rsidTr="00583F60">
        <w:tc>
          <w:tcPr>
            <w:tcW w:w="10627" w:type="dxa"/>
            <w:shd w:val="clear" w:color="auto" w:fill="D9D9D9" w:themeFill="background1" w:themeFillShade="D9"/>
          </w:tcPr>
          <w:p w14:paraId="6F2C8981" w14:textId="77777777" w:rsidR="00583F60" w:rsidRPr="0098730C" w:rsidRDefault="00583F60" w:rsidP="00583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Appendix</w:t>
            </w:r>
            <w:r w:rsidRPr="0098730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f</w:t>
            </w:r>
            <w:r w:rsidRPr="0098730C">
              <w:rPr>
                <w:b/>
                <w:sz w:val="24"/>
                <w:szCs w:val="24"/>
              </w:rPr>
              <w:t xml:space="preserve">urther </w:t>
            </w:r>
            <w:r>
              <w:rPr>
                <w:b/>
                <w:sz w:val="24"/>
                <w:szCs w:val="24"/>
              </w:rPr>
              <w:t>r</w:t>
            </w:r>
            <w:r w:rsidRPr="0098730C">
              <w:rPr>
                <w:b/>
                <w:sz w:val="24"/>
                <w:szCs w:val="24"/>
              </w:rPr>
              <w:t>eading</w:t>
            </w:r>
          </w:p>
        </w:tc>
      </w:tr>
      <w:tr w:rsidR="00583F60" w14:paraId="1CBA856F" w14:textId="77777777" w:rsidTr="00583F60">
        <w:tc>
          <w:tcPr>
            <w:tcW w:w="10627" w:type="dxa"/>
            <w:tcBorders>
              <w:right w:val="single" w:sz="4" w:space="0" w:color="auto"/>
            </w:tcBorders>
          </w:tcPr>
          <w:p w14:paraId="1FC326F7" w14:textId="723E910A" w:rsidR="00583F60" w:rsidRDefault="00CA1553" w:rsidP="000A687E">
            <w:pPr>
              <w:rPr>
                <w:sz w:val="24"/>
                <w:szCs w:val="24"/>
              </w:rPr>
            </w:pPr>
            <w:bookmarkStart w:id="0" w:name="_Hlk151986688"/>
            <w:r>
              <w:rPr>
                <w:sz w:val="24"/>
                <w:szCs w:val="24"/>
              </w:rPr>
              <w:t>Board Effectiveness Tool</w:t>
            </w:r>
            <w:bookmarkEnd w:id="0"/>
          </w:p>
        </w:tc>
      </w:tr>
    </w:tbl>
    <w:p w14:paraId="6D35E812" w14:textId="2905AC45" w:rsidR="005D3A23" w:rsidRPr="005D3A23" w:rsidRDefault="000A687E" w:rsidP="00953540">
      <w:pPr>
        <w:spacing w:after="0" w:line="240" w:lineRule="auto"/>
        <w:rPr>
          <w:rFonts w:ascii="Trebuchet MS" w:eastAsia="Calibri" w:hAnsi="Trebuchet MS" w:cs="Times New Roman"/>
          <w:i/>
          <w:sz w:val="24"/>
          <w:szCs w:val="24"/>
        </w:rPr>
      </w:pPr>
      <w:r>
        <w:rPr>
          <w:rFonts w:ascii="Trebuchet MS" w:eastAsia="Calibri" w:hAnsi="Trebuchet MS" w:cs="Times New Roman"/>
          <w:b/>
          <w:i/>
          <w:sz w:val="30"/>
          <w:szCs w:val="30"/>
        </w:rPr>
        <w:br/>
      </w:r>
    </w:p>
    <w:p w14:paraId="5ABF16C7" w14:textId="77777777" w:rsidR="00512703" w:rsidRDefault="00512703" w:rsidP="00512703">
      <w:pPr>
        <w:tabs>
          <w:tab w:val="left" w:pos="4230"/>
        </w:tabs>
        <w:rPr>
          <w:rFonts w:ascii="Trebuchet MS" w:hAnsi="Trebuchet MS"/>
          <w:sz w:val="24"/>
          <w:szCs w:val="24"/>
        </w:rPr>
      </w:pPr>
    </w:p>
    <w:p w14:paraId="52520F5D" w14:textId="77777777" w:rsidR="006C6575" w:rsidRPr="006C6575" w:rsidRDefault="006C6575" w:rsidP="006C6575">
      <w:pPr>
        <w:rPr>
          <w:rFonts w:ascii="Trebuchet MS" w:hAnsi="Trebuchet MS"/>
          <w:sz w:val="24"/>
          <w:szCs w:val="24"/>
        </w:rPr>
      </w:pPr>
    </w:p>
    <w:p w14:paraId="551FC457" w14:textId="77777777" w:rsidR="006C6575" w:rsidRPr="006C6575" w:rsidRDefault="006C6575" w:rsidP="006C6575">
      <w:pPr>
        <w:rPr>
          <w:rFonts w:ascii="Trebuchet MS" w:hAnsi="Trebuchet MS"/>
          <w:sz w:val="24"/>
          <w:szCs w:val="24"/>
        </w:rPr>
      </w:pPr>
    </w:p>
    <w:p w14:paraId="5335070E" w14:textId="77777777" w:rsidR="006C6575" w:rsidRPr="006C6575" w:rsidRDefault="006C6575" w:rsidP="006C6575">
      <w:pPr>
        <w:rPr>
          <w:rFonts w:ascii="Trebuchet MS" w:hAnsi="Trebuchet MS"/>
          <w:sz w:val="24"/>
          <w:szCs w:val="24"/>
        </w:rPr>
      </w:pPr>
    </w:p>
    <w:p w14:paraId="5E6E3B34" w14:textId="77777777" w:rsidR="006C6575" w:rsidRPr="006C6575" w:rsidRDefault="006C6575" w:rsidP="006C6575">
      <w:pPr>
        <w:rPr>
          <w:rFonts w:ascii="Trebuchet MS" w:hAnsi="Trebuchet MS"/>
          <w:sz w:val="24"/>
          <w:szCs w:val="24"/>
        </w:rPr>
      </w:pPr>
    </w:p>
    <w:p w14:paraId="0FAE00FE" w14:textId="77777777" w:rsidR="006C6575" w:rsidRPr="006C6575" w:rsidRDefault="006C6575" w:rsidP="006C6575">
      <w:pPr>
        <w:rPr>
          <w:rFonts w:ascii="Trebuchet MS" w:hAnsi="Trebuchet MS"/>
          <w:sz w:val="24"/>
          <w:szCs w:val="24"/>
        </w:rPr>
      </w:pPr>
    </w:p>
    <w:p w14:paraId="4D6674AF" w14:textId="77777777" w:rsidR="006C6575" w:rsidRPr="006C6575" w:rsidRDefault="006C6575" w:rsidP="006C6575">
      <w:pPr>
        <w:rPr>
          <w:rFonts w:ascii="Trebuchet MS" w:hAnsi="Trebuchet MS"/>
          <w:sz w:val="24"/>
          <w:szCs w:val="24"/>
        </w:rPr>
      </w:pPr>
    </w:p>
    <w:p w14:paraId="3DB966B3" w14:textId="77777777" w:rsidR="006C6575" w:rsidRPr="006C6575" w:rsidRDefault="006C6575" w:rsidP="006C6575">
      <w:pPr>
        <w:rPr>
          <w:rFonts w:ascii="Trebuchet MS" w:hAnsi="Trebuchet MS"/>
          <w:sz w:val="24"/>
          <w:szCs w:val="24"/>
        </w:rPr>
      </w:pPr>
    </w:p>
    <w:p w14:paraId="4F1B1002" w14:textId="77777777" w:rsidR="006C6575" w:rsidRPr="006C6575" w:rsidRDefault="006C6575" w:rsidP="006C6575">
      <w:pPr>
        <w:rPr>
          <w:rFonts w:ascii="Trebuchet MS" w:hAnsi="Trebuchet MS"/>
          <w:sz w:val="24"/>
          <w:szCs w:val="24"/>
        </w:rPr>
      </w:pPr>
    </w:p>
    <w:p w14:paraId="686C380E" w14:textId="77777777" w:rsidR="006C6575" w:rsidRPr="006C6575" w:rsidRDefault="006C6575" w:rsidP="006C6575">
      <w:pPr>
        <w:rPr>
          <w:rFonts w:ascii="Trebuchet MS" w:hAnsi="Trebuchet MS"/>
          <w:sz w:val="24"/>
          <w:szCs w:val="24"/>
        </w:rPr>
      </w:pPr>
    </w:p>
    <w:p w14:paraId="54021EF0" w14:textId="77777777" w:rsidR="006C6575" w:rsidRPr="006C6575" w:rsidRDefault="006C6575" w:rsidP="006C6575">
      <w:pPr>
        <w:rPr>
          <w:rFonts w:ascii="Trebuchet MS" w:hAnsi="Trebuchet MS"/>
          <w:sz w:val="24"/>
          <w:szCs w:val="24"/>
        </w:rPr>
      </w:pPr>
    </w:p>
    <w:p w14:paraId="24B6012A" w14:textId="77777777" w:rsidR="006C6575" w:rsidRPr="006C6575" w:rsidRDefault="006C6575" w:rsidP="006C6575">
      <w:pPr>
        <w:rPr>
          <w:rFonts w:ascii="Trebuchet MS" w:hAnsi="Trebuchet MS"/>
          <w:sz w:val="24"/>
          <w:szCs w:val="24"/>
        </w:rPr>
      </w:pPr>
    </w:p>
    <w:p w14:paraId="33728C74" w14:textId="77777777" w:rsidR="006C6575" w:rsidRPr="006C6575" w:rsidRDefault="006C6575" w:rsidP="006C6575">
      <w:pPr>
        <w:rPr>
          <w:rFonts w:ascii="Trebuchet MS" w:hAnsi="Trebuchet MS"/>
          <w:sz w:val="24"/>
          <w:szCs w:val="24"/>
        </w:rPr>
      </w:pPr>
    </w:p>
    <w:p w14:paraId="59B7E6D3" w14:textId="77777777" w:rsidR="006C6575" w:rsidRDefault="006C6575" w:rsidP="006C6575">
      <w:pPr>
        <w:rPr>
          <w:rFonts w:ascii="Trebuchet MS" w:hAnsi="Trebuchet MS"/>
          <w:sz w:val="24"/>
          <w:szCs w:val="24"/>
        </w:rPr>
      </w:pPr>
    </w:p>
    <w:p w14:paraId="64939E15" w14:textId="0E246CF7" w:rsidR="006C6575" w:rsidRPr="006C6575" w:rsidRDefault="006C6575" w:rsidP="006C6575">
      <w:pPr>
        <w:tabs>
          <w:tab w:val="left" w:pos="703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sectPr w:rsidR="006C6575" w:rsidRPr="006C6575" w:rsidSect="00C4741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2ADB" w14:textId="77777777" w:rsidR="00A30A5E" w:rsidRDefault="00A30A5E" w:rsidP="00C4741D">
      <w:pPr>
        <w:spacing w:after="0" w:line="240" w:lineRule="auto"/>
      </w:pPr>
      <w:r>
        <w:separator/>
      </w:r>
    </w:p>
  </w:endnote>
  <w:endnote w:type="continuationSeparator" w:id="0">
    <w:p w14:paraId="49B4B319" w14:textId="77777777" w:rsidR="00A30A5E" w:rsidRDefault="00A30A5E" w:rsidP="00C4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272A" w14:textId="37326A39" w:rsidR="005D3A23" w:rsidRPr="00C4741D" w:rsidRDefault="005D3A23" w:rsidP="006C6575">
    <w:pPr>
      <w:pStyle w:val="Footer"/>
      <w:jc w:val="center"/>
      <w:rPr>
        <w:rFonts w:ascii="Trebuchet MS" w:hAnsi="Trebuchet MS"/>
        <w:sz w:val="24"/>
        <w:szCs w:val="24"/>
      </w:rPr>
    </w:pPr>
    <w:r w:rsidRPr="00C4741D">
      <w:rPr>
        <w:rFonts w:ascii="Trebuchet MS" w:hAnsi="Trebuchet MS"/>
        <w:sz w:val="24"/>
        <w:szCs w:val="24"/>
      </w:rPr>
      <w:t xml:space="preserve">Scottish Legal Aid Board </w:t>
    </w:r>
    <w:r>
      <w:rPr>
        <w:rFonts w:ascii="Trebuchet MS" w:hAnsi="Trebuchet MS"/>
        <w:sz w:val="24"/>
        <w:szCs w:val="24"/>
      </w:rPr>
      <w:t>–</w:t>
    </w:r>
    <w:r w:rsidR="006C6575">
      <w:rPr>
        <w:rFonts w:ascii="Trebuchet MS" w:hAnsi="Trebuchet MS"/>
        <w:sz w:val="24"/>
        <w:szCs w:val="24"/>
      </w:rPr>
      <w:t xml:space="preserve"> </w:t>
    </w:r>
    <w:r w:rsidR="0085110E">
      <w:rPr>
        <w:rFonts w:ascii="Trebuchet MS" w:hAnsi="Trebuchet MS"/>
        <w:sz w:val="24"/>
        <w:szCs w:val="24"/>
      </w:rPr>
      <w:t>Annual Assessment of Board Effectiveness</w:t>
    </w:r>
    <w:r w:rsidR="006C6575">
      <w:rPr>
        <w:rFonts w:ascii="Trebuchet MS" w:hAnsi="Trebuchet MS"/>
        <w:sz w:val="24"/>
        <w:szCs w:val="24"/>
      </w:rPr>
      <w:t xml:space="preserve"> - Report</w:t>
    </w:r>
    <w:r w:rsidR="006C6575">
      <w:rPr>
        <w:rFonts w:ascii="Trebuchet MS" w:hAnsi="Trebuchet MS"/>
        <w:sz w:val="24"/>
        <w:szCs w:val="24"/>
      </w:rPr>
      <w:tab/>
    </w:r>
    <w:r w:rsidR="006C6575">
      <w:rPr>
        <w:rFonts w:ascii="Trebuchet MS" w:hAnsi="Trebuchet MS"/>
        <w:sz w:val="24"/>
        <w:szCs w:val="24"/>
      </w:rPr>
      <w:tab/>
    </w:r>
    <w:r w:rsidR="0085110E">
      <w:rPr>
        <w:rFonts w:ascii="Trebuchet MS" w:hAnsi="Trebuchet MS"/>
        <w:sz w:val="24"/>
        <w:szCs w:val="24"/>
      </w:rPr>
      <w:t xml:space="preserve"> </w:t>
    </w:r>
    <w:sdt>
      <w:sdtPr>
        <w:rPr>
          <w:rFonts w:ascii="Trebuchet MS" w:hAnsi="Trebuchet MS"/>
          <w:sz w:val="24"/>
          <w:szCs w:val="24"/>
        </w:rPr>
        <w:id w:val="3143161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4741D">
          <w:rPr>
            <w:rFonts w:ascii="Trebuchet MS" w:hAnsi="Trebuchet MS"/>
            <w:sz w:val="24"/>
            <w:szCs w:val="24"/>
          </w:rPr>
          <w:fldChar w:fldCharType="begin"/>
        </w:r>
        <w:r w:rsidRPr="00C4741D">
          <w:rPr>
            <w:rFonts w:ascii="Trebuchet MS" w:hAnsi="Trebuchet MS"/>
            <w:sz w:val="24"/>
            <w:szCs w:val="24"/>
          </w:rPr>
          <w:instrText xml:space="preserve"> PAGE   \* MERGEFORMAT </w:instrText>
        </w:r>
        <w:r w:rsidRPr="00C4741D">
          <w:rPr>
            <w:rFonts w:ascii="Trebuchet MS" w:hAnsi="Trebuchet MS"/>
            <w:sz w:val="24"/>
            <w:szCs w:val="24"/>
          </w:rPr>
          <w:fldChar w:fldCharType="separate"/>
        </w:r>
        <w:r w:rsidR="004A315B">
          <w:rPr>
            <w:rFonts w:ascii="Trebuchet MS" w:hAnsi="Trebuchet MS"/>
            <w:noProof/>
            <w:sz w:val="24"/>
            <w:szCs w:val="24"/>
          </w:rPr>
          <w:t>1</w:t>
        </w:r>
        <w:r w:rsidRPr="00C4741D">
          <w:rPr>
            <w:rFonts w:ascii="Trebuchet MS" w:hAnsi="Trebuchet MS"/>
            <w:noProof/>
            <w:sz w:val="24"/>
            <w:szCs w:val="24"/>
          </w:rPr>
          <w:fldChar w:fldCharType="end"/>
        </w:r>
      </w:sdtContent>
    </w:sdt>
  </w:p>
  <w:p w14:paraId="1446660E" w14:textId="77777777" w:rsidR="005D3A23" w:rsidRDefault="005D3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51CA" w14:textId="77777777" w:rsidR="00A30A5E" w:rsidRDefault="00A30A5E" w:rsidP="00C4741D">
      <w:pPr>
        <w:spacing w:after="0" w:line="240" w:lineRule="auto"/>
      </w:pPr>
      <w:r>
        <w:separator/>
      </w:r>
    </w:p>
  </w:footnote>
  <w:footnote w:type="continuationSeparator" w:id="0">
    <w:p w14:paraId="06E5F1EB" w14:textId="77777777" w:rsidR="00A30A5E" w:rsidRDefault="00A30A5E" w:rsidP="00C4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87A"/>
    <w:multiLevelType w:val="hybridMultilevel"/>
    <w:tmpl w:val="EB804D0C"/>
    <w:lvl w:ilvl="0" w:tplc="54CEDF54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plc="D8CED54C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i w:val="0"/>
      </w:rPr>
    </w:lvl>
    <w:lvl w:ilvl="3" w:tplc="08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EC00AE"/>
    <w:multiLevelType w:val="hybridMultilevel"/>
    <w:tmpl w:val="A03A5D2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271A6F"/>
    <w:multiLevelType w:val="hybridMultilevel"/>
    <w:tmpl w:val="C5C25A4E"/>
    <w:lvl w:ilvl="0" w:tplc="C19E41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335C3"/>
    <w:multiLevelType w:val="hybridMultilevel"/>
    <w:tmpl w:val="830624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E42A25"/>
    <w:multiLevelType w:val="hybridMultilevel"/>
    <w:tmpl w:val="78885BCA"/>
    <w:lvl w:ilvl="0" w:tplc="D8D88B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D40C87"/>
    <w:multiLevelType w:val="hybridMultilevel"/>
    <w:tmpl w:val="AFBEC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61F7A"/>
    <w:multiLevelType w:val="hybridMultilevel"/>
    <w:tmpl w:val="68784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05B9F"/>
    <w:multiLevelType w:val="hybridMultilevel"/>
    <w:tmpl w:val="1E46E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122234">
    <w:abstractNumId w:val="0"/>
  </w:num>
  <w:num w:numId="2" w16cid:durableId="19653067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4890779">
    <w:abstractNumId w:val="5"/>
  </w:num>
  <w:num w:numId="4" w16cid:durableId="1698894042">
    <w:abstractNumId w:val="6"/>
  </w:num>
  <w:num w:numId="5" w16cid:durableId="1420905725">
    <w:abstractNumId w:val="3"/>
  </w:num>
  <w:num w:numId="6" w16cid:durableId="858006685">
    <w:abstractNumId w:val="1"/>
  </w:num>
  <w:num w:numId="7" w16cid:durableId="485979563">
    <w:abstractNumId w:val="2"/>
  </w:num>
  <w:num w:numId="8" w16cid:durableId="18877162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1D"/>
    <w:rsid w:val="00017680"/>
    <w:rsid w:val="00055A7E"/>
    <w:rsid w:val="000722C3"/>
    <w:rsid w:val="000A687E"/>
    <w:rsid w:val="000C124C"/>
    <w:rsid w:val="000E7F7F"/>
    <w:rsid w:val="001065CE"/>
    <w:rsid w:val="004A315B"/>
    <w:rsid w:val="004E7C6D"/>
    <w:rsid w:val="00512703"/>
    <w:rsid w:val="005427DD"/>
    <w:rsid w:val="00577BC3"/>
    <w:rsid w:val="00583F60"/>
    <w:rsid w:val="005D3A23"/>
    <w:rsid w:val="00650B75"/>
    <w:rsid w:val="0067241B"/>
    <w:rsid w:val="006C6575"/>
    <w:rsid w:val="00773BB9"/>
    <w:rsid w:val="007F6C45"/>
    <w:rsid w:val="0081730E"/>
    <w:rsid w:val="0085110E"/>
    <w:rsid w:val="008529BA"/>
    <w:rsid w:val="0088565F"/>
    <w:rsid w:val="00916A82"/>
    <w:rsid w:val="009278B8"/>
    <w:rsid w:val="00953540"/>
    <w:rsid w:val="00981332"/>
    <w:rsid w:val="00A2638B"/>
    <w:rsid w:val="00A30A5E"/>
    <w:rsid w:val="00A57845"/>
    <w:rsid w:val="00A96BB4"/>
    <w:rsid w:val="00B16B4E"/>
    <w:rsid w:val="00B25C6B"/>
    <w:rsid w:val="00C3315D"/>
    <w:rsid w:val="00C4741D"/>
    <w:rsid w:val="00CA1553"/>
    <w:rsid w:val="00CD43AA"/>
    <w:rsid w:val="00DA5CA6"/>
    <w:rsid w:val="00F621CC"/>
    <w:rsid w:val="00F87E71"/>
    <w:rsid w:val="00F9418C"/>
    <w:rsid w:val="00FB5551"/>
    <w:rsid w:val="00FC4F46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200F6"/>
  <w15:chartTrackingRefBased/>
  <w15:docId w15:val="{E4E6E5A2-5AA2-4ACF-9AA5-F26FE584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qFormat/>
    <w:rsid w:val="00C3315D"/>
    <w:pPr>
      <w:numPr>
        <w:numId w:val="0"/>
      </w:numPr>
      <w:ind w:left="-426"/>
      <w:contextualSpacing/>
      <w:outlineLvl w:val="0"/>
    </w:pPr>
    <w:rPr>
      <w:rFonts w:eastAsia="Times New Roman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Report"/>
    <w:basedOn w:val="Normal"/>
    <w:uiPriority w:val="34"/>
    <w:qFormat/>
    <w:rsid w:val="00C4741D"/>
    <w:pPr>
      <w:numPr>
        <w:numId w:val="1"/>
      </w:numPr>
      <w:spacing w:after="0" w:line="240" w:lineRule="auto"/>
    </w:pPr>
    <w:rPr>
      <w:rFonts w:ascii="Trebuchet MS" w:hAnsi="Trebuchet M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1D"/>
  </w:style>
  <w:style w:type="paragraph" w:styleId="Footer">
    <w:name w:val="footer"/>
    <w:basedOn w:val="Normal"/>
    <w:link w:val="FooterChar"/>
    <w:uiPriority w:val="99"/>
    <w:unhideWhenUsed/>
    <w:rsid w:val="00C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1D"/>
  </w:style>
  <w:style w:type="character" w:customStyle="1" w:styleId="Heading1Char">
    <w:name w:val="Heading 1 Char"/>
    <w:basedOn w:val="DefaultParagraphFont"/>
    <w:link w:val="Heading1"/>
    <w:rsid w:val="00C3315D"/>
    <w:rPr>
      <w:rFonts w:ascii="Trebuchet MS" w:eastAsia="Times New Roman" w:hAnsi="Trebuchet MS" w:cs="Times New Roman"/>
      <w:b/>
    </w:rPr>
  </w:style>
  <w:style w:type="table" w:styleId="TableGrid">
    <w:name w:val="Table Grid"/>
    <w:basedOn w:val="TableNormal"/>
    <w:uiPriority w:val="39"/>
    <w:rsid w:val="00A57845"/>
    <w:pPr>
      <w:spacing w:after="0" w:line="240" w:lineRule="auto"/>
    </w:pPr>
    <w:rPr>
      <w:rFonts w:ascii="Trebuchet MS" w:hAnsi="Trebuchet MS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78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27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8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4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30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4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ynchehaunSa@slab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3892EDB0B8437B849EAF544D98C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35708-4862-42EA-AF85-CFA7D76024F7}"/>
      </w:docPartPr>
      <w:docPartBody>
        <w:p w:rsidR="00367105" w:rsidRDefault="00367105" w:rsidP="00367105">
          <w:pPr>
            <w:pStyle w:val="723892EDB0B8437B849EAF544D98C63F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84C10392050547F788AAC488B5484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CB68E-E561-406A-9901-CA98D285F094}"/>
      </w:docPartPr>
      <w:docPartBody>
        <w:p w:rsidR="00367105" w:rsidRDefault="00367105" w:rsidP="00367105">
          <w:pPr>
            <w:pStyle w:val="84C10392050547F788AAC488B548440C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9553C5DBE26D4E4A8A615376738F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FD35D-7C7E-4CFE-817F-4BD1C9D45CC3}"/>
      </w:docPartPr>
      <w:docPartBody>
        <w:p w:rsidR="00367105" w:rsidRDefault="00367105" w:rsidP="00367105">
          <w:pPr>
            <w:pStyle w:val="9553C5DBE26D4E4A8A615376738F73FC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0DF79C0771BF448FB395227F14EFE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F05B-80EE-421E-A604-69168C9C6407}"/>
      </w:docPartPr>
      <w:docPartBody>
        <w:p w:rsidR="00367105" w:rsidRDefault="00367105" w:rsidP="00367105">
          <w:pPr>
            <w:pStyle w:val="0DF79C0771BF448FB395227F14EFE32F"/>
          </w:pPr>
          <w:r w:rsidRPr="005B62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05"/>
    <w:rsid w:val="00077BB6"/>
    <w:rsid w:val="00367105"/>
    <w:rsid w:val="0047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105"/>
    <w:rPr>
      <w:color w:val="808080"/>
    </w:rPr>
  </w:style>
  <w:style w:type="paragraph" w:customStyle="1" w:styleId="723892EDB0B8437B849EAF544D98C63F">
    <w:name w:val="723892EDB0B8437B849EAF544D98C63F"/>
    <w:rsid w:val="00367105"/>
  </w:style>
  <w:style w:type="paragraph" w:customStyle="1" w:styleId="84C10392050547F788AAC488B548440C">
    <w:name w:val="84C10392050547F788AAC488B548440C"/>
    <w:rsid w:val="00367105"/>
  </w:style>
  <w:style w:type="paragraph" w:customStyle="1" w:styleId="9553C5DBE26D4E4A8A615376738F73FC">
    <w:name w:val="9553C5DBE26D4E4A8A615376738F73FC"/>
    <w:rsid w:val="00367105"/>
  </w:style>
  <w:style w:type="paragraph" w:customStyle="1" w:styleId="0DF79C0771BF448FB395227F14EFE32F">
    <w:name w:val="0DF79C0771BF448FB395227F14EFE32F"/>
    <w:rsid w:val="00367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A8CA6F5D94C4B857992C0D0653512" ma:contentTypeVersion="5" ma:contentTypeDescription="Create a new document." ma:contentTypeScope="" ma:versionID="efc4c9f8c1c895345769ba5d7ee27374">
  <xsd:schema xmlns:xsd="http://www.w3.org/2001/XMLSchema" xmlns:xs="http://www.w3.org/2001/XMLSchema" xmlns:p="http://schemas.microsoft.com/office/2006/metadata/properties" xmlns:ns2="6412ee5e-db07-4fbc-8e1e-bb7e9bde7386" xmlns:ns3="c536b05c-03f8-4554-abae-4ca511447a66" targetNamespace="http://schemas.microsoft.com/office/2006/metadata/properties" ma:root="true" ma:fieldsID="7029d15f0a155686a42b02e996f27cd2" ns2:_="" ns3:_="">
    <xsd:import namespace="6412ee5e-db07-4fbc-8e1e-bb7e9bde7386"/>
    <xsd:import namespace="c536b05c-03f8-4554-abae-4ca511447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2ee5e-db07-4fbc-8e1e-bb7e9bde7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6b05c-03f8-4554-abae-4ca511447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DD3CD-50FB-4F15-9B18-D70B845B05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91482-A30D-4A92-A322-38939AB4FF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3FA10C-7353-47AC-840F-8B5BC5DD4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2D17B-57D6-4232-9DBD-3CD43F210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2ee5e-db07-4fbc-8e1e-bb7e9bde7386"/>
    <ds:schemaRef ds:uri="c536b05c-03f8-4554-abae-4ca511447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Corr</dc:creator>
  <cp:keywords/>
  <dc:description/>
  <cp:lastModifiedBy>Lindsay Corr</cp:lastModifiedBy>
  <cp:revision>4</cp:revision>
  <dcterms:created xsi:type="dcterms:W3CDTF">2023-09-12T10:17:00Z</dcterms:created>
  <dcterms:modified xsi:type="dcterms:W3CDTF">2023-11-27T14:22:00Z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0x010100854A8CA6F5D94C4B857992C0D0653512</vt:lpwstr>
  </property>
</Properties>
</file>