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5B62" w14:textId="74CA8EBC" w:rsidR="00C4741D" w:rsidRDefault="00C4741D">
      <w:r>
        <w:rPr>
          <w:noProof/>
          <w:lang w:eastAsia="en-GB"/>
        </w:rPr>
        <w:drawing>
          <wp:anchor distT="0" distB="0" distL="114300" distR="114300" simplePos="0" relativeHeight="251661312" behindDoc="0" locked="0" layoutInCell="1" allowOverlap="1" wp14:anchorId="1675DAE4" wp14:editId="425B0F8E">
            <wp:simplePos x="0" y="0"/>
            <wp:positionH relativeFrom="column">
              <wp:posOffset>0</wp:posOffset>
            </wp:positionH>
            <wp:positionV relativeFrom="paragraph">
              <wp:posOffset>0</wp:posOffset>
            </wp:positionV>
            <wp:extent cx="763905" cy="10083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3905" cy="1008380"/>
                    </a:xfrm>
                    <a:prstGeom prst="rect">
                      <a:avLst/>
                    </a:prstGeom>
                  </pic:spPr>
                </pic:pic>
              </a:graphicData>
            </a:graphic>
            <wp14:sizeRelH relativeFrom="page">
              <wp14:pctWidth>0</wp14:pctWidth>
            </wp14:sizeRelH>
            <wp14:sizeRelV relativeFrom="page">
              <wp14:pctHeight>0</wp14:pctHeight>
            </wp14:sizeRelV>
          </wp:anchor>
        </w:drawing>
      </w:r>
    </w:p>
    <w:p w14:paraId="058097EC" w14:textId="77777777" w:rsidR="00C4741D" w:rsidRPr="00C4741D" w:rsidRDefault="00C4741D" w:rsidP="00C4741D"/>
    <w:p w14:paraId="3150D9A1" w14:textId="77777777" w:rsidR="00C4741D" w:rsidRPr="00C4741D" w:rsidRDefault="00C4741D" w:rsidP="00C4741D"/>
    <w:p w14:paraId="05B9C55E" w14:textId="77777777" w:rsidR="00C4741D" w:rsidRPr="00C4741D" w:rsidRDefault="00C4741D" w:rsidP="00C4741D"/>
    <w:p w14:paraId="42D54C63" w14:textId="77777777" w:rsidR="00C4741D" w:rsidRDefault="00C3315D" w:rsidP="00C3315D">
      <w:pPr>
        <w:tabs>
          <w:tab w:val="left" w:pos="1070"/>
        </w:tabs>
      </w:pPr>
      <w:r w:rsidRPr="00C4741D">
        <w:rPr>
          <w:b/>
          <w:noProof/>
          <w:color w:val="2758A8"/>
          <w:lang w:eastAsia="en-GB"/>
        </w:rPr>
        <mc:AlternateContent>
          <mc:Choice Requires="wps">
            <w:drawing>
              <wp:anchor distT="36575" distB="36575" distL="36576" distR="36576" simplePos="0" relativeHeight="251663360" behindDoc="0" locked="0" layoutInCell="1" allowOverlap="1" wp14:anchorId="3E005B19" wp14:editId="2EB396B0">
                <wp:simplePos x="0" y="0"/>
                <wp:positionH relativeFrom="margin">
                  <wp:align>left</wp:align>
                </wp:positionH>
                <wp:positionV relativeFrom="paragraph">
                  <wp:posOffset>506730</wp:posOffset>
                </wp:positionV>
                <wp:extent cx="67246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EF5988" id="_x0000_t32" coordsize="21600,21600" o:spt="32" o:oned="t" path="m,l21600,21600e" filled="f">
                <v:path arrowok="t" fillok="f" o:connecttype="none"/>
                <o:lock v:ext="edit" shapetype="t"/>
              </v:shapetype>
              <v:shape id="Straight Arrow Connector 8" o:spid="_x0000_s1026" type="#_x0000_t32" style="position:absolute;margin-left:0;margin-top:39.9pt;width:529.5pt;height:0;z-index:251663360;visibility:visible;mso-wrap-style:square;mso-width-percent:0;mso-height-percent:0;mso-wrap-distance-left:2.88pt;mso-wrap-distance-top:1.016mm;mso-wrap-distance-right:2.88pt;mso-wrap-distance-bottom:1.016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" strokecolor="#2758a8">
                <v:shadow color="#eeece1"/>
                <w10:wrap anchorx="margin"/>
              </v:shape>
            </w:pict>
          </mc:Fallback>
        </mc:AlternateContent>
      </w:r>
      <w:r w:rsidR="00A57845">
        <w:rPr>
          <w:rFonts w:ascii="Trebuchet MS" w:hAnsi="Trebuchet MS"/>
          <w:b/>
          <w:sz w:val="40"/>
          <w:szCs w:val="40"/>
        </w:rPr>
        <w:t>BOARD</w:t>
      </w:r>
      <w:r>
        <w:rPr>
          <w:rFonts w:ascii="Trebuchet MS" w:hAnsi="Trebuchet MS"/>
          <w:b/>
          <w:sz w:val="40"/>
          <w:szCs w:val="40"/>
        </w:rPr>
        <w:t xml:space="preserve"> REPORT</w:t>
      </w:r>
      <w:r w:rsidR="000722C3" w:rsidRPr="00C4741D">
        <w:rPr>
          <w:rFonts w:ascii="Trebuchet MS" w:hAnsi="Trebuchet MS"/>
          <w:b/>
          <w:sz w:val="40"/>
          <w:szCs w:val="40"/>
        </w:rPr>
        <w:t xml:space="preserve"> </w:t>
      </w:r>
      <w:r w:rsidR="00C4741D">
        <w:rPr>
          <w:rFonts w:ascii="Trebuchet MS" w:hAnsi="Trebuchet MS"/>
          <w:b/>
          <w:sz w:val="40"/>
          <w:szCs w:val="40"/>
        </w:rPr>
        <w:br/>
      </w:r>
    </w:p>
    <w:p w14:paraId="0BE0565F" w14:textId="2C7F0294" w:rsidR="00C3315D" w:rsidRPr="00C3315D" w:rsidRDefault="00C4741D" w:rsidP="00C3315D">
      <w:pPr>
        <w:tabs>
          <w:tab w:val="left" w:pos="2040"/>
        </w:tabs>
        <w:jc w:val="right"/>
        <w:rPr>
          <w:rFonts w:ascii="Trebuchet MS" w:hAnsi="Trebuchet MS"/>
          <w:b/>
          <w:color w:val="2758A8"/>
          <w:sz w:val="24"/>
          <w:szCs w:val="24"/>
        </w:rPr>
      </w:pPr>
      <w:r w:rsidRPr="00C3315D">
        <w:rPr>
          <w:b/>
          <w:noProof/>
          <w:color w:val="2758A8"/>
          <w:sz w:val="24"/>
          <w:szCs w:val="24"/>
          <w:lang w:eastAsia="en-GB"/>
        </w:rPr>
        <mc:AlternateContent>
          <mc:Choice Requires="wps">
            <w:drawing>
              <wp:anchor distT="36575" distB="36575" distL="36576" distR="36576" simplePos="0" relativeHeight="251665408" behindDoc="0" locked="0" layoutInCell="1" allowOverlap="1" wp14:anchorId="3AA8B827" wp14:editId="75AD7E51">
                <wp:simplePos x="0" y="0"/>
                <wp:positionH relativeFrom="margin">
                  <wp:align>left</wp:align>
                </wp:positionH>
                <wp:positionV relativeFrom="paragraph">
                  <wp:posOffset>437515</wp:posOffset>
                </wp:positionV>
                <wp:extent cx="67246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B927FB" id="Straight Arrow Connector 2" o:spid="_x0000_s1026" type="#_x0000_t32" style="position:absolute;margin-left:0;margin-top:34.45pt;width:529.5pt;height:0;z-index:251665408;visibility:visible;mso-wrap-style:square;mso-width-percent:0;mso-height-percent:0;mso-wrap-distance-left:2.88pt;mso-wrap-distance-top:1.016mm;mso-wrap-distance-right:2.88pt;mso-wrap-distance-bottom:1.016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" strokecolor="#2758a8">
                <v:shadow color="#eeece1"/>
                <w10:wrap anchorx="margin"/>
              </v:shape>
            </w:pict>
          </mc:Fallback>
        </mc:AlternateContent>
      </w:r>
      <w:r w:rsidRPr="00C3315D">
        <w:rPr>
          <w:rFonts w:ascii="Trebuchet MS" w:hAnsi="Trebuchet MS"/>
          <w:b/>
          <w:color w:val="2758A8"/>
          <w:sz w:val="24"/>
          <w:szCs w:val="24"/>
        </w:rPr>
        <w:t>AGENDA</w:t>
      </w:r>
      <w:r w:rsidR="00C3315D">
        <w:rPr>
          <w:rFonts w:ascii="Trebuchet MS" w:hAnsi="Trebuchet MS"/>
          <w:b/>
          <w:color w:val="2758A8"/>
          <w:sz w:val="24"/>
          <w:szCs w:val="24"/>
        </w:rPr>
        <w:t xml:space="preserve"> ITEM: </w:t>
      </w:r>
      <w:r w:rsidR="001D15CD">
        <w:rPr>
          <w:rFonts w:ascii="Trebuchet MS" w:hAnsi="Trebuchet MS"/>
          <w:b/>
          <w:color w:val="2758A8"/>
          <w:sz w:val="24"/>
          <w:szCs w:val="24"/>
        </w:rPr>
        <w:t>11</w:t>
      </w:r>
      <w:r w:rsidR="00C3315D">
        <w:rPr>
          <w:rFonts w:ascii="Trebuchet MS" w:hAnsi="Trebuchet MS"/>
          <w:b/>
          <w:color w:val="2758A8"/>
          <w:sz w:val="24"/>
          <w:szCs w:val="24"/>
        </w:rPr>
        <w:br/>
        <w:t xml:space="preserve">REPORT NUMBER: </w:t>
      </w:r>
      <w:r w:rsidR="00A57845">
        <w:rPr>
          <w:rFonts w:ascii="Trebuchet MS" w:hAnsi="Trebuchet MS"/>
          <w:b/>
          <w:color w:val="2758A8"/>
          <w:sz w:val="24"/>
          <w:szCs w:val="24"/>
        </w:rPr>
        <w:t>SLAB</w:t>
      </w:r>
      <w:r w:rsidR="00C3315D">
        <w:rPr>
          <w:rFonts w:ascii="Trebuchet MS" w:hAnsi="Trebuchet MS"/>
          <w:b/>
          <w:color w:val="2758A8"/>
          <w:sz w:val="24"/>
          <w:szCs w:val="24"/>
        </w:rPr>
        <w:t>/</w:t>
      </w:r>
      <w:r w:rsidR="00A57845">
        <w:rPr>
          <w:rFonts w:ascii="Trebuchet MS" w:hAnsi="Trebuchet MS"/>
          <w:b/>
          <w:color w:val="2758A8"/>
          <w:sz w:val="24"/>
          <w:szCs w:val="24"/>
        </w:rPr>
        <w:t>20</w:t>
      </w:r>
      <w:r w:rsidR="001D15CD">
        <w:rPr>
          <w:rFonts w:ascii="Trebuchet MS" w:hAnsi="Trebuchet MS"/>
          <w:b/>
          <w:color w:val="2758A8"/>
          <w:sz w:val="24"/>
          <w:szCs w:val="24"/>
        </w:rPr>
        <w:t>23/3</w:t>
      </w:r>
      <w:r w:rsidR="0012653A">
        <w:rPr>
          <w:rFonts w:ascii="Trebuchet MS" w:hAnsi="Trebuchet MS"/>
          <w:b/>
          <w:color w:val="2758A8"/>
          <w:sz w:val="24"/>
          <w:szCs w:val="24"/>
        </w:rPr>
        <w:t>7</w:t>
      </w:r>
    </w:p>
    <w:tbl>
      <w:tblPr>
        <w:tblStyle w:val="TableGrid"/>
        <w:tblpPr w:leftFromText="180" w:rightFromText="180" w:vertAnchor="page" w:horzAnchor="margin" w:tblpY="4501"/>
        <w:tblW w:w="10627" w:type="dxa"/>
        <w:tblLayout w:type="fixed"/>
        <w:tblLook w:val="04A0" w:firstRow="1" w:lastRow="0" w:firstColumn="1" w:lastColumn="0" w:noHBand="0" w:noVBand="1"/>
      </w:tblPr>
      <w:tblGrid>
        <w:gridCol w:w="2689"/>
        <w:gridCol w:w="7938"/>
      </w:tblGrid>
      <w:tr w:rsidR="00A57845" w:rsidRPr="006077E6" w14:paraId="4099D337" w14:textId="77777777" w:rsidTr="00A57845">
        <w:tc>
          <w:tcPr>
            <w:tcW w:w="2689" w:type="dxa"/>
            <w:shd w:val="clear" w:color="auto" w:fill="D9D9D9" w:themeFill="background1" w:themeFillShade="D9"/>
          </w:tcPr>
          <w:p w14:paraId="385E3D46" w14:textId="77777777" w:rsidR="00A57845" w:rsidRPr="00B86375" w:rsidRDefault="00A57845" w:rsidP="00A57845">
            <w:pPr>
              <w:rPr>
                <w:b/>
                <w:sz w:val="24"/>
                <w:szCs w:val="24"/>
              </w:rPr>
            </w:pPr>
            <w:r w:rsidRPr="00B86375">
              <w:rPr>
                <w:b/>
                <w:sz w:val="24"/>
                <w:szCs w:val="24"/>
              </w:rPr>
              <w:t>Report to:</w:t>
            </w:r>
          </w:p>
        </w:tc>
        <w:sdt>
          <w:sdtPr>
            <w:rPr>
              <w:sz w:val="24"/>
              <w:szCs w:val="24"/>
            </w:rPr>
            <w:alias w:val="Report to"/>
            <w:tag w:val="Report to"/>
            <w:id w:val="-2087455742"/>
            <w:placeholder>
              <w:docPart w:val="723892EDB0B8437B849EAF544D98C63F"/>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938" w:type="dxa"/>
              </w:tcPr>
              <w:p w14:paraId="12617A34" w14:textId="77777777" w:rsidR="00A57845" w:rsidRPr="006077E6" w:rsidRDefault="004F3B2F" w:rsidP="00A57845">
                <w:pPr>
                  <w:rPr>
                    <w:sz w:val="24"/>
                    <w:szCs w:val="24"/>
                  </w:rPr>
                </w:pPr>
                <w:r>
                  <w:rPr>
                    <w:sz w:val="24"/>
                    <w:szCs w:val="24"/>
                  </w:rPr>
                  <w:t>The Board</w:t>
                </w:r>
              </w:p>
            </w:tc>
          </w:sdtContent>
        </w:sdt>
      </w:tr>
      <w:tr w:rsidR="00A57845" w:rsidRPr="006077E6" w14:paraId="66C5A524" w14:textId="77777777" w:rsidTr="00A57845">
        <w:tc>
          <w:tcPr>
            <w:tcW w:w="2689" w:type="dxa"/>
            <w:shd w:val="clear" w:color="auto" w:fill="D9D9D9" w:themeFill="background1" w:themeFillShade="D9"/>
          </w:tcPr>
          <w:p w14:paraId="6848B2E7" w14:textId="77777777" w:rsidR="00A57845" w:rsidRPr="00B86375" w:rsidRDefault="00A57845" w:rsidP="00A57845">
            <w:pPr>
              <w:rPr>
                <w:b/>
                <w:sz w:val="24"/>
                <w:szCs w:val="24"/>
              </w:rPr>
            </w:pPr>
            <w:r w:rsidRPr="00B86375">
              <w:rPr>
                <w:b/>
                <w:sz w:val="24"/>
                <w:szCs w:val="24"/>
              </w:rPr>
              <w:t xml:space="preserve">Meeting </w:t>
            </w:r>
            <w:r>
              <w:rPr>
                <w:b/>
                <w:sz w:val="24"/>
                <w:szCs w:val="24"/>
              </w:rPr>
              <w:t>d</w:t>
            </w:r>
            <w:r w:rsidRPr="00B86375">
              <w:rPr>
                <w:b/>
                <w:sz w:val="24"/>
                <w:szCs w:val="24"/>
              </w:rPr>
              <w:t>ate:</w:t>
            </w:r>
          </w:p>
        </w:tc>
        <w:tc>
          <w:tcPr>
            <w:tcW w:w="7938" w:type="dxa"/>
          </w:tcPr>
          <w:p w14:paraId="48044486" w14:textId="77777777" w:rsidR="00A57845" w:rsidRPr="006077E6" w:rsidRDefault="004F3B2F" w:rsidP="00A57845">
            <w:pPr>
              <w:rPr>
                <w:sz w:val="24"/>
                <w:szCs w:val="24"/>
              </w:rPr>
            </w:pPr>
            <w:r>
              <w:rPr>
                <w:sz w:val="24"/>
                <w:szCs w:val="24"/>
              </w:rPr>
              <w:t>18</w:t>
            </w:r>
            <w:r w:rsidRPr="004F3B2F">
              <w:rPr>
                <w:sz w:val="24"/>
                <w:szCs w:val="24"/>
                <w:vertAlign w:val="superscript"/>
              </w:rPr>
              <w:t>th</w:t>
            </w:r>
            <w:r>
              <w:rPr>
                <w:sz w:val="24"/>
                <w:szCs w:val="24"/>
              </w:rPr>
              <w:t xml:space="preserve"> September 2023</w:t>
            </w:r>
          </w:p>
        </w:tc>
      </w:tr>
      <w:tr w:rsidR="00A57845" w:rsidRPr="006077E6" w14:paraId="620F474B" w14:textId="77777777" w:rsidTr="00A57845">
        <w:tc>
          <w:tcPr>
            <w:tcW w:w="2689" w:type="dxa"/>
            <w:shd w:val="clear" w:color="auto" w:fill="D9D9D9" w:themeFill="background1" w:themeFillShade="D9"/>
          </w:tcPr>
          <w:p w14:paraId="475D3576" w14:textId="77777777" w:rsidR="00A57845" w:rsidRPr="00B86375" w:rsidRDefault="00A57845" w:rsidP="00A57845">
            <w:pPr>
              <w:rPr>
                <w:b/>
                <w:sz w:val="24"/>
                <w:szCs w:val="24"/>
              </w:rPr>
            </w:pPr>
            <w:r w:rsidRPr="00B86375">
              <w:rPr>
                <w:b/>
                <w:sz w:val="24"/>
                <w:szCs w:val="24"/>
              </w:rPr>
              <w:t xml:space="preserve">Report </w:t>
            </w:r>
            <w:r>
              <w:rPr>
                <w:b/>
                <w:sz w:val="24"/>
                <w:szCs w:val="24"/>
              </w:rPr>
              <w:t>t</w:t>
            </w:r>
            <w:r w:rsidRPr="00B86375">
              <w:rPr>
                <w:b/>
                <w:sz w:val="24"/>
                <w:szCs w:val="24"/>
              </w:rPr>
              <w:t>itle</w:t>
            </w:r>
          </w:p>
        </w:tc>
        <w:tc>
          <w:tcPr>
            <w:tcW w:w="7938" w:type="dxa"/>
          </w:tcPr>
          <w:p w14:paraId="5DD8D279" w14:textId="77777777" w:rsidR="00A57845" w:rsidRPr="006077E6" w:rsidRDefault="001D15CD" w:rsidP="00A57845">
            <w:pPr>
              <w:rPr>
                <w:sz w:val="24"/>
                <w:szCs w:val="24"/>
              </w:rPr>
            </w:pPr>
            <w:r>
              <w:rPr>
                <w:sz w:val="24"/>
                <w:szCs w:val="24"/>
              </w:rPr>
              <w:t xml:space="preserve">Revised </w:t>
            </w:r>
            <w:r w:rsidR="004F3B2F">
              <w:rPr>
                <w:sz w:val="24"/>
                <w:szCs w:val="24"/>
              </w:rPr>
              <w:t>Risk Management Framework</w:t>
            </w:r>
          </w:p>
        </w:tc>
      </w:tr>
      <w:tr w:rsidR="00A57845" w:rsidRPr="006077E6" w14:paraId="081B3CB8" w14:textId="77777777" w:rsidTr="00A57845">
        <w:tc>
          <w:tcPr>
            <w:tcW w:w="2689" w:type="dxa"/>
            <w:shd w:val="clear" w:color="auto" w:fill="D9D9D9" w:themeFill="background1" w:themeFillShade="D9"/>
          </w:tcPr>
          <w:p w14:paraId="7F2EF231" w14:textId="77777777" w:rsidR="00A57845" w:rsidRPr="00B86375" w:rsidRDefault="00A57845" w:rsidP="00A57845">
            <w:pPr>
              <w:rPr>
                <w:b/>
                <w:sz w:val="24"/>
                <w:szCs w:val="24"/>
              </w:rPr>
            </w:pPr>
            <w:r w:rsidRPr="00B86375">
              <w:rPr>
                <w:b/>
                <w:sz w:val="24"/>
                <w:szCs w:val="24"/>
              </w:rPr>
              <w:t xml:space="preserve">Report </w:t>
            </w:r>
            <w:r>
              <w:rPr>
                <w:b/>
                <w:sz w:val="24"/>
                <w:szCs w:val="24"/>
              </w:rPr>
              <w:t>category</w:t>
            </w:r>
          </w:p>
        </w:tc>
        <w:tc>
          <w:tcPr>
            <w:tcW w:w="7938" w:type="dxa"/>
          </w:tcPr>
          <w:sdt>
            <w:sdtPr>
              <w:rPr>
                <w:sz w:val="24"/>
                <w:szCs w:val="24"/>
              </w:rPr>
              <w:id w:val="-488241055"/>
              <w:placeholder>
                <w:docPart w:val="84C10392050547F788AAC488B548440C"/>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470E3BDC" w14:textId="77777777" w:rsidR="00A57845" w:rsidRPr="006077E6" w:rsidRDefault="001D15CD" w:rsidP="00A57845">
                <w:pPr>
                  <w:rPr>
                    <w:sz w:val="24"/>
                    <w:szCs w:val="24"/>
                  </w:rPr>
                </w:pPr>
                <w:r>
                  <w:rPr>
                    <w:sz w:val="24"/>
                    <w:szCs w:val="24"/>
                  </w:rPr>
                  <w:t>For Decision</w:t>
                </w:r>
              </w:p>
            </w:sdtContent>
          </w:sdt>
        </w:tc>
      </w:tr>
      <w:tr w:rsidR="00A57845" w:rsidRPr="006077E6" w14:paraId="1BEDEC76" w14:textId="77777777" w:rsidTr="00A57845">
        <w:tc>
          <w:tcPr>
            <w:tcW w:w="2689" w:type="dxa"/>
            <w:shd w:val="clear" w:color="auto" w:fill="D9D9D9" w:themeFill="background1" w:themeFillShade="D9"/>
          </w:tcPr>
          <w:p w14:paraId="17F51180" w14:textId="77777777" w:rsidR="00A57845" w:rsidRPr="00B86375" w:rsidRDefault="00A57845" w:rsidP="00A57845">
            <w:pPr>
              <w:rPr>
                <w:b/>
                <w:sz w:val="24"/>
                <w:szCs w:val="24"/>
              </w:rPr>
            </w:pPr>
            <w:r>
              <w:rPr>
                <w:b/>
                <w:sz w:val="24"/>
                <w:szCs w:val="24"/>
              </w:rPr>
              <w:t>Issue status:</w:t>
            </w:r>
          </w:p>
        </w:tc>
        <w:sdt>
          <w:sdtPr>
            <w:rPr>
              <w:sz w:val="24"/>
              <w:szCs w:val="24"/>
            </w:rPr>
            <w:id w:val="540716937"/>
            <w:placeholder>
              <w:docPart w:val="9553C5DBE26D4E4A8A615376738F73FC"/>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938" w:type="dxa"/>
              </w:tcPr>
              <w:p w14:paraId="2FAD06E3" w14:textId="77777777" w:rsidR="00A57845" w:rsidRPr="009D2260" w:rsidRDefault="001D15CD" w:rsidP="00A57845">
                <w:pPr>
                  <w:rPr>
                    <w:sz w:val="24"/>
                    <w:szCs w:val="24"/>
                  </w:rPr>
                </w:pPr>
                <w:r>
                  <w:rPr>
                    <w:sz w:val="24"/>
                    <w:szCs w:val="24"/>
                  </w:rPr>
                  <w:t>Business as usual</w:t>
                </w:r>
              </w:p>
            </w:tc>
          </w:sdtContent>
        </w:sdt>
      </w:tr>
    </w:tbl>
    <w:tbl>
      <w:tblPr>
        <w:tblStyle w:val="TableGrid"/>
        <w:tblW w:w="10627" w:type="dxa"/>
        <w:tblLook w:val="04A0" w:firstRow="1" w:lastRow="0" w:firstColumn="1" w:lastColumn="0" w:noHBand="0" w:noVBand="1"/>
      </w:tblPr>
      <w:tblGrid>
        <w:gridCol w:w="2689"/>
        <w:gridCol w:w="7938"/>
      </w:tblGrid>
      <w:tr w:rsidR="00A57845" w14:paraId="2E0942F3" w14:textId="77777777" w:rsidTr="00A57845">
        <w:tc>
          <w:tcPr>
            <w:tcW w:w="2689" w:type="dxa"/>
            <w:shd w:val="clear" w:color="auto" w:fill="D9D9D9" w:themeFill="background1" w:themeFillShade="D9"/>
          </w:tcPr>
          <w:p w14:paraId="119534F9" w14:textId="77777777" w:rsidR="00A57845" w:rsidRPr="00B86375" w:rsidRDefault="00A57845" w:rsidP="00A57845">
            <w:pPr>
              <w:rPr>
                <w:b/>
                <w:sz w:val="24"/>
                <w:szCs w:val="24"/>
              </w:rPr>
            </w:pPr>
            <w:r w:rsidRPr="00B86375">
              <w:rPr>
                <w:b/>
                <w:sz w:val="24"/>
                <w:szCs w:val="24"/>
              </w:rPr>
              <w:t>Written by:</w:t>
            </w:r>
          </w:p>
        </w:tc>
        <w:tc>
          <w:tcPr>
            <w:tcW w:w="7938" w:type="dxa"/>
          </w:tcPr>
          <w:p w14:paraId="241E0096" w14:textId="22A4D11F" w:rsidR="00A57845" w:rsidRDefault="00641FBD" w:rsidP="00A57845">
            <w:pPr>
              <w:rPr>
                <w:sz w:val="24"/>
                <w:szCs w:val="24"/>
              </w:rPr>
            </w:pPr>
            <w:r>
              <w:rPr>
                <w:sz w:val="24"/>
                <w:szCs w:val="24"/>
              </w:rPr>
              <w:t>Andrew McIntosh</w:t>
            </w:r>
            <w:r w:rsidR="0028630D">
              <w:rPr>
                <w:sz w:val="24"/>
                <w:szCs w:val="24"/>
              </w:rPr>
              <w:t xml:space="preserve"> – Corporate Support Manager</w:t>
            </w:r>
          </w:p>
        </w:tc>
      </w:tr>
      <w:tr w:rsidR="00A57845" w14:paraId="07249A39" w14:textId="77777777" w:rsidTr="00A57845">
        <w:tc>
          <w:tcPr>
            <w:tcW w:w="2689" w:type="dxa"/>
            <w:shd w:val="clear" w:color="auto" w:fill="D9D9D9" w:themeFill="background1" w:themeFillShade="D9"/>
          </w:tcPr>
          <w:p w14:paraId="345A308E" w14:textId="77777777" w:rsidR="00A57845" w:rsidRPr="00B86375" w:rsidRDefault="00A57845" w:rsidP="00A57845">
            <w:pPr>
              <w:rPr>
                <w:b/>
                <w:sz w:val="24"/>
                <w:szCs w:val="24"/>
              </w:rPr>
            </w:pPr>
            <w:r w:rsidRPr="00B86375">
              <w:rPr>
                <w:b/>
                <w:sz w:val="24"/>
                <w:szCs w:val="24"/>
              </w:rPr>
              <w:t>Director responsible:</w:t>
            </w:r>
          </w:p>
        </w:tc>
        <w:sdt>
          <w:sdtPr>
            <w:rPr>
              <w:sz w:val="24"/>
              <w:szCs w:val="24"/>
            </w:rPr>
            <w:id w:val="655648332"/>
            <w:placeholder>
              <w:docPart w:val="0DF79C0771BF448FB395227F14EFE32F"/>
            </w:placeholder>
            <w:dropDownList>
              <w:listItem w:value="Choose an item."/>
              <w:listItem w:displayText="Colin Lancaster" w:value="Colin Lancaster"/>
              <w:listItem w:displayText="Marie-Louise Fox" w:value="Marie-Louise Fox"/>
              <w:listItem w:displayText="Ian Dickson" w:value="Ian Dickson"/>
              <w:listItem w:displayText="Adam Ford" w:value="Adam Ford"/>
              <w:listItem w:displayText="Linda Ross" w:value="Linda Ross"/>
            </w:dropDownList>
          </w:sdtPr>
          <w:sdtEndPr/>
          <w:sdtContent>
            <w:tc>
              <w:tcPr>
                <w:tcW w:w="7938" w:type="dxa"/>
              </w:tcPr>
              <w:p w14:paraId="03058DFB" w14:textId="77777777" w:rsidR="00A57845" w:rsidRDefault="006D30FD" w:rsidP="00A57845">
                <w:pPr>
                  <w:rPr>
                    <w:sz w:val="24"/>
                    <w:szCs w:val="24"/>
                  </w:rPr>
                </w:pPr>
                <w:r>
                  <w:rPr>
                    <w:sz w:val="24"/>
                    <w:szCs w:val="24"/>
                  </w:rPr>
                  <w:t>Colin Lancaster</w:t>
                </w:r>
              </w:p>
            </w:tc>
          </w:sdtContent>
        </w:sdt>
      </w:tr>
      <w:tr w:rsidR="00A57845" w14:paraId="440E4D09" w14:textId="77777777" w:rsidTr="00A57845">
        <w:tc>
          <w:tcPr>
            <w:tcW w:w="2689" w:type="dxa"/>
            <w:shd w:val="clear" w:color="auto" w:fill="D9D9D9" w:themeFill="background1" w:themeFillShade="D9"/>
          </w:tcPr>
          <w:p w14:paraId="223D2D7D" w14:textId="77777777" w:rsidR="00A57845" w:rsidRPr="00B86375" w:rsidRDefault="00A57845" w:rsidP="00A57845">
            <w:pPr>
              <w:rPr>
                <w:b/>
                <w:sz w:val="24"/>
                <w:szCs w:val="24"/>
              </w:rPr>
            </w:pPr>
            <w:r w:rsidRPr="00B86375">
              <w:rPr>
                <w:b/>
                <w:sz w:val="24"/>
                <w:szCs w:val="24"/>
              </w:rPr>
              <w:t>Presented by:</w:t>
            </w:r>
          </w:p>
        </w:tc>
        <w:tc>
          <w:tcPr>
            <w:tcW w:w="7938" w:type="dxa"/>
          </w:tcPr>
          <w:p w14:paraId="2006E866" w14:textId="29F9204F" w:rsidR="00A57845" w:rsidRDefault="0028630D" w:rsidP="00A57845">
            <w:pPr>
              <w:rPr>
                <w:sz w:val="24"/>
                <w:szCs w:val="24"/>
              </w:rPr>
            </w:pPr>
            <w:r>
              <w:rPr>
                <w:sz w:val="24"/>
                <w:szCs w:val="24"/>
              </w:rPr>
              <w:t>Andrew McIntosh – Corporate Support Manager</w:t>
            </w:r>
          </w:p>
        </w:tc>
      </w:tr>
      <w:tr w:rsidR="00A57845" w14:paraId="626AF17C" w14:textId="77777777" w:rsidTr="00A57845">
        <w:tc>
          <w:tcPr>
            <w:tcW w:w="2689" w:type="dxa"/>
            <w:shd w:val="clear" w:color="auto" w:fill="D9D9D9" w:themeFill="background1" w:themeFillShade="D9"/>
          </w:tcPr>
          <w:p w14:paraId="73AE2866" w14:textId="77777777" w:rsidR="00A57845" w:rsidRPr="00B86375" w:rsidRDefault="00A57845" w:rsidP="00A57845">
            <w:pPr>
              <w:rPr>
                <w:b/>
                <w:sz w:val="24"/>
                <w:szCs w:val="24"/>
              </w:rPr>
            </w:pPr>
            <w:r>
              <w:rPr>
                <w:b/>
                <w:sz w:val="24"/>
                <w:szCs w:val="24"/>
              </w:rPr>
              <w:t>Contact details:</w:t>
            </w:r>
          </w:p>
        </w:tc>
        <w:tc>
          <w:tcPr>
            <w:tcW w:w="7938" w:type="dxa"/>
          </w:tcPr>
          <w:p w14:paraId="7B50B634" w14:textId="0679D03F" w:rsidR="00A57845" w:rsidRDefault="0011344B" w:rsidP="00A57845">
            <w:pPr>
              <w:rPr>
                <w:sz w:val="24"/>
                <w:szCs w:val="24"/>
              </w:rPr>
            </w:pPr>
            <w:hyperlink r:id="rId11" w:history="1">
              <w:r w:rsidR="0028630D" w:rsidRPr="00BD3BF6">
                <w:rPr>
                  <w:rStyle w:val="Hyperlink"/>
                  <w:sz w:val="24"/>
                  <w:szCs w:val="24"/>
                </w:rPr>
                <w:t>CEO@slab.org.uk</w:t>
              </w:r>
            </w:hyperlink>
          </w:p>
        </w:tc>
      </w:tr>
    </w:tbl>
    <w:p w14:paraId="3BBF00FB" w14:textId="77777777" w:rsidR="00C3315D" w:rsidRPr="00A57845" w:rsidRDefault="00C3315D" w:rsidP="00C3315D">
      <w:pPr>
        <w:tabs>
          <w:tab w:val="left" w:pos="4230"/>
        </w:tabs>
        <w:rPr>
          <w:rFonts w:ascii="Trebuchet MS" w:hAnsi="Trebuchet MS"/>
          <w:sz w:val="18"/>
          <w:szCs w:val="18"/>
        </w:rPr>
      </w:pPr>
    </w:p>
    <w:tbl>
      <w:tblPr>
        <w:tblStyle w:val="TableGrid"/>
        <w:tblW w:w="10627" w:type="dxa"/>
        <w:tblLook w:val="04A0" w:firstRow="1" w:lastRow="0" w:firstColumn="1" w:lastColumn="0" w:noHBand="0" w:noVBand="1"/>
      </w:tblPr>
      <w:tblGrid>
        <w:gridCol w:w="1980"/>
        <w:gridCol w:w="8647"/>
      </w:tblGrid>
      <w:tr w:rsidR="00A57845" w14:paraId="66D009AB" w14:textId="77777777" w:rsidTr="00A57845">
        <w:tc>
          <w:tcPr>
            <w:tcW w:w="10627" w:type="dxa"/>
            <w:gridSpan w:val="2"/>
            <w:shd w:val="clear" w:color="auto" w:fill="D9D9D9" w:themeFill="background1" w:themeFillShade="D9"/>
          </w:tcPr>
          <w:p w14:paraId="29957C58" w14:textId="77777777" w:rsidR="00A57845" w:rsidRPr="00B86375" w:rsidRDefault="00A57845" w:rsidP="00A57845">
            <w:pPr>
              <w:rPr>
                <w:b/>
                <w:sz w:val="24"/>
                <w:szCs w:val="24"/>
              </w:rPr>
            </w:pPr>
            <w:r>
              <w:rPr>
                <w:b/>
                <w:sz w:val="24"/>
                <w:szCs w:val="24"/>
              </w:rPr>
              <w:t>Delivery of Strategic Objectives</w:t>
            </w:r>
          </w:p>
        </w:tc>
      </w:tr>
      <w:tr w:rsidR="00A57845" w14:paraId="2D46CBF1" w14:textId="77777777" w:rsidTr="0011344B">
        <w:tc>
          <w:tcPr>
            <w:tcW w:w="1980" w:type="dxa"/>
          </w:tcPr>
          <w:p w14:paraId="560FCCD2" w14:textId="77777777" w:rsidR="00A57845" w:rsidRDefault="00A57845" w:rsidP="00A57845">
            <w:pPr>
              <w:rPr>
                <w:sz w:val="24"/>
                <w:szCs w:val="24"/>
              </w:rPr>
            </w:pPr>
            <w:r>
              <w:rPr>
                <w:sz w:val="24"/>
                <w:szCs w:val="24"/>
              </w:rPr>
              <w:t xml:space="preserve">Select the Strategic Objective(s) relevant to the issues </w:t>
            </w:r>
          </w:p>
        </w:tc>
        <w:tc>
          <w:tcPr>
            <w:tcW w:w="8647" w:type="dxa"/>
          </w:tcPr>
          <w:p w14:paraId="37317D1D" w14:textId="77777777" w:rsidR="004F3B2F" w:rsidRPr="007378A5" w:rsidRDefault="004F3B2F" w:rsidP="004F3B2F">
            <w:pPr>
              <w:pStyle w:val="ListParagraph"/>
              <w:numPr>
                <w:ilvl w:val="0"/>
                <w:numId w:val="3"/>
              </w:numPr>
              <w:ind w:left="313"/>
              <w:contextualSpacing/>
            </w:pPr>
            <w:r w:rsidRPr="007378A5">
              <w:t xml:space="preserve">Our timely, clear and consistent decisions on legal aid applications and accounts deliver a positive customer </w:t>
            </w:r>
            <w:proofErr w:type="gramStart"/>
            <w:r w:rsidRPr="007378A5">
              <w:t>experience</w:t>
            </w:r>
            <w:proofErr w:type="gramEnd"/>
          </w:p>
          <w:p w14:paraId="00999FCD" w14:textId="77777777" w:rsidR="004F3B2F" w:rsidRPr="007378A5" w:rsidRDefault="004F3B2F" w:rsidP="004F3B2F">
            <w:pPr>
              <w:pStyle w:val="ListParagraph"/>
              <w:numPr>
                <w:ilvl w:val="0"/>
                <w:numId w:val="3"/>
              </w:numPr>
              <w:ind w:left="313"/>
              <w:contextualSpacing/>
            </w:pPr>
            <w:r w:rsidRPr="007378A5">
              <w:t xml:space="preserve">Our client legal services and targeted funding deliver high quality and accessible information, advice and </w:t>
            </w:r>
            <w:proofErr w:type="gramStart"/>
            <w:r w:rsidRPr="007378A5">
              <w:t>representation</w:t>
            </w:r>
            <w:proofErr w:type="gramEnd"/>
          </w:p>
          <w:p w14:paraId="20941BEB" w14:textId="77777777" w:rsidR="004F3B2F" w:rsidRPr="007378A5" w:rsidRDefault="004F3B2F" w:rsidP="004F3B2F">
            <w:pPr>
              <w:pStyle w:val="ListParagraph"/>
              <w:numPr>
                <w:ilvl w:val="0"/>
                <w:numId w:val="3"/>
              </w:numPr>
              <w:ind w:left="313"/>
              <w:contextualSpacing/>
            </w:pPr>
            <w:r w:rsidRPr="007378A5">
              <w:t>We support our people to develop the skills and ways of working needed to deliver our mission, both now and in the future</w:t>
            </w:r>
          </w:p>
          <w:p w14:paraId="6CFFD2CC" w14:textId="77777777" w:rsidR="00A57845" w:rsidRDefault="004F3B2F" w:rsidP="004F3B2F">
            <w:pPr>
              <w:pStyle w:val="ListParagraph"/>
              <w:numPr>
                <w:ilvl w:val="0"/>
                <w:numId w:val="3"/>
              </w:numPr>
              <w:ind w:left="313"/>
              <w:contextualSpacing/>
            </w:pPr>
            <w:r w:rsidRPr="007378A5">
              <w:t>Our advice to Ministers supports their decision making on the future of legal aid and SLA</w:t>
            </w:r>
            <w:r>
              <w:t>B</w:t>
            </w:r>
          </w:p>
        </w:tc>
      </w:tr>
    </w:tbl>
    <w:p w14:paraId="100AA71C" w14:textId="77777777" w:rsidR="00A57845" w:rsidRPr="00A57845" w:rsidRDefault="00A57845" w:rsidP="00C3315D">
      <w:pPr>
        <w:tabs>
          <w:tab w:val="left" w:pos="4230"/>
        </w:tabs>
        <w:rPr>
          <w:rFonts w:ascii="Trebuchet MS" w:hAnsi="Trebuchet MS"/>
          <w:sz w:val="18"/>
          <w:szCs w:val="18"/>
        </w:rPr>
      </w:pPr>
    </w:p>
    <w:tbl>
      <w:tblPr>
        <w:tblStyle w:val="TableGrid"/>
        <w:tblW w:w="10627" w:type="dxa"/>
        <w:tblLook w:val="04A0" w:firstRow="1" w:lastRow="0" w:firstColumn="1" w:lastColumn="0" w:noHBand="0" w:noVBand="1"/>
      </w:tblPr>
      <w:tblGrid>
        <w:gridCol w:w="10627"/>
      </w:tblGrid>
      <w:tr w:rsidR="00A57845" w14:paraId="7F6533B1" w14:textId="77777777" w:rsidTr="00A57845">
        <w:tc>
          <w:tcPr>
            <w:tcW w:w="10627" w:type="dxa"/>
            <w:shd w:val="clear" w:color="auto" w:fill="D9D9D9" w:themeFill="background1" w:themeFillShade="D9"/>
          </w:tcPr>
          <w:p w14:paraId="03B98663" w14:textId="77777777" w:rsidR="00A57845" w:rsidRPr="00B86375" w:rsidRDefault="00A57845" w:rsidP="00A57845">
            <w:pPr>
              <w:rPr>
                <w:b/>
                <w:sz w:val="24"/>
                <w:szCs w:val="24"/>
              </w:rPr>
            </w:pPr>
            <w:r>
              <w:rPr>
                <w:b/>
                <w:sz w:val="24"/>
                <w:szCs w:val="24"/>
              </w:rPr>
              <w:t>Link to Board or Committee remit</w:t>
            </w:r>
          </w:p>
        </w:tc>
      </w:tr>
      <w:tr w:rsidR="00A57845" w14:paraId="1EC9D311" w14:textId="77777777" w:rsidTr="00A57845">
        <w:tc>
          <w:tcPr>
            <w:tcW w:w="10627" w:type="dxa"/>
          </w:tcPr>
          <w:p w14:paraId="687D0230" w14:textId="77777777" w:rsidR="00A57845" w:rsidRDefault="004F3B2F" w:rsidP="00A57845">
            <w:pPr>
              <w:rPr>
                <w:sz w:val="24"/>
                <w:szCs w:val="24"/>
              </w:rPr>
            </w:pPr>
            <w:r w:rsidRPr="004F3B2F">
              <w:rPr>
                <w:sz w:val="24"/>
                <w:szCs w:val="24"/>
              </w:rPr>
              <w:t>The Board sets the organisation’s approach to risk, including its risk appetite. It has reserved authority for approving the Risk Management Framework and has a key role in considering the risk environment and overseeing the Executive’s work on risk.</w:t>
            </w:r>
          </w:p>
        </w:tc>
      </w:tr>
    </w:tbl>
    <w:p w14:paraId="3FB2EEAB" w14:textId="77777777" w:rsidR="00A57845" w:rsidRPr="00A57845" w:rsidRDefault="00A57845" w:rsidP="00A57845">
      <w:pPr>
        <w:rPr>
          <w:rFonts w:ascii="Trebuchet MS" w:hAnsi="Trebuchet MS"/>
          <w:sz w:val="18"/>
          <w:szCs w:val="18"/>
        </w:rPr>
      </w:pPr>
    </w:p>
    <w:tbl>
      <w:tblPr>
        <w:tblStyle w:val="TableGrid"/>
        <w:tblW w:w="10627" w:type="dxa"/>
        <w:tblLook w:val="04A0" w:firstRow="1" w:lastRow="0" w:firstColumn="1" w:lastColumn="0" w:noHBand="0" w:noVBand="1"/>
      </w:tblPr>
      <w:tblGrid>
        <w:gridCol w:w="10627"/>
      </w:tblGrid>
      <w:tr w:rsidR="00A57845" w14:paraId="5E9C334B" w14:textId="77777777" w:rsidTr="00A57845">
        <w:tc>
          <w:tcPr>
            <w:tcW w:w="10627" w:type="dxa"/>
            <w:shd w:val="clear" w:color="auto" w:fill="D9D9D9" w:themeFill="background1" w:themeFillShade="D9"/>
          </w:tcPr>
          <w:p w14:paraId="4E7AF880" w14:textId="77777777" w:rsidR="00A57845" w:rsidRPr="00B86375" w:rsidRDefault="00A57845" w:rsidP="00A57845">
            <w:pPr>
              <w:rPr>
                <w:b/>
                <w:sz w:val="24"/>
                <w:szCs w:val="24"/>
              </w:rPr>
            </w:pPr>
            <w:r>
              <w:rPr>
                <w:b/>
                <w:sz w:val="24"/>
                <w:szCs w:val="24"/>
              </w:rPr>
              <w:t>Publication of the paper</w:t>
            </w:r>
          </w:p>
        </w:tc>
      </w:tr>
      <w:tr w:rsidR="00A57845" w14:paraId="31C9D285" w14:textId="77777777" w:rsidTr="00A57845">
        <w:tc>
          <w:tcPr>
            <w:tcW w:w="10627" w:type="dxa"/>
          </w:tcPr>
          <w:p w14:paraId="2968BA8F" w14:textId="77777777" w:rsidR="00A57845" w:rsidRDefault="00641FBD" w:rsidP="00A57845">
            <w:pPr>
              <w:rPr>
                <w:sz w:val="24"/>
                <w:szCs w:val="24"/>
              </w:rPr>
            </w:pPr>
            <w:r>
              <w:rPr>
                <w:sz w:val="24"/>
                <w:szCs w:val="24"/>
              </w:rPr>
              <w:t>This paper is suitable for publication as it concerns our policy on risk.</w:t>
            </w:r>
          </w:p>
        </w:tc>
      </w:tr>
    </w:tbl>
    <w:p w14:paraId="269E189A" w14:textId="77777777" w:rsidR="00A57845" w:rsidRPr="00A57845" w:rsidRDefault="00A57845" w:rsidP="00A57845">
      <w:pPr>
        <w:rPr>
          <w:rFonts w:ascii="Trebuchet MS" w:hAnsi="Trebuchet MS"/>
          <w:sz w:val="18"/>
          <w:szCs w:val="18"/>
        </w:rPr>
      </w:pPr>
    </w:p>
    <w:tbl>
      <w:tblPr>
        <w:tblStyle w:val="TableGrid"/>
        <w:tblW w:w="10627" w:type="dxa"/>
        <w:tblLook w:val="04A0" w:firstRow="1" w:lastRow="0" w:firstColumn="1" w:lastColumn="0" w:noHBand="0" w:noVBand="1"/>
      </w:tblPr>
      <w:tblGrid>
        <w:gridCol w:w="10627"/>
      </w:tblGrid>
      <w:tr w:rsidR="00A57845" w14:paraId="3AD7E8E1" w14:textId="77777777" w:rsidTr="00A57845">
        <w:tc>
          <w:tcPr>
            <w:tcW w:w="10627" w:type="dxa"/>
            <w:tcBorders>
              <w:left w:val="single" w:sz="4" w:space="0" w:color="000000"/>
            </w:tcBorders>
            <w:shd w:val="clear" w:color="auto" w:fill="D9D9D9" w:themeFill="background1" w:themeFillShade="D9"/>
          </w:tcPr>
          <w:p w14:paraId="1A228F15" w14:textId="77777777" w:rsidR="00A57845" w:rsidRPr="00D664C5" w:rsidRDefault="00A57845" w:rsidP="00A57845">
            <w:pPr>
              <w:rPr>
                <w:b/>
                <w:sz w:val="24"/>
                <w:szCs w:val="24"/>
              </w:rPr>
            </w:pPr>
            <w:r w:rsidRPr="00D664C5">
              <w:rPr>
                <w:b/>
                <w:sz w:val="24"/>
                <w:szCs w:val="24"/>
              </w:rPr>
              <w:t xml:space="preserve">Executive </w:t>
            </w:r>
            <w:r>
              <w:rPr>
                <w:b/>
                <w:sz w:val="24"/>
                <w:szCs w:val="24"/>
              </w:rPr>
              <w:t>s</w:t>
            </w:r>
            <w:r w:rsidRPr="00D664C5">
              <w:rPr>
                <w:b/>
                <w:sz w:val="24"/>
                <w:szCs w:val="24"/>
              </w:rPr>
              <w:t>ummary</w:t>
            </w:r>
          </w:p>
        </w:tc>
      </w:tr>
      <w:tr w:rsidR="00A57845" w14:paraId="13B79317" w14:textId="77777777" w:rsidTr="00A57845">
        <w:tc>
          <w:tcPr>
            <w:tcW w:w="10627" w:type="dxa"/>
            <w:tcBorders>
              <w:left w:val="single" w:sz="4" w:space="0" w:color="000000"/>
            </w:tcBorders>
          </w:tcPr>
          <w:p w14:paraId="080DC7D3" w14:textId="77777777" w:rsidR="00A57845" w:rsidRPr="00434C6D" w:rsidRDefault="006D30FD" w:rsidP="00641FBD">
            <w:pPr>
              <w:rPr>
                <w:sz w:val="24"/>
                <w:szCs w:val="24"/>
              </w:rPr>
            </w:pPr>
            <w:r>
              <w:rPr>
                <w:sz w:val="24"/>
                <w:szCs w:val="24"/>
              </w:rPr>
              <w:t>A review of the Risk Management Fra</w:t>
            </w:r>
            <w:r w:rsidR="00641FBD">
              <w:rPr>
                <w:sz w:val="24"/>
                <w:szCs w:val="24"/>
              </w:rPr>
              <w:t xml:space="preserve">mework has been carried out. This was initially </w:t>
            </w:r>
            <w:r>
              <w:rPr>
                <w:sz w:val="24"/>
                <w:szCs w:val="24"/>
              </w:rPr>
              <w:t xml:space="preserve">presented to the Audit Committee </w:t>
            </w:r>
            <w:r w:rsidR="00641FBD">
              <w:rPr>
                <w:sz w:val="24"/>
                <w:szCs w:val="24"/>
              </w:rPr>
              <w:t xml:space="preserve">on 28 August. The Committee </w:t>
            </w:r>
            <w:r>
              <w:rPr>
                <w:sz w:val="24"/>
                <w:szCs w:val="24"/>
              </w:rPr>
              <w:t xml:space="preserve">provided </w:t>
            </w:r>
            <w:r w:rsidR="00641FBD">
              <w:rPr>
                <w:sz w:val="24"/>
                <w:szCs w:val="24"/>
              </w:rPr>
              <w:t>feedback, which</w:t>
            </w:r>
            <w:r>
              <w:rPr>
                <w:sz w:val="24"/>
                <w:szCs w:val="24"/>
              </w:rPr>
              <w:t xml:space="preserve"> has informed a further revision. The final version is presented here for Board approval. </w:t>
            </w:r>
          </w:p>
        </w:tc>
      </w:tr>
    </w:tbl>
    <w:p w14:paraId="7FC61A12" w14:textId="77777777" w:rsidR="00641FBD" w:rsidRPr="00A57845" w:rsidRDefault="00641FBD" w:rsidP="00A57845">
      <w:pPr>
        <w:tabs>
          <w:tab w:val="left" w:pos="2340"/>
        </w:tabs>
        <w:rPr>
          <w:rFonts w:ascii="Trebuchet MS" w:hAnsi="Trebuchet MS"/>
          <w:sz w:val="18"/>
          <w:szCs w:val="18"/>
        </w:rPr>
      </w:pPr>
    </w:p>
    <w:tbl>
      <w:tblPr>
        <w:tblStyle w:val="TableGrid"/>
        <w:tblW w:w="10627" w:type="dxa"/>
        <w:tblLook w:val="04A0" w:firstRow="1" w:lastRow="0" w:firstColumn="1" w:lastColumn="0" w:noHBand="0" w:noVBand="1"/>
      </w:tblPr>
      <w:tblGrid>
        <w:gridCol w:w="2410"/>
        <w:gridCol w:w="8217"/>
      </w:tblGrid>
      <w:tr w:rsidR="00A57845" w14:paraId="3DA3A32B" w14:textId="77777777" w:rsidTr="00A57845">
        <w:tc>
          <w:tcPr>
            <w:tcW w:w="10627" w:type="dxa"/>
            <w:gridSpan w:val="2"/>
            <w:tcBorders>
              <w:left w:val="single" w:sz="4" w:space="0" w:color="000000"/>
            </w:tcBorders>
            <w:shd w:val="clear" w:color="auto" w:fill="D9D9D9" w:themeFill="background1" w:themeFillShade="D9"/>
          </w:tcPr>
          <w:p w14:paraId="6DE32231" w14:textId="77777777" w:rsidR="00A57845" w:rsidRDefault="00A57845" w:rsidP="00A57845">
            <w:pPr>
              <w:rPr>
                <w:b/>
                <w:sz w:val="24"/>
                <w:szCs w:val="24"/>
              </w:rPr>
            </w:pPr>
            <w:r>
              <w:rPr>
                <w:b/>
                <w:sz w:val="24"/>
                <w:szCs w:val="24"/>
              </w:rPr>
              <w:t>Previous consideration</w:t>
            </w:r>
          </w:p>
        </w:tc>
      </w:tr>
      <w:tr w:rsidR="00A57845" w14:paraId="1183DF5E" w14:textId="77777777" w:rsidTr="00A57845">
        <w:tc>
          <w:tcPr>
            <w:tcW w:w="2410" w:type="dxa"/>
            <w:tcBorders>
              <w:left w:val="single" w:sz="4" w:space="0" w:color="000000"/>
            </w:tcBorders>
            <w:shd w:val="clear" w:color="auto" w:fill="D9D9D9" w:themeFill="background1" w:themeFillShade="D9"/>
          </w:tcPr>
          <w:p w14:paraId="49B77BB7" w14:textId="77777777" w:rsidR="00A57845" w:rsidRDefault="00A57845" w:rsidP="00A57845">
            <w:pPr>
              <w:rPr>
                <w:b/>
                <w:sz w:val="24"/>
                <w:szCs w:val="24"/>
              </w:rPr>
            </w:pPr>
            <w:r>
              <w:rPr>
                <w:b/>
                <w:sz w:val="24"/>
                <w:szCs w:val="24"/>
              </w:rPr>
              <w:t>Meeting</w:t>
            </w:r>
          </w:p>
        </w:tc>
        <w:tc>
          <w:tcPr>
            <w:tcW w:w="8217" w:type="dxa"/>
            <w:tcBorders>
              <w:left w:val="single" w:sz="4" w:space="0" w:color="000000"/>
            </w:tcBorders>
            <w:shd w:val="clear" w:color="auto" w:fill="D9D9D9" w:themeFill="background1" w:themeFillShade="D9"/>
          </w:tcPr>
          <w:p w14:paraId="1F12062E" w14:textId="77777777" w:rsidR="00A57845" w:rsidRDefault="00A57845" w:rsidP="00A57845">
            <w:pPr>
              <w:rPr>
                <w:b/>
                <w:sz w:val="24"/>
                <w:szCs w:val="24"/>
              </w:rPr>
            </w:pPr>
            <w:r>
              <w:rPr>
                <w:b/>
                <w:sz w:val="24"/>
                <w:szCs w:val="24"/>
              </w:rPr>
              <w:t>Detail</w:t>
            </w:r>
          </w:p>
        </w:tc>
      </w:tr>
      <w:tr w:rsidR="00A57845" w14:paraId="0E4EDEAC" w14:textId="77777777" w:rsidTr="00A57845">
        <w:tc>
          <w:tcPr>
            <w:tcW w:w="2410" w:type="dxa"/>
            <w:tcBorders>
              <w:left w:val="single" w:sz="4" w:space="0" w:color="000000"/>
            </w:tcBorders>
          </w:tcPr>
          <w:p w14:paraId="0B1CC5A9" w14:textId="77777777" w:rsidR="00A57845" w:rsidRPr="00777096" w:rsidRDefault="001D15CD" w:rsidP="00A57845">
            <w:pPr>
              <w:rPr>
                <w:sz w:val="24"/>
                <w:szCs w:val="24"/>
              </w:rPr>
            </w:pPr>
            <w:r>
              <w:rPr>
                <w:sz w:val="24"/>
                <w:szCs w:val="24"/>
              </w:rPr>
              <w:t>N/A</w:t>
            </w:r>
          </w:p>
        </w:tc>
        <w:tc>
          <w:tcPr>
            <w:tcW w:w="8217" w:type="dxa"/>
            <w:tcBorders>
              <w:left w:val="single" w:sz="4" w:space="0" w:color="000000"/>
            </w:tcBorders>
          </w:tcPr>
          <w:p w14:paraId="69D793D2" w14:textId="77777777" w:rsidR="00A57845" w:rsidRDefault="001D15CD" w:rsidP="00A57845">
            <w:pPr>
              <w:contextualSpacing/>
              <w:rPr>
                <w:sz w:val="24"/>
                <w:szCs w:val="24"/>
              </w:rPr>
            </w:pPr>
            <w:r>
              <w:rPr>
                <w:sz w:val="24"/>
                <w:szCs w:val="24"/>
              </w:rPr>
              <w:t>N/A</w:t>
            </w:r>
          </w:p>
        </w:tc>
      </w:tr>
    </w:tbl>
    <w:p w14:paraId="02C117DF" w14:textId="77777777" w:rsidR="00A57845" w:rsidRPr="00A57845" w:rsidRDefault="00A57845" w:rsidP="00C3315D">
      <w:pPr>
        <w:tabs>
          <w:tab w:val="left" w:pos="4230"/>
        </w:tabs>
        <w:rPr>
          <w:rFonts w:ascii="Trebuchet MS" w:hAnsi="Trebuchet MS"/>
          <w:sz w:val="18"/>
          <w:szCs w:val="18"/>
        </w:rPr>
      </w:pPr>
    </w:p>
    <w:tbl>
      <w:tblPr>
        <w:tblStyle w:val="TableGrid"/>
        <w:tblW w:w="10627" w:type="dxa"/>
        <w:tblLook w:val="04A0" w:firstRow="1" w:lastRow="0" w:firstColumn="1" w:lastColumn="0" w:noHBand="0" w:noVBand="1"/>
      </w:tblPr>
      <w:tblGrid>
        <w:gridCol w:w="10627"/>
      </w:tblGrid>
      <w:tr w:rsidR="00A57845" w:rsidRPr="00B86375" w14:paraId="34E496D6" w14:textId="77777777" w:rsidTr="00A57845">
        <w:tc>
          <w:tcPr>
            <w:tcW w:w="10627" w:type="dxa"/>
            <w:shd w:val="clear" w:color="auto" w:fill="D9D9D9" w:themeFill="background1" w:themeFillShade="D9"/>
          </w:tcPr>
          <w:p w14:paraId="44BD8002" w14:textId="77777777" w:rsidR="00A57845" w:rsidRPr="00B86375" w:rsidRDefault="00A57845" w:rsidP="00A57845">
            <w:pPr>
              <w:rPr>
                <w:b/>
                <w:sz w:val="24"/>
                <w:szCs w:val="24"/>
              </w:rPr>
            </w:pPr>
            <w:r>
              <w:rPr>
                <w:b/>
                <w:sz w:val="24"/>
                <w:szCs w:val="24"/>
              </w:rPr>
              <w:lastRenderedPageBreak/>
              <w:t>Report</w:t>
            </w:r>
          </w:p>
        </w:tc>
      </w:tr>
      <w:tr w:rsidR="00A57845" w14:paraId="35574517" w14:textId="77777777" w:rsidTr="00A57845">
        <w:tc>
          <w:tcPr>
            <w:tcW w:w="10627" w:type="dxa"/>
          </w:tcPr>
          <w:p w14:paraId="407B4C82" w14:textId="77777777" w:rsidR="004F3B2F" w:rsidRDefault="004F3B2F" w:rsidP="004F3B2F">
            <w:pPr>
              <w:tabs>
                <w:tab w:val="left" w:pos="567"/>
              </w:tabs>
              <w:rPr>
                <w:rFonts w:cstheme="minorHAnsi"/>
                <w:sz w:val="24"/>
                <w:szCs w:val="24"/>
                <w:lang w:val="en-US"/>
              </w:rPr>
            </w:pPr>
            <w:r>
              <w:rPr>
                <w:rFonts w:cstheme="minorHAnsi"/>
                <w:sz w:val="24"/>
                <w:szCs w:val="24"/>
                <w:lang w:val="en-US"/>
              </w:rPr>
              <w:t xml:space="preserve">The purpose of the Framework </w:t>
            </w:r>
            <w:r w:rsidR="006D30FD">
              <w:rPr>
                <w:rFonts w:cstheme="minorHAnsi"/>
                <w:sz w:val="24"/>
                <w:szCs w:val="24"/>
                <w:lang w:val="en-US"/>
              </w:rPr>
              <w:t>is</w:t>
            </w:r>
            <w:r>
              <w:rPr>
                <w:rFonts w:cstheme="minorHAnsi"/>
                <w:sz w:val="24"/>
                <w:szCs w:val="24"/>
                <w:lang w:val="en-US"/>
              </w:rPr>
              <w:t xml:space="preserve"> to set out the </w:t>
            </w:r>
            <w:r w:rsidR="00641FBD">
              <w:rPr>
                <w:rFonts w:cstheme="minorHAnsi"/>
                <w:sz w:val="24"/>
                <w:szCs w:val="24"/>
                <w:lang w:val="en-US"/>
              </w:rPr>
              <w:t>risk management arrangements in SLAB. This ensures</w:t>
            </w:r>
            <w:r>
              <w:rPr>
                <w:rFonts w:cstheme="minorHAnsi"/>
                <w:sz w:val="24"/>
                <w:szCs w:val="24"/>
                <w:lang w:val="en-US"/>
              </w:rPr>
              <w:t xml:space="preserve"> </w:t>
            </w:r>
            <w:r w:rsidR="00641FBD">
              <w:rPr>
                <w:rFonts w:cstheme="minorHAnsi"/>
                <w:sz w:val="24"/>
                <w:szCs w:val="24"/>
                <w:lang w:val="en-US"/>
              </w:rPr>
              <w:t>risk m</w:t>
            </w:r>
            <w:r w:rsidRPr="003D6FF9">
              <w:rPr>
                <w:rFonts w:cstheme="minorHAnsi"/>
                <w:sz w:val="24"/>
                <w:szCs w:val="24"/>
                <w:lang w:val="en-US"/>
              </w:rPr>
              <w:t>anagement is effectively considered and managed throughout t</w:t>
            </w:r>
            <w:r>
              <w:rPr>
                <w:rFonts w:cstheme="minorHAnsi"/>
                <w:sz w:val="24"/>
                <w:szCs w:val="24"/>
                <w:lang w:val="en-US"/>
              </w:rPr>
              <w:t xml:space="preserve">he </w:t>
            </w:r>
            <w:proofErr w:type="spellStart"/>
            <w:r w:rsidR="00641FBD">
              <w:rPr>
                <w:rFonts w:cstheme="minorHAnsi"/>
                <w:sz w:val="24"/>
                <w:szCs w:val="24"/>
                <w:lang w:val="en-US"/>
              </w:rPr>
              <w:t>organisation</w:t>
            </w:r>
            <w:proofErr w:type="spellEnd"/>
            <w:r w:rsidR="00641FBD">
              <w:rPr>
                <w:rFonts w:cstheme="minorHAnsi"/>
                <w:sz w:val="24"/>
                <w:szCs w:val="24"/>
                <w:lang w:val="en-US"/>
              </w:rPr>
              <w:t>, which</w:t>
            </w:r>
            <w:r>
              <w:rPr>
                <w:rFonts w:cstheme="minorHAnsi"/>
                <w:sz w:val="24"/>
                <w:szCs w:val="24"/>
                <w:lang w:val="en-US"/>
              </w:rPr>
              <w:t xml:space="preserve"> in turn</w:t>
            </w:r>
            <w:r w:rsidRPr="003D6FF9">
              <w:rPr>
                <w:rFonts w:cstheme="minorHAnsi"/>
                <w:sz w:val="24"/>
                <w:szCs w:val="24"/>
                <w:lang w:val="en-US"/>
              </w:rPr>
              <w:t xml:space="preserve"> reduce</w:t>
            </w:r>
            <w:r>
              <w:rPr>
                <w:rFonts w:cstheme="minorHAnsi"/>
                <w:sz w:val="24"/>
                <w:szCs w:val="24"/>
                <w:lang w:val="en-US"/>
              </w:rPr>
              <w:t>s</w:t>
            </w:r>
            <w:r w:rsidRPr="003D6FF9">
              <w:rPr>
                <w:rFonts w:cstheme="minorHAnsi"/>
                <w:sz w:val="24"/>
                <w:szCs w:val="24"/>
                <w:lang w:val="en-US"/>
              </w:rPr>
              <w:t xml:space="preserve"> the risk to the delivery of our corporate plan.</w:t>
            </w:r>
            <w:r>
              <w:rPr>
                <w:rFonts w:cstheme="minorHAnsi"/>
                <w:sz w:val="24"/>
                <w:szCs w:val="24"/>
                <w:lang w:val="en-US"/>
              </w:rPr>
              <w:t xml:space="preserve"> </w:t>
            </w:r>
          </w:p>
          <w:p w14:paraId="5532FCFA" w14:textId="77777777" w:rsidR="004F3B2F" w:rsidRDefault="004F3B2F" w:rsidP="004F3B2F">
            <w:pPr>
              <w:tabs>
                <w:tab w:val="left" w:pos="567"/>
              </w:tabs>
              <w:rPr>
                <w:rFonts w:cstheme="minorHAnsi"/>
                <w:sz w:val="24"/>
                <w:szCs w:val="24"/>
                <w:lang w:val="en-US"/>
              </w:rPr>
            </w:pPr>
          </w:p>
          <w:p w14:paraId="201FF649" w14:textId="14CD062A" w:rsidR="00DB6C19" w:rsidRDefault="006D30FD" w:rsidP="004F3B2F">
            <w:pPr>
              <w:tabs>
                <w:tab w:val="left" w:pos="567"/>
              </w:tabs>
              <w:rPr>
                <w:rFonts w:cstheme="minorHAnsi"/>
                <w:sz w:val="24"/>
                <w:szCs w:val="24"/>
                <w:lang w:val="en-US"/>
              </w:rPr>
            </w:pPr>
            <w:r>
              <w:rPr>
                <w:rFonts w:cstheme="minorHAnsi"/>
                <w:sz w:val="24"/>
                <w:szCs w:val="24"/>
              </w:rPr>
              <w:t>I</w:t>
            </w:r>
            <w:r w:rsidRPr="006D30FD">
              <w:rPr>
                <w:rFonts w:cstheme="minorHAnsi"/>
                <w:sz w:val="24"/>
                <w:szCs w:val="24"/>
              </w:rPr>
              <w:t>n October 2022, Internal Audit und</w:t>
            </w:r>
            <w:r w:rsidR="00641FBD">
              <w:rPr>
                <w:rFonts w:cstheme="minorHAnsi"/>
                <w:sz w:val="24"/>
                <w:szCs w:val="24"/>
              </w:rPr>
              <w:t>ertook a consultancy review of risk m</w:t>
            </w:r>
            <w:r w:rsidRPr="006D30FD">
              <w:rPr>
                <w:rFonts w:cstheme="minorHAnsi"/>
                <w:sz w:val="24"/>
                <w:szCs w:val="24"/>
              </w:rPr>
              <w:t>anagement. The consultancy ma</w:t>
            </w:r>
            <w:r w:rsidR="00641FBD">
              <w:rPr>
                <w:rFonts w:cstheme="minorHAnsi"/>
                <w:sz w:val="24"/>
                <w:szCs w:val="24"/>
              </w:rPr>
              <w:t xml:space="preserve">de </w:t>
            </w:r>
            <w:r w:rsidR="00FE5C71">
              <w:rPr>
                <w:rFonts w:cstheme="minorHAnsi"/>
                <w:sz w:val="24"/>
                <w:szCs w:val="24"/>
              </w:rPr>
              <w:t>several</w:t>
            </w:r>
            <w:r w:rsidR="00641FBD">
              <w:rPr>
                <w:rFonts w:cstheme="minorHAnsi"/>
                <w:sz w:val="24"/>
                <w:szCs w:val="24"/>
              </w:rPr>
              <w:t xml:space="preserve"> recommendations. Although already planned, a </w:t>
            </w:r>
            <w:r w:rsidRPr="006D30FD">
              <w:rPr>
                <w:rFonts w:cstheme="minorHAnsi"/>
                <w:sz w:val="24"/>
                <w:szCs w:val="24"/>
              </w:rPr>
              <w:t>review of the Risk Management Framework was one of these.</w:t>
            </w:r>
            <w:r>
              <w:rPr>
                <w:rFonts w:cstheme="minorHAnsi"/>
                <w:sz w:val="24"/>
                <w:szCs w:val="24"/>
              </w:rPr>
              <w:t xml:space="preserve"> </w:t>
            </w:r>
            <w:r>
              <w:rPr>
                <w:rFonts w:cstheme="minorHAnsi"/>
                <w:sz w:val="24"/>
                <w:szCs w:val="24"/>
                <w:lang w:val="en-US"/>
              </w:rPr>
              <w:t>The</w:t>
            </w:r>
            <w:r w:rsidR="00DB6C19">
              <w:rPr>
                <w:rFonts w:cstheme="minorHAnsi"/>
                <w:sz w:val="24"/>
                <w:szCs w:val="24"/>
                <w:lang w:val="en-US"/>
              </w:rPr>
              <w:t xml:space="preserve"> review was carried ou</w:t>
            </w:r>
            <w:r w:rsidR="00641FBD">
              <w:rPr>
                <w:rFonts w:cstheme="minorHAnsi"/>
                <w:sz w:val="24"/>
                <w:szCs w:val="24"/>
                <w:lang w:val="en-US"/>
              </w:rPr>
              <w:t xml:space="preserve">t and the revised framework </w:t>
            </w:r>
            <w:r w:rsidR="00DB6C19">
              <w:rPr>
                <w:rFonts w:cstheme="minorHAnsi"/>
                <w:sz w:val="24"/>
                <w:szCs w:val="24"/>
                <w:lang w:val="en-US"/>
              </w:rPr>
              <w:t xml:space="preserve">presented to the Audit </w:t>
            </w:r>
            <w:r w:rsidR="001D15CD">
              <w:rPr>
                <w:rFonts w:cstheme="minorHAnsi"/>
                <w:sz w:val="24"/>
                <w:szCs w:val="24"/>
                <w:lang w:val="en-US"/>
              </w:rPr>
              <w:t xml:space="preserve">Committee </w:t>
            </w:r>
            <w:r w:rsidR="00DB6C19">
              <w:rPr>
                <w:rFonts w:cstheme="minorHAnsi"/>
                <w:sz w:val="24"/>
                <w:szCs w:val="24"/>
                <w:lang w:val="en-US"/>
              </w:rPr>
              <w:t>on 28</w:t>
            </w:r>
            <w:r w:rsidR="00DB6C19" w:rsidRPr="00DB6C19">
              <w:rPr>
                <w:rFonts w:cstheme="minorHAnsi"/>
                <w:sz w:val="24"/>
                <w:szCs w:val="24"/>
                <w:vertAlign w:val="superscript"/>
                <w:lang w:val="en-US"/>
              </w:rPr>
              <w:t>th</w:t>
            </w:r>
            <w:r w:rsidR="00DB6C19">
              <w:rPr>
                <w:rFonts w:cstheme="minorHAnsi"/>
                <w:sz w:val="24"/>
                <w:szCs w:val="24"/>
                <w:lang w:val="en-US"/>
              </w:rPr>
              <w:t xml:space="preserve"> August 2023</w:t>
            </w:r>
            <w:r w:rsidR="001D15CD">
              <w:rPr>
                <w:rFonts w:cstheme="minorHAnsi"/>
                <w:sz w:val="24"/>
                <w:szCs w:val="24"/>
                <w:lang w:val="en-US"/>
              </w:rPr>
              <w:t xml:space="preserve">. </w:t>
            </w:r>
          </w:p>
          <w:p w14:paraId="053824D7" w14:textId="77777777" w:rsidR="00DB6C19" w:rsidRDefault="00DB6C19" w:rsidP="004F3B2F">
            <w:pPr>
              <w:tabs>
                <w:tab w:val="left" w:pos="567"/>
              </w:tabs>
              <w:rPr>
                <w:rFonts w:cstheme="minorHAnsi"/>
                <w:sz w:val="24"/>
                <w:szCs w:val="24"/>
                <w:lang w:val="en-US"/>
              </w:rPr>
            </w:pPr>
          </w:p>
          <w:p w14:paraId="55EA092C" w14:textId="7BC849DE" w:rsidR="00DB6C19" w:rsidRDefault="00DB6C19" w:rsidP="00DB6C19">
            <w:pPr>
              <w:tabs>
                <w:tab w:val="left" w:pos="4230"/>
              </w:tabs>
              <w:rPr>
                <w:sz w:val="24"/>
                <w:szCs w:val="24"/>
              </w:rPr>
            </w:pPr>
            <w:r w:rsidRPr="00DB6C19">
              <w:rPr>
                <w:sz w:val="24"/>
                <w:szCs w:val="24"/>
              </w:rPr>
              <w:t xml:space="preserve">The </w:t>
            </w:r>
            <w:r>
              <w:rPr>
                <w:sz w:val="24"/>
                <w:szCs w:val="24"/>
              </w:rPr>
              <w:t>main change</w:t>
            </w:r>
            <w:r w:rsidRPr="00DB6C19">
              <w:rPr>
                <w:sz w:val="24"/>
                <w:szCs w:val="24"/>
              </w:rPr>
              <w:t xml:space="preserve"> to the document </w:t>
            </w:r>
            <w:r w:rsidR="00641FBD">
              <w:rPr>
                <w:sz w:val="24"/>
                <w:szCs w:val="24"/>
              </w:rPr>
              <w:t xml:space="preserve">is </w:t>
            </w:r>
            <w:r w:rsidRPr="00DB6C19">
              <w:rPr>
                <w:sz w:val="24"/>
                <w:szCs w:val="24"/>
              </w:rPr>
              <w:t xml:space="preserve">the </w:t>
            </w:r>
            <w:r>
              <w:rPr>
                <w:sz w:val="24"/>
                <w:szCs w:val="24"/>
              </w:rPr>
              <w:t xml:space="preserve">‘process’ </w:t>
            </w:r>
            <w:r w:rsidR="00641FBD">
              <w:rPr>
                <w:sz w:val="24"/>
                <w:szCs w:val="24"/>
              </w:rPr>
              <w:t>of risk management has</w:t>
            </w:r>
            <w:r w:rsidRPr="00DB6C19">
              <w:rPr>
                <w:sz w:val="24"/>
                <w:szCs w:val="24"/>
              </w:rPr>
              <w:t xml:space="preserve"> been removed from the document. It was considered that the current document fell into two </w:t>
            </w:r>
            <w:proofErr w:type="gramStart"/>
            <w:r w:rsidRPr="00DB6C19">
              <w:rPr>
                <w:sz w:val="24"/>
                <w:szCs w:val="24"/>
              </w:rPr>
              <w:t>parts;</w:t>
            </w:r>
            <w:proofErr w:type="gramEnd"/>
            <w:r w:rsidRPr="00DB6C19">
              <w:rPr>
                <w:sz w:val="24"/>
                <w:szCs w:val="24"/>
              </w:rPr>
              <w:t xml:space="preserve"> the framework itself (in effect, the policy) and a guide to managing risk. It was considered more appropriate that the latter be split into a separate guidance </w:t>
            </w:r>
            <w:r w:rsidR="00FE5C71" w:rsidRPr="00DB6C19">
              <w:rPr>
                <w:sz w:val="24"/>
                <w:szCs w:val="24"/>
              </w:rPr>
              <w:t>document,</w:t>
            </w:r>
            <w:r w:rsidRPr="00DB6C19">
              <w:rPr>
                <w:sz w:val="24"/>
                <w:szCs w:val="24"/>
              </w:rPr>
              <w:t xml:space="preserve"> and this will be finalised and published </w:t>
            </w:r>
            <w:r w:rsidR="00641FBD">
              <w:rPr>
                <w:sz w:val="24"/>
                <w:szCs w:val="24"/>
              </w:rPr>
              <w:t xml:space="preserve">shortly </w:t>
            </w:r>
            <w:r w:rsidRPr="00DB6C19">
              <w:rPr>
                <w:sz w:val="24"/>
                <w:szCs w:val="24"/>
              </w:rPr>
              <w:t>in consultation</w:t>
            </w:r>
            <w:r w:rsidR="00641FBD">
              <w:rPr>
                <w:sz w:val="24"/>
                <w:szCs w:val="24"/>
              </w:rPr>
              <w:t xml:space="preserve"> with our internal Corporate Governance and</w:t>
            </w:r>
            <w:r w:rsidRPr="00DB6C19">
              <w:rPr>
                <w:sz w:val="24"/>
                <w:szCs w:val="24"/>
              </w:rPr>
              <w:t xml:space="preserve"> Risk Group.</w:t>
            </w:r>
          </w:p>
          <w:p w14:paraId="0E6EB840" w14:textId="77777777" w:rsidR="00DB6C19" w:rsidRPr="00DB6C19" w:rsidRDefault="00DB6C19" w:rsidP="00DB6C19">
            <w:pPr>
              <w:tabs>
                <w:tab w:val="left" w:pos="4230"/>
              </w:tabs>
              <w:rPr>
                <w:sz w:val="24"/>
                <w:szCs w:val="24"/>
              </w:rPr>
            </w:pPr>
            <w:r w:rsidRPr="00DB6C19">
              <w:rPr>
                <w:sz w:val="24"/>
                <w:szCs w:val="24"/>
              </w:rPr>
              <w:t xml:space="preserve"> </w:t>
            </w:r>
          </w:p>
          <w:p w14:paraId="489F2BDE" w14:textId="77777777" w:rsidR="00DB6C19" w:rsidRDefault="00DB6C19" w:rsidP="00DB6C19">
            <w:pPr>
              <w:tabs>
                <w:tab w:val="left" w:pos="4230"/>
              </w:tabs>
              <w:rPr>
                <w:sz w:val="24"/>
                <w:szCs w:val="24"/>
              </w:rPr>
            </w:pPr>
            <w:r w:rsidRPr="00DB6C19">
              <w:rPr>
                <w:sz w:val="24"/>
                <w:szCs w:val="24"/>
              </w:rPr>
              <w:t xml:space="preserve">The language in the revised Framework has </w:t>
            </w:r>
            <w:r>
              <w:rPr>
                <w:sz w:val="24"/>
                <w:szCs w:val="24"/>
              </w:rPr>
              <w:t xml:space="preserve">also </w:t>
            </w:r>
            <w:r w:rsidRPr="00DB6C19">
              <w:rPr>
                <w:sz w:val="24"/>
                <w:szCs w:val="24"/>
              </w:rPr>
              <w:t>been more closely tied with the language used in the</w:t>
            </w:r>
            <w:r w:rsidR="00641FBD">
              <w:rPr>
                <w:sz w:val="24"/>
                <w:szCs w:val="24"/>
              </w:rPr>
              <w:t xml:space="preserve"> recent</w:t>
            </w:r>
            <w:r w:rsidRPr="00DB6C19">
              <w:rPr>
                <w:sz w:val="24"/>
                <w:szCs w:val="24"/>
              </w:rPr>
              <w:t xml:space="preserve"> manager training, delivered in January this year</w:t>
            </w:r>
            <w:r w:rsidR="00641FBD">
              <w:rPr>
                <w:sz w:val="24"/>
                <w:szCs w:val="24"/>
              </w:rPr>
              <w:t>,</w:t>
            </w:r>
            <w:r w:rsidRPr="00DB6C19">
              <w:rPr>
                <w:sz w:val="24"/>
                <w:szCs w:val="24"/>
              </w:rPr>
              <w:t xml:space="preserve"> to ensure consistency and relevance of the training.</w:t>
            </w:r>
          </w:p>
          <w:p w14:paraId="1D62BB78" w14:textId="77777777" w:rsidR="00DB6C19" w:rsidRPr="00DB6C19" w:rsidRDefault="00DB6C19" w:rsidP="00DB6C19">
            <w:pPr>
              <w:tabs>
                <w:tab w:val="left" w:pos="4230"/>
              </w:tabs>
              <w:rPr>
                <w:sz w:val="24"/>
                <w:szCs w:val="24"/>
              </w:rPr>
            </w:pPr>
          </w:p>
          <w:p w14:paraId="6FBE9992" w14:textId="5AF8E772" w:rsidR="00DB6C19" w:rsidRDefault="00DB6C19" w:rsidP="00DB6C19">
            <w:pPr>
              <w:tabs>
                <w:tab w:val="left" w:pos="4230"/>
              </w:tabs>
              <w:rPr>
                <w:sz w:val="24"/>
                <w:szCs w:val="24"/>
              </w:rPr>
            </w:pPr>
            <w:r w:rsidRPr="00DB6C19">
              <w:rPr>
                <w:sz w:val="24"/>
                <w:szCs w:val="24"/>
              </w:rPr>
              <w:t xml:space="preserve">Although </w:t>
            </w:r>
            <w:r w:rsidR="00641FBD">
              <w:rPr>
                <w:sz w:val="24"/>
                <w:szCs w:val="24"/>
              </w:rPr>
              <w:t>the</w:t>
            </w:r>
            <w:r w:rsidRPr="00DB6C19">
              <w:rPr>
                <w:sz w:val="24"/>
                <w:szCs w:val="24"/>
              </w:rPr>
              <w:t xml:space="preserve"> Internal Audit consultation report recommended the inclusion of a ‘Risk Director</w:t>
            </w:r>
            <w:r w:rsidR="00FE5C71" w:rsidRPr="00DB6C19">
              <w:rPr>
                <w:sz w:val="24"/>
                <w:szCs w:val="24"/>
              </w:rPr>
              <w:t>’ we</w:t>
            </w:r>
            <w:r w:rsidRPr="00DB6C19">
              <w:rPr>
                <w:sz w:val="24"/>
                <w:szCs w:val="24"/>
              </w:rPr>
              <w:t xml:space="preserve"> have not considered this to be necessary due to the specific roles we have of Risk Coordinator, Director membership of the Corporate Governance and Risk Group and the role of the Executive Team in ownership of individual corporate risks and collective oversight of the Framework.  </w:t>
            </w:r>
          </w:p>
          <w:p w14:paraId="7E1671F8" w14:textId="77777777" w:rsidR="00DB6C19" w:rsidRPr="00DB6C19" w:rsidRDefault="00DB6C19" w:rsidP="00DB6C19">
            <w:pPr>
              <w:tabs>
                <w:tab w:val="left" w:pos="4230"/>
              </w:tabs>
              <w:rPr>
                <w:sz w:val="24"/>
                <w:szCs w:val="24"/>
              </w:rPr>
            </w:pPr>
          </w:p>
          <w:p w14:paraId="3E1F21B8" w14:textId="77777777" w:rsidR="00DB6C19" w:rsidRPr="00DB6C19" w:rsidRDefault="00DB6C19" w:rsidP="00DB6C19">
            <w:pPr>
              <w:tabs>
                <w:tab w:val="left" w:pos="4230"/>
              </w:tabs>
              <w:rPr>
                <w:sz w:val="24"/>
                <w:szCs w:val="24"/>
              </w:rPr>
            </w:pPr>
            <w:r w:rsidRPr="00DB6C19">
              <w:rPr>
                <w:sz w:val="24"/>
                <w:szCs w:val="24"/>
              </w:rPr>
              <w:t xml:space="preserve">We have also clarified the policy around risk reporting and the escalation of risks between the functional and corporate </w:t>
            </w:r>
            <w:proofErr w:type="spellStart"/>
            <w:r w:rsidRPr="00DB6C19">
              <w:rPr>
                <w:sz w:val="24"/>
                <w:szCs w:val="24"/>
              </w:rPr>
              <w:t>register.</w:t>
            </w:r>
            <w:proofErr w:type="spellEnd"/>
          </w:p>
          <w:p w14:paraId="4B5D559A" w14:textId="77777777" w:rsidR="00DB6C19" w:rsidRDefault="00DB6C19" w:rsidP="004F3B2F">
            <w:pPr>
              <w:tabs>
                <w:tab w:val="left" w:pos="567"/>
              </w:tabs>
              <w:rPr>
                <w:rFonts w:cstheme="minorHAnsi"/>
                <w:sz w:val="24"/>
                <w:szCs w:val="24"/>
                <w:lang w:val="en-US"/>
              </w:rPr>
            </w:pPr>
          </w:p>
          <w:p w14:paraId="56A9D2E8" w14:textId="77777777" w:rsidR="006D30FD" w:rsidRDefault="004F3B2F" w:rsidP="004F3B2F">
            <w:pPr>
              <w:tabs>
                <w:tab w:val="left" w:pos="567"/>
              </w:tabs>
              <w:rPr>
                <w:rFonts w:cstheme="minorHAnsi"/>
                <w:sz w:val="24"/>
                <w:szCs w:val="24"/>
                <w:lang w:val="en-US"/>
              </w:rPr>
            </w:pPr>
            <w:r>
              <w:rPr>
                <w:rFonts w:cstheme="minorHAnsi"/>
                <w:sz w:val="24"/>
                <w:szCs w:val="24"/>
                <w:lang w:val="en-US"/>
              </w:rPr>
              <w:t xml:space="preserve">The </w:t>
            </w:r>
            <w:r w:rsidR="00DB6C19">
              <w:rPr>
                <w:rFonts w:cstheme="minorHAnsi"/>
                <w:sz w:val="24"/>
                <w:szCs w:val="24"/>
                <w:lang w:val="en-US"/>
              </w:rPr>
              <w:t xml:space="preserve">Audit </w:t>
            </w:r>
            <w:r>
              <w:rPr>
                <w:rFonts w:cstheme="minorHAnsi"/>
                <w:sz w:val="24"/>
                <w:szCs w:val="24"/>
                <w:lang w:val="en-US"/>
              </w:rPr>
              <w:t>Committee was pleased to see that the focus of the Framework was that the key message of risk</w:t>
            </w:r>
            <w:r w:rsidR="006D30FD">
              <w:rPr>
                <w:rFonts w:cstheme="minorHAnsi"/>
                <w:sz w:val="24"/>
                <w:szCs w:val="24"/>
                <w:lang w:val="en-US"/>
              </w:rPr>
              <w:t xml:space="preserve"> was everyone’s responsibility. However, t</w:t>
            </w:r>
            <w:r>
              <w:rPr>
                <w:rFonts w:cstheme="minorHAnsi"/>
                <w:sz w:val="24"/>
                <w:szCs w:val="24"/>
                <w:lang w:val="en-US"/>
              </w:rPr>
              <w:t xml:space="preserve">he Committee </w:t>
            </w:r>
            <w:r w:rsidR="00DB6C19">
              <w:rPr>
                <w:rFonts w:cstheme="minorHAnsi"/>
                <w:sz w:val="24"/>
                <w:szCs w:val="24"/>
                <w:lang w:val="en-US"/>
              </w:rPr>
              <w:t xml:space="preserve">also </w:t>
            </w:r>
            <w:r>
              <w:rPr>
                <w:rFonts w:cstheme="minorHAnsi"/>
                <w:sz w:val="24"/>
                <w:szCs w:val="24"/>
                <w:lang w:val="en-US"/>
              </w:rPr>
              <w:t xml:space="preserve">noted that the framework </w:t>
            </w:r>
            <w:r w:rsidR="00DB6C19">
              <w:rPr>
                <w:rFonts w:cstheme="minorHAnsi"/>
                <w:sz w:val="24"/>
                <w:szCs w:val="24"/>
                <w:lang w:val="en-US"/>
              </w:rPr>
              <w:t>required more mention of</w:t>
            </w:r>
            <w:r>
              <w:rPr>
                <w:rFonts w:cstheme="minorHAnsi"/>
                <w:sz w:val="24"/>
                <w:szCs w:val="24"/>
                <w:lang w:val="en-US"/>
              </w:rPr>
              <w:t xml:space="preserve"> risk appetite and how the </w:t>
            </w:r>
            <w:proofErr w:type="spellStart"/>
            <w:r>
              <w:rPr>
                <w:rFonts w:cstheme="minorHAnsi"/>
                <w:sz w:val="24"/>
                <w:szCs w:val="24"/>
                <w:lang w:val="en-US"/>
              </w:rPr>
              <w:t>organisation</w:t>
            </w:r>
            <w:proofErr w:type="spellEnd"/>
            <w:r>
              <w:rPr>
                <w:rFonts w:cstheme="minorHAnsi"/>
                <w:sz w:val="24"/>
                <w:szCs w:val="24"/>
                <w:lang w:val="en-US"/>
              </w:rPr>
              <w:t xml:space="preserve"> will embed the risk management.</w:t>
            </w:r>
            <w:r w:rsidR="00DB6C19">
              <w:rPr>
                <w:rFonts w:cstheme="minorHAnsi"/>
                <w:sz w:val="24"/>
                <w:szCs w:val="24"/>
                <w:lang w:val="en-US"/>
              </w:rPr>
              <w:t xml:space="preserve"> </w:t>
            </w:r>
          </w:p>
          <w:p w14:paraId="4C0CDF94" w14:textId="77777777" w:rsidR="006D30FD" w:rsidRDefault="006D30FD" w:rsidP="004F3B2F">
            <w:pPr>
              <w:tabs>
                <w:tab w:val="left" w:pos="567"/>
              </w:tabs>
              <w:rPr>
                <w:rFonts w:cstheme="minorHAnsi"/>
                <w:sz w:val="24"/>
                <w:szCs w:val="24"/>
                <w:lang w:val="en-US"/>
              </w:rPr>
            </w:pPr>
          </w:p>
          <w:p w14:paraId="421B88AE" w14:textId="0C4FF050" w:rsidR="00A57845" w:rsidRPr="0011344B" w:rsidRDefault="00641FBD" w:rsidP="0011344B">
            <w:pPr>
              <w:tabs>
                <w:tab w:val="left" w:pos="567"/>
              </w:tabs>
              <w:rPr>
                <w:rFonts w:cstheme="minorHAnsi"/>
                <w:sz w:val="24"/>
                <w:szCs w:val="24"/>
                <w:lang w:val="en-US"/>
              </w:rPr>
            </w:pPr>
            <w:r>
              <w:rPr>
                <w:rFonts w:cstheme="minorHAnsi"/>
                <w:sz w:val="24"/>
                <w:szCs w:val="24"/>
                <w:lang w:val="en-US"/>
              </w:rPr>
              <w:t>Based on</w:t>
            </w:r>
            <w:r w:rsidR="00DB6C19">
              <w:rPr>
                <w:rFonts w:cstheme="minorHAnsi"/>
                <w:sz w:val="24"/>
                <w:szCs w:val="24"/>
                <w:lang w:val="en-US"/>
              </w:rPr>
              <w:t xml:space="preserve"> that feedback, further revisions have been made to the Framework, which is presented here for your consideration and approval. </w:t>
            </w:r>
          </w:p>
        </w:tc>
      </w:tr>
    </w:tbl>
    <w:p w14:paraId="700260F0" w14:textId="77777777" w:rsidR="00A57845" w:rsidRDefault="00A57845" w:rsidP="00A57845">
      <w:pPr>
        <w:rPr>
          <w:rFonts w:ascii="Trebuchet MS" w:hAnsi="Trebuchet MS"/>
          <w:sz w:val="18"/>
          <w:szCs w:val="18"/>
        </w:rPr>
      </w:pPr>
    </w:p>
    <w:tbl>
      <w:tblPr>
        <w:tblStyle w:val="TableGrid1"/>
        <w:tblW w:w="10627" w:type="dxa"/>
        <w:tblLook w:val="04A0" w:firstRow="1" w:lastRow="0" w:firstColumn="1" w:lastColumn="0" w:noHBand="0" w:noVBand="1"/>
      </w:tblPr>
      <w:tblGrid>
        <w:gridCol w:w="2547"/>
        <w:gridCol w:w="8080"/>
      </w:tblGrid>
      <w:tr w:rsidR="001D15CD" w:rsidRPr="001D15CD" w14:paraId="2C25C7B7" w14:textId="77777777" w:rsidTr="0010332A">
        <w:tc>
          <w:tcPr>
            <w:tcW w:w="2547" w:type="dxa"/>
            <w:shd w:val="clear" w:color="auto" w:fill="D9D9D9" w:themeFill="background1" w:themeFillShade="D9"/>
          </w:tcPr>
          <w:p w14:paraId="264DD25F" w14:textId="77777777" w:rsidR="001D15CD" w:rsidRPr="001D15CD" w:rsidRDefault="001D15CD" w:rsidP="001D15CD">
            <w:pPr>
              <w:rPr>
                <w:b/>
                <w:sz w:val="24"/>
                <w:szCs w:val="24"/>
              </w:rPr>
            </w:pPr>
          </w:p>
        </w:tc>
        <w:tc>
          <w:tcPr>
            <w:tcW w:w="8080" w:type="dxa"/>
            <w:shd w:val="clear" w:color="auto" w:fill="D9D9D9" w:themeFill="background1" w:themeFillShade="D9"/>
          </w:tcPr>
          <w:p w14:paraId="128C51AB" w14:textId="77777777" w:rsidR="001D15CD" w:rsidRPr="001D15CD" w:rsidRDefault="001D15CD" w:rsidP="001D15CD">
            <w:pPr>
              <w:rPr>
                <w:b/>
                <w:sz w:val="24"/>
                <w:szCs w:val="24"/>
              </w:rPr>
            </w:pPr>
            <w:r w:rsidRPr="001D15CD">
              <w:rPr>
                <w:b/>
                <w:sz w:val="24"/>
                <w:szCs w:val="24"/>
              </w:rPr>
              <w:t xml:space="preserve">Governance links </w:t>
            </w:r>
          </w:p>
        </w:tc>
      </w:tr>
      <w:tr w:rsidR="001D15CD" w:rsidRPr="001D15CD" w14:paraId="08F406BE" w14:textId="77777777" w:rsidTr="0010332A">
        <w:tc>
          <w:tcPr>
            <w:tcW w:w="2547" w:type="dxa"/>
          </w:tcPr>
          <w:p w14:paraId="406B92F8" w14:textId="77777777" w:rsidR="001D15CD" w:rsidRPr="001D15CD" w:rsidRDefault="001D15CD" w:rsidP="001D15CD">
            <w:pPr>
              <w:rPr>
                <w:sz w:val="24"/>
                <w:szCs w:val="24"/>
              </w:rPr>
            </w:pPr>
            <w:r w:rsidRPr="001D15CD">
              <w:rPr>
                <w:sz w:val="24"/>
                <w:szCs w:val="24"/>
              </w:rPr>
              <w:t>1. Finance and resources</w:t>
            </w:r>
          </w:p>
        </w:tc>
        <w:tc>
          <w:tcPr>
            <w:tcW w:w="8080" w:type="dxa"/>
          </w:tcPr>
          <w:p w14:paraId="54CE49DA" w14:textId="00E36B43" w:rsidR="001D15CD" w:rsidRPr="001D15CD" w:rsidRDefault="001D15CD" w:rsidP="001D15CD">
            <w:pPr>
              <w:rPr>
                <w:sz w:val="24"/>
                <w:szCs w:val="24"/>
              </w:rPr>
            </w:pPr>
            <w:r w:rsidRPr="001D15CD">
              <w:rPr>
                <w:sz w:val="24"/>
                <w:szCs w:val="24"/>
              </w:rPr>
              <w:t>Finance and resources are taken into consideration when assessing the impact of risks that have been identified. Conversely, finance and resources can be the primary cause of risks.</w:t>
            </w:r>
          </w:p>
        </w:tc>
      </w:tr>
      <w:tr w:rsidR="001D15CD" w:rsidRPr="001D15CD" w14:paraId="19951AD0" w14:textId="77777777" w:rsidTr="0010332A">
        <w:tc>
          <w:tcPr>
            <w:tcW w:w="2547" w:type="dxa"/>
          </w:tcPr>
          <w:p w14:paraId="14B352A2" w14:textId="77777777" w:rsidR="001D15CD" w:rsidRPr="001D15CD" w:rsidRDefault="001D15CD" w:rsidP="001D15CD">
            <w:pPr>
              <w:rPr>
                <w:sz w:val="24"/>
                <w:szCs w:val="24"/>
              </w:rPr>
            </w:pPr>
            <w:r w:rsidRPr="001D15CD">
              <w:rPr>
                <w:sz w:val="24"/>
                <w:szCs w:val="24"/>
              </w:rPr>
              <w:t>2. Risk</w:t>
            </w:r>
          </w:p>
        </w:tc>
        <w:tc>
          <w:tcPr>
            <w:tcW w:w="8080" w:type="dxa"/>
          </w:tcPr>
          <w:p w14:paraId="4B15ACDB" w14:textId="24FFB585" w:rsidR="001D15CD" w:rsidRPr="001D15CD" w:rsidRDefault="001D15CD" w:rsidP="001D15CD">
            <w:pPr>
              <w:rPr>
                <w:sz w:val="24"/>
                <w:szCs w:val="24"/>
              </w:rPr>
            </w:pPr>
            <w:r w:rsidRPr="001D15CD">
              <w:rPr>
                <w:sz w:val="24"/>
                <w:szCs w:val="24"/>
              </w:rPr>
              <w:t xml:space="preserve">The overall management of risk within SLAB is given detailed scrutiny at the Audit Committee – a report is then made to the Board following that meeting and assurance given as appropriate. </w:t>
            </w:r>
          </w:p>
        </w:tc>
      </w:tr>
      <w:tr w:rsidR="001D15CD" w:rsidRPr="001D15CD" w14:paraId="3F986E3A" w14:textId="77777777" w:rsidTr="0010332A">
        <w:tc>
          <w:tcPr>
            <w:tcW w:w="2547" w:type="dxa"/>
          </w:tcPr>
          <w:p w14:paraId="0EEB4C55" w14:textId="10494CBC" w:rsidR="001D15CD" w:rsidRPr="001D15CD" w:rsidRDefault="001D15CD" w:rsidP="001D15CD">
            <w:pPr>
              <w:rPr>
                <w:sz w:val="24"/>
                <w:szCs w:val="24"/>
              </w:rPr>
            </w:pPr>
            <w:r w:rsidRPr="001D15CD">
              <w:rPr>
                <w:sz w:val="24"/>
                <w:szCs w:val="24"/>
              </w:rPr>
              <w:t>3. Legal and compliance</w:t>
            </w:r>
          </w:p>
        </w:tc>
        <w:tc>
          <w:tcPr>
            <w:tcW w:w="8080" w:type="dxa"/>
          </w:tcPr>
          <w:p w14:paraId="73DC0E86" w14:textId="77777777" w:rsidR="001D15CD" w:rsidRPr="001D15CD" w:rsidRDefault="001D15CD" w:rsidP="001D15CD">
            <w:pPr>
              <w:rPr>
                <w:sz w:val="24"/>
                <w:szCs w:val="24"/>
              </w:rPr>
            </w:pPr>
            <w:r w:rsidRPr="001D15CD">
              <w:rPr>
                <w:sz w:val="24"/>
                <w:szCs w:val="24"/>
              </w:rPr>
              <w:t>N/A</w:t>
            </w:r>
          </w:p>
          <w:p w14:paraId="5C262CFB" w14:textId="77777777" w:rsidR="001D15CD" w:rsidRPr="001D15CD" w:rsidRDefault="001D15CD" w:rsidP="001D15CD">
            <w:pPr>
              <w:rPr>
                <w:sz w:val="24"/>
                <w:szCs w:val="24"/>
              </w:rPr>
            </w:pPr>
          </w:p>
        </w:tc>
      </w:tr>
      <w:tr w:rsidR="001D15CD" w:rsidRPr="001D15CD" w14:paraId="2D9BC8FB" w14:textId="77777777" w:rsidTr="0010332A">
        <w:tc>
          <w:tcPr>
            <w:tcW w:w="2547" w:type="dxa"/>
          </w:tcPr>
          <w:p w14:paraId="55C98721" w14:textId="77777777" w:rsidR="001D15CD" w:rsidRPr="001D15CD" w:rsidRDefault="001D15CD" w:rsidP="001D15CD">
            <w:pPr>
              <w:rPr>
                <w:sz w:val="24"/>
                <w:szCs w:val="24"/>
              </w:rPr>
            </w:pPr>
            <w:r w:rsidRPr="001D15CD">
              <w:rPr>
                <w:sz w:val="24"/>
                <w:szCs w:val="24"/>
              </w:rPr>
              <w:t>4. Performance</w:t>
            </w:r>
          </w:p>
        </w:tc>
        <w:tc>
          <w:tcPr>
            <w:tcW w:w="8080" w:type="dxa"/>
          </w:tcPr>
          <w:p w14:paraId="70E21DBD" w14:textId="008F30A1" w:rsidR="001D15CD" w:rsidRPr="001D15CD" w:rsidRDefault="001D15CD" w:rsidP="001D15CD">
            <w:pPr>
              <w:rPr>
                <w:sz w:val="24"/>
                <w:szCs w:val="24"/>
              </w:rPr>
            </w:pPr>
            <w:r w:rsidRPr="001D15CD">
              <w:rPr>
                <w:sz w:val="24"/>
                <w:szCs w:val="24"/>
              </w:rPr>
              <w:t>Our performance is taken into consideration when assessing the impact of risks that have been identified.</w:t>
            </w:r>
          </w:p>
        </w:tc>
      </w:tr>
      <w:tr w:rsidR="001D15CD" w:rsidRPr="001D15CD" w14:paraId="31210857" w14:textId="77777777" w:rsidTr="0010332A">
        <w:tc>
          <w:tcPr>
            <w:tcW w:w="2547" w:type="dxa"/>
          </w:tcPr>
          <w:p w14:paraId="4C7A1F9F" w14:textId="77777777" w:rsidR="001D15CD" w:rsidRPr="001D15CD" w:rsidRDefault="001D15CD" w:rsidP="001D15CD">
            <w:pPr>
              <w:rPr>
                <w:sz w:val="24"/>
                <w:szCs w:val="24"/>
              </w:rPr>
            </w:pPr>
            <w:r w:rsidRPr="001D15CD">
              <w:rPr>
                <w:sz w:val="24"/>
                <w:szCs w:val="24"/>
              </w:rPr>
              <w:t>5. Equalities impact</w:t>
            </w:r>
          </w:p>
        </w:tc>
        <w:tc>
          <w:tcPr>
            <w:tcW w:w="8080" w:type="dxa"/>
          </w:tcPr>
          <w:p w14:paraId="404BA5B6" w14:textId="0910FA22" w:rsidR="001D15CD" w:rsidRPr="001D15CD" w:rsidRDefault="001D15CD" w:rsidP="0011344B">
            <w:pPr>
              <w:tabs>
                <w:tab w:val="left" w:pos="5460"/>
              </w:tabs>
              <w:rPr>
                <w:sz w:val="24"/>
                <w:szCs w:val="24"/>
              </w:rPr>
            </w:pPr>
            <w:r w:rsidRPr="001D15CD">
              <w:rPr>
                <w:sz w:val="24"/>
                <w:szCs w:val="24"/>
              </w:rPr>
              <w:t xml:space="preserve">There is no equalities impact assessment required directly with our risk assessment </w:t>
            </w:r>
            <w:r w:rsidR="0011344B" w:rsidRPr="001D15CD">
              <w:rPr>
                <w:sz w:val="24"/>
                <w:szCs w:val="24"/>
              </w:rPr>
              <w:t>work,</w:t>
            </w:r>
            <w:r w:rsidRPr="001D15CD">
              <w:rPr>
                <w:sz w:val="24"/>
                <w:szCs w:val="24"/>
              </w:rPr>
              <w:t xml:space="preserve"> but we will consider any impact on our equalities duty when assessing the impact of risks.</w:t>
            </w:r>
          </w:p>
        </w:tc>
      </w:tr>
      <w:tr w:rsidR="001D15CD" w:rsidRPr="001D15CD" w14:paraId="2104FA49" w14:textId="77777777" w:rsidTr="0010332A">
        <w:tc>
          <w:tcPr>
            <w:tcW w:w="2547" w:type="dxa"/>
          </w:tcPr>
          <w:p w14:paraId="38792CD0" w14:textId="67117D45" w:rsidR="001D15CD" w:rsidRPr="001D15CD" w:rsidRDefault="001D15CD" w:rsidP="001D15CD">
            <w:pPr>
              <w:rPr>
                <w:sz w:val="24"/>
                <w:szCs w:val="24"/>
              </w:rPr>
            </w:pPr>
            <w:r w:rsidRPr="001D15CD">
              <w:rPr>
                <w:sz w:val="24"/>
                <w:szCs w:val="24"/>
              </w:rPr>
              <w:lastRenderedPageBreak/>
              <w:t>6. Privacy impact and data protection</w:t>
            </w:r>
          </w:p>
        </w:tc>
        <w:tc>
          <w:tcPr>
            <w:tcW w:w="8080" w:type="dxa"/>
          </w:tcPr>
          <w:p w14:paraId="1BB8F112" w14:textId="77777777" w:rsidR="001D15CD" w:rsidRPr="001D15CD" w:rsidRDefault="001D15CD" w:rsidP="001D15CD">
            <w:pPr>
              <w:rPr>
                <w:sz w:val="24"/>
                <w:szCs w:val="24"/>
              </w:rPr>
            </w:pPr>
            <w:r w:rsidRPr="001D15CD">
              <w:rPr>
                <w:sz w:val="24"/>
                <w:szCs w:val="24"/>
              </w:rPr>
              <w:t>N/A</w:t>
            </w:r>
          </w:p>
        </w:tc>
      </w:tr>
      <w:tr w:rsidR="001D15CD" w:rsidRPr="001D15CD" w14:paraId="5896EBC1" w14:textId="77777777" w:rsidTr="0010332A">
        <w:tc>
          <w:tcPr>
            <w:tcW w:w="2547" w:type="dxa"/>
          </w:tcPr>
          <w:p w14:paraId="57028594" w14:textId="77777777" w:rsidR="001D15CD" w:rsidRPr="001D15CD" w:rsidRDefault="001D15CD" w:rsidP="001D15CD">
            <w:pPr>
              <w:rPr>
                <w:sz w:val="24"/>
                <w:szCs w:val="24"/>
              </w:rPr>
            </w:pPr>
            <w:r w:rsidRPr="001D15CD">
              <w:rPr>
                <w:sz w:val="24"/>
                <w:szCs w:val="24"/>
              </w:rPr>
              <w:t>7. Communications and engagement</w:t>
            </w:r>
          </w:p>
        </w:tc>
        <w:tc>
          <w:tcPr>
            <w:tcW w:w="8080" w:type="dxa"/>
          </w:tcPr>
          <w:p w14:paraId="16CB6E69" w14:textId="77777777" w:rsidR="001D15CD" w:rsidRPr="001D15CD" w:rsidRDefault="001D15CD" w:rsidP="001D15CD">
            <w:pPr>
              <w:rPr>
                <w:sz w:val="24"/>
                <w:szCs w:val="24"/>
              </w:rPr>
            </w:pPr>
            <w:r w:rsidRPr="001D15CD">
              <w:rPr>
                <w:sz w:val="24"/>
                <w:szCs w:val="24"/>
              </w:rPr>
              <w:t>N/A</w:t>
            </w:r>
          </w:p>
          <w:p w14:paraId="15577E59" w14:textId="77777777" w:rsidR="001D15CD" w:rsidRPr="001D15CD" w:rsidRDefault="001D15CD" w:rsidP="001D15CD">
            <w:pPr>
              <w:rPr>
                <w:sz w:val="24"/>
                <w:szCs w:val="24"/>
              </w:rPr>
            </w:pPr>
          </w:p>
        </w:tc>
      </w:tr>
    </w:tbl>
    <w:p w14:paraId="30DF39A2" w14:textId="77777777" w:rsidR="001D15CD" w:rsidRDefault="001D15CD" w:rsidP="00A57845">
      <w:pPr>
        <w:rPr>
          <w:rFonts w:ascii="Trebuchet MS" w:hAnsi="Trebuchet MS"/>
          <w:sz w:val="18"/>
          <w:szCs w:val="18"/>
        </w:rPr>
      </w:pPr>
    </w:p>
    <w:tbl>
      <w:tblPr>
        <w:tblStyle w:val="TableGrid"/>
        <w:tblW w:w="10627" w:type="dxa"/>
        <w:tblLook w:val="04A0" w:firstRow="1" w:lastRow="0" w:firstColumn="1" w:lastColumn="0" w:noHBand="0" w:noVBand="1"/>
      </w:tblPr>
      <w:tblGrid>
        <w:gridCol w:w="10627"/>
      </w:tblGrid>
      <w:tr w:rsidR="00583F60" w:rsidRPr="0098730C" w14:paraId="2D46DE47" w14:textId="77777777" w:rsidTr="00583F60">
        <w:tc>
          <w:tcPr>
            <w:tcW w:w="10627" w:type="dxa"/>
            <w:tcBorders>
              <w:bottom w:val="single" w:sz="4" w:space="0" w:color="auto"/>
            </w:tcBorders>
            <w:shd w:val="clear" w:color="auto" w:fill="D9D9D9" w:themeFill="background1" w:themeFillShade="D9"/>
          </w:tcPr>
          <w:p w14:paraId="7EB2D29D" w14:textId="77777777" w:rsidR="00583F60" w:rsidRPr="0098730C" w:rsidRDefault="00583F60" w:rsidP="00195638">
            <w:pPr>
              <w:rPr>
                <w:b/>
                <w:sz w:val="24"/>
                <w:szCs w:val="24"/>
              </w:rPr>
            </w:pPr>
            <w:r w:rsidRPr="0098730C">
              <w:rPr>
                <w:b/>
                <w:sz w:val="24"/>
                <w:szCs w:val="24"/>
              </w:rPr>
              <w:t>Conclusion and next steps</w:t>
            </w:r>
          </w:p>
        </w:tc>
      </w:tr>
      <w:tr w:rsidR="00583F60" w14:paraId="6C4AB79D" w14:textId="77777777" w:rsidTr="00583F60">
        <w:tc>
          <w:tcPr>
            <w:tcW w:w="10627" w:type="dxa"/>
            <w:tcBorders>
              <w:left w:val="single" w:sz="4" w:space="0" w:color="auto"/>
              <w:bottom w:val="single" w:sz="4" w:space="0" w:color="auto"/>
              <w:right w:val="single" w:sz="4" w:space="0" w:color="auto"/>
            </w:tcBorders>
          </w:tcPr>
          <w:p w14:paraId="12CA0C68" w14:textId="351BA35A" w:rsidR="00583F60" w:rsidRDefault="00DB6C19" w:rsidP="00195638">
            <w:pPr>
              <w:rPr>
                <w:sz w:val="24"/>
                <w:szCs w:val="24"/>
              </w:rPr>
            </w:pPr>
            <w:r>
              <w:rPr>
                <w:sz w:val="24"/>
                <w:szCs w:val="24"/>
              </w:rPr>
              <w:t xml:space="preserve">The Board is asked to consider and approve the revised Risk Management Framework. </w:t>
            </w:r>
          </w:p>
        </w:tc>
      </w:tr>
    </w:tbl>
    <w:p w14:paraId="0972E6F8" w14:textId="77777777" w:rsidR="00583F60" w:rsidRPr="00583F60" w:rsidRDefault="00583F60" w:rsidP="00583F60">
      <w:pPr>
        <w:rPr>
          <w:rFonts w:ascii="Trebuchet MS" w:hAnsi="Trebuchet MS"/>
          <w:sz w:val="18"/>
          <w:szCs w:val="18"/>
        </w:rPr>
      </w:pPr>
    </w:p>
    <w:tbl>
      <w:tblPr>
        <w:tblStyle w:val="TableGrid"/>
        <w:tblW w:w="10627" w:type="dxa"/>
        <w:tblLook w:val="04A0" w:firstRow="1" w:lastRow="0" w:firstColumn="1" w:lastColumn="0" w:noHBand="0" w:noVBand="1"/>
      </w:tblPr>
      <w:tblGrid>
        <w:gridCol w:w="10627"/>
      </w:tblGrid>
      <w:tr w:rsidR="00583F60" w14:paraId="3A2FA770" w14:textId="77777777" w:rsidTr="00583F60">
        <w:tc>
          <w:tcPr>
            <w:tcW w:w="10627" w:type="dxa"/>
            <w:shd w:val="clear" w:color="auto" w:fill="D9D9D9" w:themeFill="background1" w:themeFillShade="D9"/>
          </w:tcPr>
          <w:p w14:paraId="18135EFC" w14:textId="77777777" w:rsidR="00583F60" w:rsidRPr="0098730C" w:rsidRDefault="00583F60" w:rsidP="00583F60">
            <w:pPr>
              <w:rPr>
                <w:b/>
                <w:sz w:val="24"/>
                <w:szCs w:val="24"/>
              </w:rPr>
            </w:pPr>
            <w:r>
              <w:rPr>
                <w:b/>
                <w:sz w:val="24"/>
                <w:szCs w:val="24"/>
              </w:rPr>
              <w:t>Appendix</w:t>
            </w:r>
            <w:r w:rsidRPr="0098730C">
              <w:rPr>
                <w:b/>
                <w:sz w:val="24"/>
                <w:szCs w:val="24"/>
              </w:rPr>
              <w:t>/</w:t>
            </w:r>
            <w:r>
              <w:rPr>
                <w:b/>
                <w:sz w:val="24"/>
                <w:szCs w:val="24"/>
              </w:rPr>
              <w:t>f</w:t>
            </w:r>
            <w:r w:rsidRPr="0098730C">
              <w:rPr>
                <w:b/>
                <w:sz w:val="24"/>
                <w:szCs w:val="24"/>
              </w:rPr>
              <w:t xml:space="preserve">urther </w:t>
            </w:r>
            <w:r>
              <w:rPr>
                <w:b/>
                <w:sz w:val="24"/>
                <w:szCs w:val="24"/>
              </w:rPr>
              <w:t>r</w:t>
            </w:r>
            <w:r w:rsidRPr="0098730C">
              <w:rPr>
                <w:b/>
                <w:sz w:val="24"/>
                <w:szCs w:val="24"/>
              </w:rPr>
              <w:t>eading</w:t>
            </w:r>
          </w:p>
        </w:tc>
      </w:tr>
      <w:tr w:rsidR="00583F60" w14:paraId="51D9C363" w14:textId="77777777" w:rsidTr="00583F60">
        <w:tc>
          <w:tcPr>
            <w:tcW w:w="10627" w:type="dxa"/>
            <w:tcBorders>
              <w:right w:val="single" w:sz="4" w:space="0" w:color="auto"/>
            </w:tcBorders>
          </w:tcPr>
          <w:p w14:paraId="51374EE0" w14:textId="77777777" w:rsidR="00583F60" w:rsidRDefault="00DB6C19" w:rsidP="00D701A4">
            <w:pPr>
              <w:rPr>
                <w:sz w:val="24"/>
                <w:szCs w:val="24"/>
              </w:rPr>
            </w:pPr>
            <w:r>
              <w:rPr>
                <w:sz w:val="24"/>
                <w:szCs w:val="24"/>
              </w:rPr>
              <w:t>Risk Management Framework</w:t>
            </w:r>
          </w:p>
        </w:tc>
      </w:tr>
    </w:tbl>
    <w:p w14:paraId="2A2988E7" w14:textId="77777777" w:rsidR="00C4741D" w:rsidRPr="00C4741D" w:rsidRDefault="00C4741D" w:rsidP="00C4741D">
      <w:pPr>
        <w:tabs>
          <w:tab w:val="left" w:pos="4230"/>
        </w:tabs>
        <w:rPr>
          <w:rFonts w:ascii="Trebuchet MS" w:hAnsi="Trebuchet MS"/>
          <w:sz w:val="24"/>
          <w:szCs w:val="24"/>
        </w:rPr>
      </w:pPr>
    </w:p>
    <w:sectPr w:rsidR="00C4741D" w:rsidRPr="00C4741D" w:rsidSect="00C4741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2D2D" w14:textId="77777777" w:rsidR="006E5804" w:rsidRDefault="006E5804" w:rsidP="00C4741D">
      <w:pPr>
        <w:spacing w:after="0" w:line="240" w:lineRule="auto"/>
      </w:pPr>
      <w:r>
        <w:separator/>
      </w:r>
    </w:p>
  </w:endnote>
  <w:endnote w:type="continuationSeparator" w:id="0">
    <w:p w14:paraId="47DD743B" w14:textId="77777777" w:rsidR="006E5804" w:rsidRDefault="006E5804" w:rsidP="00C4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1CBA" w14:textId="1B4BCF31" w:rsidR="00A57845" w:rsidRPr="00C4741D" w:rsidRDefault="00A57845">
    <w:pPr>
      <w:pStyle w:val="Footer"/>
      <w:jc w:val="right"/>
      <w:rPr>
        <w:rFonts w:ascii="Trebuchet MS" w:hAnsi="Trebuchet MS"/>
        <w:sz w:val="24"/>
        <w:szCs w:val="24"/>
      </w:rPr>
    </w:pPr>
    <w:r w:rsidRPr="00C4741D">
      <w:rPr>
        <w:rFonts w:ascii="Trebuchet MS" w:hAnsi="Trebuchet MS"/>
        <w:sz w:val="24"/>
        <w:szCs w:val="24"/>
      </w:rPr>
      <w:t xml:space="preserve">Scottish Legal Aid Board </w:t>
    </w:r>
    <w:r>
      <w:rPr>
        <w:rFonts w:ascii="Trebuchet MS" w:hAnsi="Trebuchet MS"/>
        <w:sz w:val="24"/>
        <w:szCs w:val="24"/>
      </w:rPr>
      <w:t>–</w:t>
    </w:r>
    <w:r w:rsidRPr="00C4741D">
      <w:rPr>
        <w:rFonts w:ascii="Trebuchet MS" w:hAnsi="Trebuchet MS"/>
        <w:sz w:val="24"/>
        <w:szCs w:val="24"/>
      </w:rPr>
      <w:t xml:space="preserve"> </w:t>
    </w:r>
    <w:r>
      <w:rPr>
        <w:rFonts w:ascii="Trebuchet MS" w:hAnsi="Trebuchet MS"/>
        <w:sz w:val="24"/>
        <w:szCs w:val="24"/>
      </w:rPr>
      <w:t>Board report</w:t>
    </w:r>
    <w:r w:rsidR="00583F60">
      <w:rPr>
        <w:rFonts w:ascii="Trebuchet MS" w:hAnsi="Trebuchet MS"/>
        <w:sz w:val="24"/>
        <w:szCs w:val="24"/>
      </w:rPr>
      <w:t xml:space="preserve">, </w:t>
    </w:r>
    <w:r w:rsidR="00FE5C71">
      <w:rPr>
        <w:rFonts w:ascii="Trebuchet MS" w:hAnsi="Trebuchet MS"/>
        <w:sz w:val="24"/>
        <w:szCs w:val="24"/>
      </w:rPr>
      <w:t>Revised Risk Management Framework</w:t>
    </w:r>
    <w:r w:rsidRPr="00C4741D">
      <w:rPr>
        <w:rFonts w:ascii="Trebuchet MS" w:hAnsi="Trebuchet MS"/>
        <w:sz w:val="24"/>
        <w:szCs w:val="24"/>
      </w:rPr>
      <w:t xml:space="preserve">      </w:t>
    </w:r>
    <w:sdt>
      <w:sdtPr>
        <w:rPr>
          <w:rFonts w:ascii="Trebuchet MS" w:hAnsi="Trebuchet MS"/>
          <w:sz w:val="24"/>
          <w:szCs w:val="24"/>
        </w:rPr>
        <w:id w:val="314316149"/>
        <w:docPartObj>
          <w:docPartGallery w:val="Page Numbers (Bottom of Page)"/>
          <w:docPartUnique/>
        </w:docPartObj>
      </w:sdtPr>
      <w:sdtEndPr>
        <w:rPr>
          <w:noProof/>
        </w:rPr>
      </w:sdtEndPr>
      <w:sdtContent>
        <w:r w:rsidRPr="00C4741D">
          <w:rPr>
            <w:rFonts w:ascii="Trebuchet MS" w:hAnsi="Trebuchet MS"/>
            <w:sz w:val="24"/>
            <w:szCs w:val="24"/>
          </w:rPr>
          <w:fldChar w:fldCharType="begin"/>
        </w:r>
        <w:r w:rsidRPr="00C4741D">
          <w:rPr>
            <w:rFonts w:ascii="Trebuchet MS" w:hAnsi="Trebuchet MS"/>
            <w:sz w:val="24"/>
            <w:szCs w:val="24"/>
          </w:rPr>
          <w:instrText xml:space="preserve"> PAGE   \* MERGEFORMAT </w:instrText>
        </w:r>
        <w:r w:rsidRPr="00C4741D">
          <w:rPr>
            <w:rFonts w:ascii="Trebuchet MS" w:hAnsi="Trebuchet MS"/>
            <w:sz w:val="24"/>
            <w:szCs w:val="24"/>
          </w:rPr>
          <w:fldChar w:fldCharType="separate"/>
        </w:r>
        <w:r w:rsidR="00641FBD">
          <w:rPr>
            <w:rFonts w:ascii="Trebuchet MS" w:hAnsi="Trebuchet MS"/>
            <w:noProof/>
            <w:sz w:val="24"/>
            <w:szCs w:val="24"/>
          </w:rPr>
          <w:t>1</w:t>
        </w:r>
        <w:r w:rsidRPr="00C4741D">
          <w:rPr>
            <w:rFonts w:ascii="Trebuchet MS" w:hAnsi="Trebuchet MS"/>
            <w:noProof/>
            <w:sz w:val="24"/>
            <w:szCs w:val="24"/>
          </w:rPr>
          <w:fldChar w:fldCharType="end"/>
        </w:r>
      </w:sdtContent>
    </w:sdt>
  </w:p>
  <w:p w14:paraId="0C75E6A6" w14:textId="77777777" w:rsidR="00A57845" w:rsidRDefault="00A5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621B" w14:textId="77777777" w:rsidR="006E5804" w:rsidRDefault="006E5804" w:rsidP="00C4741D">
      <w:pPr>
        <w:spacing w:after="0" w:line="240" w:lineRule="auto"/>
      </w:pPr>
      <w:r>
        <w:separator/>
      </w:r>
    </w:p>
  </w:footnote>
  <w:footnote w:type="continuationSeparator" w:id="0">
    <w:p w14:paraId="04573FD4" w14:textId="77777777" w:rsidR="006E5804" w:rsidRDefault="006E5804" w:rsidP="00C47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87A"/>
    <w:multiLevelType w:val="hybridMultilevel"/>
    <w:tmpl w:val="EB804D0C"/>
    <w:lvl w:ilvl="0" w:tplc="54CEDF54">
      <w:start w:val="1"/>
      <w:numFmt w:val="decimal"/>
      <w:pStyle w:val="ListParagraph"/>
      <w:lvlText w:val="%1."/>
      <w:lvlJc w:val="left"/>
      <w:pPr>
        <w:tabs>
          <w:tab w:val="num" w:pos="720"/>
        </w:tabs>
        <w:ind w:left="720" w:hanging="360"/>
      </w:pPr>
      <w:rPr>
        <w:b w:val="0"/>
        <w:i w:val="0"/>
        <w:color w:val="auto"/>
        <w:sz w:val="22"/>
        <w:szCs w:val="22"/>
      </w:rPr>
    </w:lvl>
    <w:lvl w:ilvl="1" w:tplc="D8CED54C">
      <w:start w:val="1"/>
      <w:numFmt w:val="bullet"/>
      <w:lvlText w:val=""/>
      <w:lvlJc w:val="left"/>
      <w:pPr>
        <w:tabs>
          <w:tab w:val="num" w:pos="700"/>
        </w:tabs>
        <w:ind w:left="700" w:hanging="340"/>
      </w:pPr>
      <w:rPr>
        <w:rFonts w:ascii="Symbol" w:hAnsi="Symbol" w:hint="default"/>
      </w:rPr>
    </w:lvl>
    <w:lvl w:ilvl="2" w:tplc="0809000B">
      <w:start w:val="1"/>
      <w:numFmt w:val="bullet"/>
      <w:lvlText w:val=""/>
      <w:lvlJc w:val="left"/>
      <w:pPr>
        <w:tabs>
          <w:tab w:val="num" w:pos="700"/>
        </w:tabs>
        <w:ind w:left="700" w:hanging="340"/>
      </w:pPr>
      <w:rPr>
        <w:rFonts w:ascii="Wingdings" w:hAnsi="Wingdings" w:hint="default"/>
        <w:b w:val="0"/>
        <w:i w:val="0"/>
      </w:rPr>
    </w:lvl>
    <w:lvl w:ilvl="3" w:tplc="08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CE42A25"/>
    <w:multiLevelType w:val="hybridMultilevel"/>
    <w:tmpl w:val="78885BCA"/>
    <w:lvl w:ilvl="0" w:tplc="D8D88BCE">
      <w:start w:val="1"/>
      <w:numFmt w:val="decimal"/>
      <w:lvlText w:val="%1."/>
      <w:lvlJc w:val="left"/>
      <w:pPr>
        <w:tabs>
          <w:tab w:val="num" w:pos="720"/>
        </w:tabs>
        <w:ind w:left="72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CF05B9F"/>
    <w:multiLevelType w:val="hybridMultilevel"/>
    <w:tmpl w:val="1E46E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9821194">
    <w:abstractNumId w:val="0"/>
  </w:num>
  <w:num w:numId="2" w16cid:durableId="5310000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3012073">
    <w:abstractNumId w:val="2"/>
  </w:num>
  <w:num w:numId="4" w16cid:durableId="88764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41D"/>
    <w:rsid w:val="000722C3"/>
    <w:rsid w:val="000D5D6C"/>
    <w:rsid w:val="000E7F7F"/>
    <w:rsid w:val="0011344B"/>
    <w:rsid w:val="0012653A"/>
    <w:rsid w:val="001D15CD"/>
    <w:rsid w:val="0028630D"/>
    <w:rsid w:val="004F3B2F"/>
    <w:rsid w:val="00583F60"/>
    <w:rsid w:val="00641FBD"/>
    <w:rsid w:val="006D30FD"/>
    <w:rsid w:val="006E5804"/>
    <w:rsid w:val="00981332"/>
    <w:rsid w:val="00A57845"/>
    <w:rsid w:val="00B030CB"/>
    <w:rsid w:val="00C3315D"/>
    <w:rsid w:val="00C4741D"/>
    <w:rsid w:val="00CD43AA"/>
    <w:rsid w:val="00CD4726"/>
    <w:rsid w:val="00D701A4"/>
    <w:rsid w:val="00DB6C19"/>
    <w:rsid w:val="00FE5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920F"/>
  <w15:chartTrackingRefBased/>
  <w15:docId w15:val="{E4E6E5A2-5AA2-4ACF-9AA5-F26FE584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qFormat/>
    <w:rsid w:val="00C3315D"/>
    <w:pPr>
      <w:numPr>
        <w:numId w:val="0"/>
      </w:numPr>
      <w:ind w:left="-426"/>
      <w:contextualSpacing/>
      <w:outlineLvl w:val="0"/>
    </w:pPr>
    <w:rPr>
      <w:rFonts w:eastAsia="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port"/>
    <w:basedOn w:val="Normal"/>
    <w:uiPriority w:val="34"/>
    <w:qFormat/>
    <w:rsid w:val="00C4741D"/>
    <w:pPr>
      <w:numPr>
        <w:numId w:val="1"/>
      </w:numPr>
      <w:spacing w:after="0" w:line="240" w:lineRule="auto"/>
    </w:pPr>
    <w:rPr>
      <w:rFonts w:ascii="Trebuchet MS" w:hAnsi="Trebuchet MS"/>
      <w:sz w:val="24"/>
      <w:szCs w:val="24"/>
    </w:rPr>
  </w:style>
  <w:style w:type="paragraph" w:styleId="Header">
    <w:name w:val="header"/>
    <w:basedOn w:val="Normal"/>
    <w:link w:val="HeaderChar"/>
    <w:uiPriority w:val="99"/>
    <w:unhideWhenUsed/>
    <w:rsid w:val="00C47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1D"/>
  </w:style>
  <w:style w:type="paragraph" w:styleId="Footer">
    <w:name w:val="footer"/>
    <w:basedOn w:val="Normal"/>
    <w:link w:val="FooterChar"/>
    <w:uiPriority w:val="99"/>
    <w:unhideWhenUsed/>
    <w:rsid w:val="00C47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1D"/>
  </w:style>
  <w:style w:type="character" w:customStyle="1" w:styleId="Heading1Char">
    <w:name w:val="Heading 1 Char"/>
    <w:basedOn w:val="DefaultParagraphFont"/>
    <w:link w:val="Heading1"/>
    <w:rsid w:val="00C3315D"/>
    <w:rPr>
      <w:rFonts w:ascii="Trebuchet MS" w:eastAsia="Times New Roman" w:hAnsi="Trebuchet MS" w:cs="Times New Roman"/>
      <w:b/>
    </w:rPr>
  </w:style>
  <w:style w:type="table" w:styleId="TableGrid">
    <w:name w:val="Table Grid"/>
    <w:basedOn w:val="TableNormal"/>
    <w:uiPriority w:val="39"/>
    <w:rsid w:val="00A57845"/>
    <w:pPr>
      <w:spacing w:after="0" w:line="240" w:lineRule="auto"/>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7845"/>
    <w:rPr>
      <w:color w:val="808080"/>
    </w:rPr>
  </w:style>
  <w:style w:type="character" w:styleId="CommentReference">
    <w:name w:val="annotation reference"/>
    <w:basedOn w:val="DefaultParagraphFont"/>
    <w:uiPriority w:val="99"/>
    <w:semiHidden/>
    <w:unhideWhenUsed/>
    <w:rsid w:val="004F3B2F"/>
    <w:rPr>
      <w:sz w:val="16"/>
      <w:szCs w:val="16"/>
    </w:rPr>
  </w:style>
  <w:style w:type="paragraph" w:styleId="CommentText">
    <w:name w:val="annotation text"/>
    <w:basedOn w:val="Normal"/>
    <w:link w:val="CommentTextChar"/>
    <w:uiPriority w:val="99"/>
    <w:semiHidden/>
    <w:unhideWhenUsed/>
    <w:rsid w:val="004F3B2F"/>
    <w:pPr>
      <w:spacing w:after="0" w:line="240" w:lineRule="auto"/>
    </w:pPr>
    <w:rPr>
      <w:rFonts w:ascii="Trebuchet MS" w:hAnsi="Trebuchet MS"/>
      <w:sz w:val="20"/>
      <w:szCs w:val="20"/>
    </w:rPr>
  </w:style>
  <w:style w:type="character" w:customStyle="1" w:styleId="CommentTextChar">
    <w:name w:val="Comment Text Char"/>
    <w:basedOn w:val="DefaultParagraphFont"/>
    <w:link w:val="CommentText"/>
    <w:uiPriority w:val="99"/>
    <w:semiHidden/>
    <w:rsid w:val="004F3B2F"/>
    <w:rPr>
      <w:rFonts w:ascii="Trebuchet MS" w:hAnsi="Trebuchet MS"/>
      <w:sz w:val="20"/>
      <w:szCs w:val="20"/>
    </w:rPr>
  </w:style>
  <w:style w:type="paragraph" w:styleId="BalloonText">
    <w:name w:val="Balloon Text"/>
    <w:basedOn w:val="Normal"/>
    <w:link w:val="BalloonTextChar"/>
    <w:uiPriority w:val="99"/>
    <w:semiHidden/>
    <w:unhideWhenUsed/>
    <w:rsid w:val="004F3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B2F"/>
    <w:rPr>
      <w:rFonts w:ascii="Segoe UI" w:hAnsi="Segoe UI" w:cs="Segoe UI"/>
      <w:sz w:val="18"/>
      <w:szCs w:val="18"/>
    </w:rPr>
  </w:style>
  <w:style w:type="table" w:customStyle="1" w:styleId="TableGrid1">
    <w:name w:val="Table Grid1"/>
    <w:basedOn w:val="TableNormal"/>
    <w:next w:val="TableGrid"/>
    <w:uiPriority w:val="39"/>
    <w:rsid w:val="001D15CD"/>
    <w:pPr>
      <w:spacing w:after="0" w:line="240" w:lineRule="auto"/>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30D"/>
    <w:rPr>
      <w:color w:val="0563C1" w:themeColor="hyperlink"/>
      <w:u w:val="single"/>
    </w:rPr>
  </w:style>
  <w:style w:type="character" w:styleId="UnresolvedMention">
    <w:name w:val="Unresolved Mention"/>
    <w:basedOn w:val="DefaultParagraphFont"/>
    <w:uiPriority w:val="99"/>
    <w:semiHidden/>
    <w:unhideWhenUsed/>
    <w:rsid w:val="00286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O@slab.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3892EDB0B8437B849EAF544D98C63F"/>
        <w:category>
          <w:name w:val="General"/>
          <w:gallery w:val="placeholder"/>
        </w:category>
        <w:types>
          <w:type w:val="bbPlcHdr"/>
        </w:types>
        <w:behaviors>
          <w:behavior w:val="content"/>
        </w:behaviors>
        <w:guid w:val="{86735708-4862-42EA-AF85-CFA7D76024F7}"/>
      </w:docPartPr>
      <w:docPartBody>
        <w:p w:rsidR="00367105" w:rsidRDefault="00367105" w:rsidP="00367105">
          <w:pPr>
            <w:pStyle w:val="723892EDB0B8437B849EAF544D98C63F"/>
          </w:pPr>
          <w:r w:rsidRPr="005B62F8">
            <w:rPr>
              <w:rStyle w:val="PlaceholderText"/>
            </w:rPr>
            <w:t>Choose an item.</w:t>
          </w:r>
        </w:p>
      </w:docPartBody>
    </w:docPart>
    <w:docPart>
      <w:docPartPr>
        <w:name w:val="84C10392050547F788AAC488B548440C"/>
        <w:category>
          <w:name w:val="General"/>
          <w:gallery w:val="placeholder"/>
        </w:category>
        <w:types>
          <w:type w:val="bbPlcHdr"/>
        </w:types>
        <w:behaviors>
          <w:behavior w:val="content"/>
        </w:behaviors>
        <w:guid w:val="{36ECB68E-E561-406A-9901-CA98D285F094}"/>
      </w:docPartPr>
      <w:docPartBody>
        <w:p w:rsidR="00367105" w:rsidRDefault="00367105" w:rsidP="00367105">
          <w:pPr>
            <w:pStyle w:val="84C10392050547F788AAC488B548440C"/>
          </w:pPr>
          <w:r w:rsidRPr="005B62F8">
            <w:rPr>
              <w:rStyle w:val="PlaceholderText"/>
            </w:rPr>
            <w:t>Choose an item.</w:t>
          </w:r>
        </w:p>
      </w:docPartBody>
    </w:docPart>
    <w:docPart>
      <w:docPartPr>
        <w:name w:val="9553C5DBE26D4E4A8A615376738F73FC"/>
        <w:category>
          <w:name w:val="General"/>
          <w:gallery w:val="placeholder"/>
        </w:category>
        <w:types>
          <w:type w:val="bbPlcHdr"/>
        </w:types>
        <w:behaviors>
          <w:behavior w:val="content"/>
        </w:behaviors>
        <w:guid w:val="{E28FD35D-7C7E-4CFE-817F-4BD1C9D45CC3}"/>
      </w:docPartPr>
      <w:docPartBody>
        <w:p w:rsidR="00367105" w:rsidRDefault="00367105" w:rsidP="00367105">
          <w:pPr>
            <w:pStyle w:val="9553C5DBE26D4E4A8A615376738F73FC"/>
          </w:pPr>
          <w:r w:rsidRPr="005B62F8">
            <w:rPr>
              <w:rStyle w:val="PlaceholderText"/>
            </w:rPr>
            <w:t>Choose an item.</w:t>
          </w:r>
        </w:p>
      </w:docPartBody>
    </w:docPart>
    <w:docPart>
      <w:docPartPr>
        <w:name w:val="0DF79C0771BF448FB395227F14EFE32F"/>
        <w:category>
          <w:name w:val="General"/>
          <w:gallery w:val="placeholder"/>
        </w:category>
        <w:types>
          <w:type w:val="bbPlcHdr"/>
        </w:types>
        <w:behaviors>
          <w:behavior w:val="content"/>
        </w:behaviors>
        <w:guid w:val="{CC97F05B-80EE-421E-A604-69168C9C6407}"/>
      </w:docPartPr>
      <w:docPartBody>
        <w:p w:rsidR="00367105" w:rsidRDefault="00367105" w:rsidP="00367105">
          <w:pPr>
            <w:pStyle w:val="0DF79C0771BF448FB395227F14EFE32F"/>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05"/>
    <w:rsid w:val="00367105"/>
    <w:rsid w:val="003768CC"/>
    <w:rsid w:val="00C02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105"/>
    <w:rPr>
      <w:color w:val="808080"/>
    </w:rPr>
  </w:style>
  <w:style w:type="paragraph" w:customStyle="1" w:styleId="723892EDB0B8437B849EAF544D98C63F">
    <w:name w:val="723892EDB0B8437B849EAF544D98C63F"/>
    <w:rsid w:val="00367105"/>
  </w:style>
  <w:style w:type="paragraph" w:customStyle="1" w:styleId="84C10392050547F788AAC488B548440C">
    <w:name w:val="84C10392050547F788AAC488B548440C"/>
    <w:rsid w:val="00367105"/>
  </w:style>
  <w:style w:type="paragraph" w:customStyle="1" w:styleId="9553C5DBE26D4E4A8A615376738F73FC">
    <w:name w:val="9553C5DBE26D4E4A8A615376738F73FC"/>
    <w:rsid w:val="00367105"/>
  </w:style>
  <w:style w:type="paragraph" w:customStyle="1" w:styleId="0DF79C0771BF448FB395227F14EFE32F">
    <w:name w:val="0DF79C0771BF448FB395227F14EFE32F"/>
    <w:rsid w:val="00367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A8CA6F5D94C4B857992C0D0653512" ma:contentTypeVersion="5" ma:contentTypeDescription="Create a new document." ma:contentTypeScope="" ma:versionID="efc4c9f8c1c895345769ba5d7ee27374">
  <xsd:schema xmlns:xsd="http://www.w3.org/2001/XMLSchema" xmlns:xs="http://www.w3.org/2001/XMLSchema" xmlns:p="http://schemas.microsoft.com/office/2006/metadata/properties" xmlns:ns2="6412ee5e-db07-4fbc-8e1e-bb7e9bde7386" xmlns:ns3="c536b05c-03f8-4554-abae-4ca511447a66" targetNamespace="http://schemas.microsoft.com/office/2006/metadata/properties" ma:root="true" ma:fieldsID="7029d15f0a155686a42b02e996f27cd2" ns2:_="" ns3:_="">
    <xsd:import namespace="6412ee5e-db07-4fbc-8e1e-bb7e9bde7386"/>
    <xsd:import namespace="c536b05c-03f8-4554-abae-4ca511447a6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2ee5e-db07-4fbc-8e1e-bb7e9bde7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6b05c-03f8-4554-abae-4ca511447a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969A9-7380-4162-8731-BE00A37384B8}">
  <ds:schemaRefs>
    <ds:schemaRef ds:uri="http://schemas.microsoft.com/sharepoint/v3/contenttype/forms"/>
  </ds:schemaRefs>
</ds:datastoreItem>
</file>

<file path=customXml/itemProps2.xml><?xml version="1.0" encoding="utf-8"?>
<ds:datastoreItem xmlns:ds="http://schemas.openxmlformats.org/officeDocument/2006/customXml" ds:itemID="{805B445F-D7FA-4312-914F-C680B964F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2ee5e-db07-4fbc-8e1e-bb7e9bde7386"/>
    <ds:schemaRef ds:uri="c536b05c-03f8-4554-abae-4ca511447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4F875-5535-47E5-9C0E-1B3711CB7473}">
  <ds:schemaRefs>
    <ds:schemaRef ds:uri="http://schemas.microsoft.com/office/2006/metadata/properties"/>
    <ds:schemaRef ds:uri="http://purl.org/dc/elements/1.1/"/>
    <ds:schemaRef ds:uri="http://purl.org/dc/terms/"/>
    <ds:schemaRef ds:uri="http://schemas.microsoft.com/office/2006/documentManagement/types"/>
    <ds:schemaRef ds:uri="6412ee5e-db07-4fbc-8e1e-bb7e9bde7386"/>
    <ds:schemaRef ds:uri="c536b05c-03f8-4554-abae-4ca511447a66"/>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Corr</dc:creator>
  <cp:keywords/>
  <dc:description/>
  <cp:lastModifiedBy>Lindsay Corr</cp:lastModifiedBy>
  <cp:revision>4</cp:revision>
  <dcterms:created xsi:type="dcterms:W3CDTF">2023-09-12T10:26:00Z</dcterms:created>
  <dcterms:modified xsi:type="dcterms:W3CDTF">2023-11-27T14:27:00Z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0x010100854A8CA6F5D94C4B857992C0D0653512</vt:lpwstr>
  </property>
</Properties>
</file>