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D4E42" w14:textId="77777777" w:rsidR="007578D1" w:rsidRPr="00DB5742" w:rsidRDefault="007578D1" w:rsidP="007578D1">
      <w:pPr>
        <w:tabs>
          <w:tab w:val="left" w:pos="1070"/>
        </w:tabs>
        <w:rPr>
          <w:sz w:val="40"/>
          <w:szCs w:val="40"/>
        </w:rPr>
      </w:pPr>
      <w:r w:rsidRPr="00DB5742">
        <w:rPr>
          <w:b/>
          <w:noProof/>
          <w:sz w:val="40"/>
          <w:szCs w:val="40"/>
          <w:lang w:eastAsia="en-GB"/>
        </w:rPr>
        <mc:AlternateContent>
          <mc:Choice Requires="wps">
            <w:drawing>
              <wp:anchor distT="36575" distB="36575" distL="36576" distR="36576" simplePos="0" relativeHeight="251658240" behindDoc="0" locked="0" layoutInCell="1" allowOverlap="1" wp14:anchorId="2B8E2099" wp14:editId="532308A8">
                <wp:simplePos x="0" y="0"/>
                <wp:positionH relativeFrom="margin">
                  <wp:posOffset>-139700</wp:posOffset>
                </wp:positionH>
                <wp:positionV relativeFrom="paragraph">
                  <wp:posOffset>506730</wp:posOffset>
                </wp:positionV>
                <wp:extent cx="6724650" cy="0"/>
                <wp:effectExtent l="0" t="0" r="19050" b="19050"/>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CF8B54" id="_x0000_t32" coordsize="21600,21600" o:spt="32" o:oned="t" path="m,l21600,21600e" filled="f">
                <v:path arrowok="t" fillok="f" o:connecttype="none"/>
                <o:lock v:ext="edit" shapetype="t"/>
              </v:shapetype>
              <v:shape id="Straight Arrow Connector 8" o:spid="_x0000_s1026" type="#_x0000_t32" alt="&quot;&quot;" style="position:absolute;margin-left:-11pt;margin-top:39.9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" strokecolor="#2758a8">
                <v:shadow color="#eeece1"/>
                <w10:wrap anchorx="margin"/>
              </v:shape>
            </w:pict>
          </mc:Fallback>
        </mc:AlternateContent>
      </w:r>
      <w:r w:rsidRPr="00DB5742">
        <w:rPr>
          <w:b/>
          <w:noProof/>
          <w:sz w:val="40"/>
          <w:szCs w:val="40"/>
        </w:rPr>
        <w:t>BOARD</w:t>
      </w:r>
      <w:r w:rsidRPr="00DB5742">
        <w:rPr>
          <w:b/>
          <w:sz w:val="40"/>
          <w:szCs w:val="40"/>
        </w:rPr>
        <w:t xml:space="preserve"> REPORT </w:t>
      </w:r>
      <w:r w:rsidRPr="00DB5742">
        <w:rPr>
          <w:b/>
          <w:sz w:val="40"/>
          <w:szCs w:val="40"/>
        </w:rPr>
        <w:br/>
      </w:r>
    </w:p>
    <w:p w14:paraId="0A602042" w14:textId="4446DD46" w:rsidR="007578D1" w:rsidRDefault="007578D1" w:rsidP="5E69C86C">
      <w:pPr>
        <w:tabs>
          <w:tab w:val="left" w:pos="2040"/>
        </w:tabs>
        <w:jc w:val="right"/>
        <w:rPr>
          <w:b/>
          <w:bCs/>
          <w:color w:val="2758A8"/>
        </w:rPr>
      </w:pPr>
      <w:r w:rsidRPr="5E69C86C">
        <w:rPr>
          <w:b/>
          <w:bCs/>
          <w:color w:val="2758A8"/>
        </w:rPr>
        <w:t xml:space="preserve">AGENDA ITEM: </w:t>
      </w:r>
      <w:r w:rsidR="000D14DA">
        <w:rPr>
          <w:b/>
          <w:bCs/>
          <w:color w:val="2758A8"/>
        </w:rPr>
        <w:t>11</w:t>
      </w:r>
      <w:r>
        <w:rPr>
          <w:b/>
          <w:color w:val="2758A8"/>
          <w:szCs w:val="24"/>
        </w:rPr>
        <w:br/>
      </w:r>
      <w:r w:rsidRPr="5E69C86C">
        <w:rPr>
          <w:b/>
          <w:bCs/>
          <w:color w:val="2758A8"/>
        </w:rPr>
        <w:t>REPORT NUMBER:</w:t>
      </w:r>
      <w:r w:rsidR="000D14DA">
        <w:rPr>
          <w:b/>
          <w:bCs/>
          <w:color w:val="2758A8"/>
        </w:rPr>
        <w:t xml:space="preserve"> SLAB-2024-23</w:t>
      </w:r>
    </w:p>
    <w:p w14:paraId="541B7853" w14:textId="6DA3ACDB" w:rsidR="00902A35" w:rsidRDefault="009C373B" w:rsidP="5E69C86C">
      <w:pPr>
        <w:tabs>
          <w:tab w:val="left" w:pos="2040"/>
        </w:tabs>
        <w:jc w:val="right"/>
        <w:rPr>
          <w:b/>
          <w:bCs/>
          <w:color w:val="2758A8"/>
        </w:rPr>
      </w:pPr>
      <w:r w:rsidRPr="00C3315D">
        <w:rPr>
          <w:b/>
          <w:noProof/>
          <w:color w:val="2758A8"/>
          <w:szCs w:val="24"/>
          <w:lang w:eastAsia="en-GB"/>
        </w:rPr>
        <mc:AlternateContent>
          <mc:Choice Requires="wps">
            <w:drawing>
              <wp:anchor distT="36575" distB="36575" distL="36576" distR="36576" simplePos="0" relativeHeight="251658241" behindDoc="0" locked="0" layoutInCell="1" allowOverlap="1" wp14:anchorId="470889F7" wp14:editId="58280E52">
                <wp:simplePos x="0" y="0"/>
                <wp:positionH relativeFrom="margin">
                  <wp:posOffset>-107950</wp:posOffset>
                </wp:positionH>
                <wp:positionV relativeFrom="paragraph">
                  <wp:posOffset>71120</wp:posOffset>
                </wp:positionV>
                <wp:extent cx="6724650" cy="0"/>
                <wp:effectExtent l="0" t="0" r="19050" b="1905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DB7E53" id="Straight Arrow Connector 3" o:spid="_x0000_s1026" type="#_x0000_t32" alt="&quot;&quot;" style="position:absolute;margin-left:-8.5pt;margin-top:5.6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" strokecolor="#2758a8">
                <v:shadow color="#eeece1"/>
                <w10:wrap anchorx="margin"/>
              </v:shape>
            </w:pict>
          </mc:Fallback>
        </mc:AlternateContent>
      </w:r>
    </w:p>
    <w:tbl>
      <w:tblPr>
        <w:tblStyle w:val="TableGrid"/>
        <w:tblW w:w="9493" w:type="dxa"/>
        <w:tblLook w:val="04A0" w:firstRow="1" w:lastRow="0" w:firstColumn="1" w:lastColumn="0" w:noHBand="0" w:noVBand="1"/>
      </w:tblPr>
      <w:tblGrid>
        <w:gridCol w:w="2689"/>
        <w:gridCol w:w="6797"/>
        <w:gridCol w:w="7"/>
      </w:tblGrid>
      <w:tr w:rsidR="53840AF4" w14:paraId="2E8584BE" w14:textId="77777777" w:rsidTr="009C373B">
        <w:trPr>
          <w:gridAfter w:val="1"/>
          <w:wAfter w:w="7" w:type="dxa"/>
          <w:trHeight w:val="300"/>
        </w:trPr>
        <w:tc>
          <w:tcPr>
            <w:tcW w:w="2689" w:type="dxa"/>
            <w:shd w:val="clear" w:color="auto" w:fill="D9D9D9" w:themeFill="background1" w:themeFillShade="D9"/>
          </w:tcPr>
          <w:p w14:paraId="65786260" w14:textId="0524A094" w:rsidR="53840AF4" w:rsidRDefault="53840AF4" w:rsidP="53840AF4">
            <w:pPr>
              <w:rPr>
                <w:b/>
                <w:bCs/>
              </w:rPr>
            </w:pPr>
            <w:r w:rsidRPr="53840AF4">
              <w:rPr>
                <w:b/>
                <w:bCs/>
              </w:rPr>
              <w:t>Report to:</w:t>
            </w:r>
          </w:p>
        </w:tc>
        <w:tc>
          <w:tcPr>
            <w:tcW w:w="6797" w:type="dxa"/>
          </w:tcPr>
          <w:p w14:paraId="5F169975" w14:textId="77777777" w:rsidR="53840AF4" w:rsidRDefault="53840AF4">
            <w:r>
              <w:t>The Board</w:t>
            </w:r>
          </w:p>
        </w:tc>
      </w:tr>
      <w:tr w:rsidR="53840AF4" w14:paraId="03272B6C" w14:textId="77777777" w:rsidTr="009C373B">
        <w:trPr>
          <w:gridAfter w:val="1"/>
          <w:wAfter w:w="7" w:type="dxa"/>
          <w:trHeight w:val="300"/>
        </w:trPr>
        <w:tc>
          <w:tcPr>
            <w:tcW w:w="2689" w:type="dxa"/>
            <w:shd w:val="clear" w:color="auto" w:fill="D9D9D9" w:themeFill="background1" w:themeFillShade="D9"/>
          </w:tcPr>
          <w:p w14:paraId="7B83FA50" w14:textId="77777777" w:rsidR="53840AF4" w:rsidRDefault="53840AF4" w:rsidP="53840AF4">
            <w:pPr>
              <w:rPr>
                <w:b/>
                <w:bCs/>
              </w:rPr>
            </w:pPr>
            <w:r w:rsidRPr="53840AF4">
              <w:rPr>
                <w:b/>
                <w:bCs/>
              </w:rPr>
              <w:t>Meeting Date:</w:t>
            </w:r>
          </w:p>
        </w:tc>
        <w:tc>
          <w:tcPr>
            <w:tcW w:w="6797" w:type="dxa"/>
          </w:tcPr>
          <w:p w14:paraId="23724232" w14:textId="772C8DE5" w:rsidR="53840AF4" w:rsidRDefault="3BEC8104">
            <w:r>
              <w:t>20 May</w:t>
            </w:r>
            <w:r w:rsidR="53840AF4">
              <w:t xml:space="preserve"> 2024  </w:t>
            </w:r>
          </w:p>
        </w:tc>
      </w:tr>
      <w:tr w:rsidR="53840AF4" w14:paraId="75B2F002" w14:textId="77777777" w:rsidTr="009C373B">
        <w:trPr>
          <w:gridAfter w:val="1"/>
          <w:wAfter w:w="7" w:type="dxa"/>
          <w:trHeight w:val="300"/>
        </w:trPr>
        <w:tc>
          <w:tcPr>
            <w:tcW w:w="2689" w:type="dxa"/>
            <w:shd w:val="clear" w:color="auto" w:fill="D9D9D9" w:themeFill="background1" w:themeFillShade="D9"/>
          </w:tcPr>
          <w:p w14:paraId="6071071A" w14:textId="77777777" w:rsidR="53840AF4" w:rsidRDefault="53840AF4" w:rsidP="53840AF4">
            <w:pPr>
              <w:rPr>
                <w:b/>
                <w:bCs/>
              </w:rPr>
            </w:pPr>
            <w:r w:rsidRPr="53840AF4">
              <w:rPr>
                <w:b/>
                <w:bCs/>
              </w:rPr>
              <w:t>Report Title</w:t>
            </w:r>
          </w:p>
        </w:tc>
        <w:tc>
          <w:tcPr>
            <w:tcW w:w="6797" w:type="dxa"/>
          </w:tcPr>
          <w:p w14:paraId="6DB7E627" w14:textId="77777777" w:rsidR="53840AF4" w:rsidRDefault="53840AF4">
            <w:r>
              <w:t>Performance Report</w:t>
            </w:r>
          </w:p>
        </w:tc>
      </w:tr>
      <w:tr w:rsidR="53840AF4" w14:paraId="6D4B374E" w14:textId="77777777" w:rsidTr="009C373B">
        <w:trPr>
          <w:gridAfter w:val="1"/>
          <w:wAfter w:w="7" w:type="dxa"/>
          <w:trHeight w:val="300"/>
        </w:trPr>
        <w:tc>
          <w:tcPr>
            <w:tcW w:w="2689" w:type="dxa"/>
            <w:shd w:val="clear" w:color="auto" w:fill="D9D9D9" w:themeFill="background1" w:themeFillShade="D9"/>
          </w:tcPr>
          <w:p w14:paraId="3C16E68D" w14:textId="77777777" w:rsidR="53840AF4" w:rsidRDefault="53840AF4" w:rsidP="53840AF4">
            <w:pPr>
              <w:rPr>
                <w:b/>
                <w:bCs/>
              </w:rPr>
            </w:pPr>
            <w:r w:rsidRPr="53840AF4">
              <w:rPr>
                <w:b/>
                <w:bCs/>
              </w:rPr>
              <w:t>Report Category</w:t>
            </w:r>
          </w:p>
        </w:tc>
        <w:tc>
          <w:tcPr>
            <w:tcW w:w="6797" w:type="dxa"/>
          </w:tcPr>
          <w:p w14:paraId="18DC67BA" w14:textId="77777777" w:rsidR="53840AF4" w:rsidRDefault="53840AF4">
            <w:r>
              <w:t>For Information</w:t>
            </w:r>
          </w:p>
        </w:tc>
      </w:tr>
      <w:tr w:rsidR="53840AF4" w14:paraId="680B202B" w14:textId="77777777" w:rsidTr="009C373B">
        <w:trPr>
          <w:gridAfter w:val="1"/>
          <w:wAfter w:w="7" w:type="dxa"/>
          <w:trHeight w:val="300"/>
        </w:trPr>
        <w:tc>
          <w:tcPr>
            <w:tcW w:w="2689" w:type="dxa"/>
            <w:shd w:val="clear" w:color="auto" w:fill="D9D9D9" w:themeFill="background1" w:themeFillShade="D9"/>
          </w:tcPr>
          <w:p w14:paraId="5B394D72" w14:textId="6930FFF7" w:rsidR="53840AF4" w:rsidRDefault="53840AF4" w:rsidP="53840AF4">
            <w:pPr>
              <w:rPr>
                <w:b/>
                <w:bCs/>
              </w:rPr>
            </w:pPr>
            <w:r w:rsidRPr="53840AF4">
              <w:rPr>
                <w:b/>
                <w:bCs/>
              </w:rPr>
              <w:t>Issue status:</w:t>
            </w:r>
          </w:p>
        </w:tc>
        <w:tc>
          <w:tcPr>
            <w:tcW w:w="6797" w:type="dxa"/>
          </w:tcPr>
          <w:p w14:paraId="4826C338" w14:textId="77777777" w:rsidR="53840AF4" w:rsidRDefault="53840AF4">
            <w:r>
              <w:t>Business as usual</w:t>
            </w:r>
          </w:p>
        </w:tc>
      </w:tr>
      <w:tr w:rsidR="008A58D5" w14:paraId="1A02C525" w14:textId="77777777" w:rsidTr="009C373B">
        <w:trPr>
          <w:gridAfter w:val="1"/>
          <w:wAfter w:w="7" w:type="dxa"/>
          <w:trHeight w:val="300"/>
        </w:trPr>
        <w:tc>
          <w:tcPr>
            <w:tcW w:w="2689" w:type="dxa"/>
            <w:shd w:val="clear" w:color="auto" w:fill="D9D9D9" w:themeFill="background1" w:themeFillShade="D9"/>
          </w:tcPr>
          <w:p w14:paraId="0AE4F860" w14:textId="442478BA" w:rsidR="008A58D5" w:rsidRPr="53840AF4" w:rsidRDefault="008A58D5" w:rsidP="53840AF4">
            <w:pPr>
              <w:rPr>
                <w:b/>
                <w:bCs/>
              </w:rPr>
            </w:pPr>
            <w:r w:rsidRPr="005E3B62">
              <w:rPr>
                <w:b/>
                <w:bCs/>
              </w:rPr>
              <w:t>Written by:</w:t>
            </w:r>
          </w:p>
        </w:tc>
        <w:tc>
          <w:tcPr>
            <w:tcW w:w="6797" w:type="dxa"/>
          </w:tcPr>
          <w:p w14:paraId="0D192DE8" w14:textId="679DA05B" w:rsidR="008A58D5" w:rsidRDefault="008A58D5">
            <w:r>
              <w:t>Adam Ford and Linda Ross</w:t>
            </w:r>
          </w:p>
        </w:tc>
      </w:tr>
      <w:tr w:rsidR="00BC75B3" w:rsidRPr="00BC75B3" w14:paraId="67996DC9" w14:textId="77777777" w:rsidTr="009C373B">
        <w:tc>
          <w:tcPr>
            <w:tcW w:w="2689" w:type="dxa"/>
            <w:shd w:val="clear" w:color="auto" w:fill="D9D9D9" w:themeFill="background1" w:themeFillShade="D9"/>
          </w:tcPr>
          <w:p w14:paraId="02392BF7" w14:textId="77777777" w:rsidR="00F77A60" w:rsidRPr="005E3B62" w:rsidRDefault="00F77A60" w:rsidP="00461223">
            <w:pPr>
              <w:rPr>
                <w:b/>
                <w:bCs/>
              </w:rPr>
            </w:pPr>
            <w:r w:rsidRPr="005E3B62">
              <w:rPr>
                <w:b/>
                <w:bCs/>
              </w:rPr>
              <w:t>Director responsible:</w:t>
            </w:r>
          </w:p>
        </w:tc>
        <w:tc>
          <w:tcPr>
            <w:tcW w:w="6804" w:type="dxa"/>
            <w:gridSpan w:val="2"/>
          </w:tcPr>
          <w:p w14:paraId="6658614B" w14:textId="77777777" w:rsidR="00F77A60" w:rsidRPr="00BC75B3" w:rsidRDefault="00E352E1" w:rsidP="00461223">
            <w:r>
              <w:t>Adam Ford</w:t>
            </w:r>
          </w:p>
        </w:tc>
      </w:tr>
      <w:tr w:rsidR="00BC75B3" w:rsidRPr="00BC75B3" w14:paraId="25AF8204" w14:textId="77777777" w:rsidTr="009C373B">
        <w:tc>
          <w:tcPr>
            <w:tcW w:w="2689" w:type="dxa"/>
            <w:shd w:val="clear" w:color="auto" w:fill="D9D9D9" w:themeFill="background1" w:themeFillShade="D9"/>
          </w:tcPr>
          <w:p w14:paraId="0415AC50" w14:textId="77777777" w:rsidR="00F77A60" w:rsidRPr="005E3B62" w:rsidRDefault="00F77A60" w:rsidP="00461223">
            <w:pPr>
              <w:rPr>
                <w:b/>
                <w:bCs/>
              </w:rPr>
            </w:pPr>
            <w:r w:rsidRPr="005E3B62">
              <w:rPr>
                <w:b/>
                <w:bCs/>
              </w:rPr>
              <w:t>Presented by:</w:t>
            </w:r>
          </w:p>
        </w:tc>
        <w:tc>
          <w:tcPr>
            <w:tcW w:w="6804" w:type="dxa"/>
            <w:gridSpan w:val="2"/>
          </w:tcPr>
          <w:p w14:paraId="4E8028F1" w14:textId="77777777" w:rsidR="00F77A60" w:rsidRPr="00BC75B3" w:rsidRDefault="00E352E1" w:rsidP="00E352E1">
            <w:r>
              <w:t>Adam Ford</w:t>
            </w:r>
          </w:p>
        </w:tc>
      </w:tr>
      <w:tr w:rsidR="00BC75B3" w:rsidRPr="00BC75B3" w14:paraId="50FBCFA6" w14:textId="77777777" w:rsidTr="009C373B">
        <w:tc>
          <w:tcPr>
            <w:tcW w:w="2689" w:type="dxa"/>
            <w:shd w:val="clear" w:color="auto" w:fill="D9D9D9" w:themeFill="background1" w:themeFillShade="D9"/>
          </w:tcPr>
          <w:p w14:paraId="591B8C79" w14:textId="77777777" w:rsidR="00F77A60" w:rsidRPr="005E3B62" w:rsidRDefault="00F77A60" w:rsidP="00461223">
            <w:pPr>
              <w:rPr>
                <w:b/>
                <w:bCs/>
              </w:rPr>
            </w:pPr>
            <w:r w:rsidRPr="005E3B62">
              <w:rPr>
                <w:b/>
                <w:bCs/>
              </w:rPr>
              <w:t>Contact details:</w:t>
            </w:r>
          </w:p>
        </w:tc>
        <w:tc>
          <w:tcPr>
            <w:tcW w:w="6804" w:type="dxa"/>
            <w:gridSpan w:val="2"/>
          </w:tcPr>
          <w:p w14:paraId="10E8E091" w14:textId="77777777" w:rsidR="00F77A60" w:rsidRPr="00BC75B3" w:rsidRDefault="00E352E1" w:rsidP="00E352E1">
            <w:r>
              <w:t>fordad@s</w:t>
            </w:r>
            <w:r w:rsidR="00F77A60" w:rsidRPr="00BC75B3">
              <w:t>lab.org.uk</w:t>
            </w:r>
          </w:p>
        </w:tc>
      </w:tr>
    </w:tbl>
    <w:p w14:paraId="240C8C8F" w14:textId="77777777" w:rsidR="009C373B" w:rsidRDefault="009C373B" w:rsidP="00F77A60">
      <w:pPr>
        <w:rPr>
          <w:b/>
          <w:bCs/>
        </w:rPr>
      </w:pPr>
    </w:p>
    <w:p w14:paraId="2FBFDE16" w14:textId="6EB7BB6B" w:rsidR="009C373B" w:rsidRDefault="009C373B" w:rsidP="00F77A60">
      <w:r>
        <w:t>The purpose of this paper is to report on operational performance as at 31st March 2024.</w:t>
      </w:r>
    </w:p>
    <w:p w14:paraId="5C4E4221" w14:textId="77777777" w:rsidR="009C373B" w:rsidRDefault="009C373B" w:rsidP="00F77A60">
      <w:pPr>
        <w:rPr>
          <w:b/>
          <w:bCs/>
        </w:rPr>
      </w:pPr>
    </w:p>
    <w:p w14:paraId="6759FD40" w14:textId="6656EC9B" w:rsidR="00F77A60" w:rsidRDefault="009C373B" w:rsidP="00F77A60">
      <w:pPr>
        <w:rPr>
          <w:b/>
          <w:bCs/>
        </w:rPr>
      </w:pPr>
      <w:r w:rsidRPr="005E3B62">
        <w:rPr>
          <w:b/>
          <w:bCs/>
        </w:rPr>
        <w:t>Delivery of Strategic Objectives</w:t>
      </w:r>
    </w:p>
    <w:p w14:paraId="31FB4250" w14:textId="1E0B6A54" w:rsidR="009C373B" w:rsidRPr="009C373B" w:rsidRDefault="009C373B" w:rsidP="00F77A60">
      <w:pPr>
        <w:rPr>
          <w:i/>
          <w:iCs/>
        </w:rPr>
      </w:pPr>
      <w:r w:rsidRPr="009C373B">
        <w:rPr>
          <w:i/>
          <w:iCs/>
        </w:rPr>
        <w:t>Select the Strategic Objective(s) relevant to the issues</w:t>
      </w:r>
      <w:r w:rsidRPr="009C373B">
        <w:rPr>
          <w:i/>
          <w:iCs/>
        </w:rPr>
        <w:t>.</w:t>
      </w:r>
    </w:p>
    <w:p w14:paraId="751ED1FB" w14:textId="414BE23A" w:rsidR="009C373B" w:rsidRPr="007378A5" w:rsidRDefault="009C373B" w:rsidP="009C373B">
      <w:pPr>
        <w:pStyle w:val="ListParagraph"/>
        <w:numPr>
          <w:ilvl w:val="0"/>
          <w:numId w:val="10"/>
        </w:numPr>
        <w:ind w:left="313"/>
      </w:pPr>
      <w:r w:rsidRPr="007378A5">
        <w:t>Our timely, clear and consistent decisions on legal aid applications and accounts deliver a positive customer experience</w:t>
      </w:r>
      <w:r>
        <w:t>.</w:t>
      </w:r>
    </w:p>
    <w:p w14:paraId="31AD7820" w14:textId="77777777" w:rsidR="00F77A60" w:rsidRPr="00BC75B3" w:rsidRDefault="00F77A60" w:rsidP="00F77A60"/>
    <w:tbl>
      <w:tblPr>
        <w:tblStyle w:val="TableGrid"/>
        <w:tblW w:w="9493" w:type="dxa"/>
        <w:tblLook w:val="04A0" w:firstRow="1" w:lastRow="0" w:firstColumn="1" w:lastColumn="0" w:noHBand="0" w:noVBand="1"/>
      </w:tblPr>
      <w:tblGrid>
        <w:gridCol w:w="9493"/>
      </w:tblGrid>
      <w:tr w:rsidR="00BC75B3" w:rsidRPr="00BC75B3" w14:paraId="277DCAAD" w14:textId="77777777" w:rsidTr="00461223">
        <w:tc>
          <w:tcPr>
            <w:tcW w:w="9493" w:type="dxa"/>
            <w:shd w:val="clear" w:color="auto" w:fill="D9D9D9" w:themeFill="background1" w:themeFillShade="D9"/>
          </w:tcPr>
          <w:p w14:paraId="66E62DF4" w14:textId="77777777" w:rsidR="00F77A60" w:rsidRPr="005E3B62" w:rsidRDefault="00F77A60" w:rsidP="00461223">
            <w:pPr>
              <w:rPr>
                <w:b/>
                <w:bCs/>
              </w:rPr>
            </w:pPr>
            <w:r w:rsidRPr="005E3B62">
              <w:rPr>
                <w:b/>
                <w:bCs/>
              </w:rPr>
              <w:t>Link to Board or Committee Remit</w:t>
            </w:r>
          </w:p>
        </w:tc>
      </w:tr>
      <w:tr w:rsidR="00F77A60" w:rsidRPr="00BC75B3" w14:paraId="4B118CF4" w14:textId="77777777" w:rsidTr="00461223">
        <w:tc>
          <w:tcPr>
            <w:tcW w:w="9493" w:type="dxa"/>
          </w:tcPr>
          <w:p w14:paraId="1FD50AF1" w14:textId="77777777" w:rsidR="00F77A60" w:rsidRPr="00BC75B3" w:rsidRDefault="00F77A60" w:rsidP="00461223">
            <w:r w:rsidRPr="00BC75B3">
              <w:t xml:space="preserve">To </w:t>
            </w:r>
            <w:r w:rsidR="001919A6">
              <w:t>monitor the performance of the operational d</w:t>
            </w:r>
            <w:r w:rsidRPr="00BC75B3">
              <w:t>epartments.</w:t>
            </w:r>
          </w:p>
        </w:tc>
      </w:tr>
    </w:tbl>
    <w:p w14:paraId="7B593877" w14:textId="77777777" w:rsidR="00F77A60" w:rsidRDefault="00F77A60" w:rsidP="00F77A60"/>
    <w:tbl>
      <w:tblPr>
        <w:tblStyle w:val="TableGrid"/>
        <w:tblW w:w="9493" w:type="dxa"/>
        <w:tblLook w:val="04A0" w:firstRow="1" w:lastRow="0" w:firstColumn="1" w:lastColumn="0" w:noHBand="0" w:noVBand="1"/>
      </w:tblPr>
      <w:tblGrid>
        <w:gridCol w:w="9493"/>
      </w:tblGrid>
      <w:tr w:rsidR="00C30B41" w:rsidRPr="00BC75B3" w14:paraId="37CB6D57" w14:textId="77777777" w:rsidTr="00F30A60">
        <w:tc>
          <w:tcPr>
            <w:tcW w:w="9493" w:type="dxa"/>
            <w:shd w:val="clear" w:color="auto" w:fill="D9D9D9" w:themeFill="background1" w:themeFillShade="D9"/>
          </w:tcPr>
          <w:p w14:paraId="0C371273" w14:textId="7373BCD0" w:rsidR="00C30B41" w:rsidRPr="005E3B62" w:rsidRDefault="005E3B62" w:rsidP="00F30A60">
            <w:pPr>
              <w:rPr>
                <w:b/>
              </w:rPr>
            </w:pPr>
            <w:r w:rsidRPr="005E3B62">
              <w:rPr>
                <w:b/>
                <w:szCs w:val="24"/>
              </w:rPr>
              <w:t>Link to Risk Management</w:t>
            </w:r>
          </w:p>
        </w:tc>
      </w:tr>
      <w:tr w:rsidR="00C30B41" w:rsidRPr="00BC75B3" w14:paraId="1BDEF94C" w14:textId="77777777" w:rsidTr="00F30A60">
        <w:tc>
          <w:tcPr>
            <w:tcW w:w="9493" w:type="dxa"/>
          </w:tcPr>
          <w:p w14:paraId="122E78DA" w14:textId="516A1C69" w:rsidR="00257D5D" w:rsidRPr="00BC75B3" w:rsidRDefault="007B3C0E" w:rsidP="00F30A60">
            <w:r>
              <w:t xml:space="preserve">A range of risks that we face </w:t>
            </w:r>
            <w:r w:rsidR="00E213B7">
              <w:t xml:space="preserve">may result in our resource being diverted from the </w:t>
            </w:r>
            <w:r w:rsidR="00257D5D">
              <w:t>delivery</w:t>
            </w:r>
            <w:r w:rsidR="00E213B7">
              <w:t xml:space="preserve"> of our corporate objective to deliver a high quality customer service. Our benchmarks are a direct way in which we can </w:t>
            </w:r>
            <w:r w:rsidR="00257D5D">
              <w:t>measure whether this is happening.</w:t>
            </w:r>
          </w:p>
        </w:tc>
      </w:tr>
    </w:tbl>
    <w:p w14:paraId="634FECAA" w14:textId="77777777" w:rsidR="00C30B41" w:rsidRPr="00BC75B3" w:rsidRDefault="00C30B41" w:rsidP="00F77A60"/>
    <w:tbl>
      <w:tblPr>
        <w:tblStyle w:val="TableGrid"/>
        <w:tblW w:w="9493" w:type="dxa"/>
        <w:tblLook w:val="04A0" w:firstRow="1" w:lastRow="0" w:firstColumn="1" w:lastColumn="0" w:noHBand="0" w:noVBand="1"/>
      </w:tblPr>
      <w:tblGrid>
        <w:gridCol w:w="9493"/>
      </w:tblGrid>
      <w:tr w:rsidR="00BC75B3" w:rsidRPr="00BC75B3" w14:paraId="074B58F9" w14:textId="77777777" w:rsidTr="00461223">
        <w:tc>
          <w:tcPr>
            <w:tcW w:w="9493" w:type="dxa"/>
            <w:shd w:val="clear" w:color="auto" w:fill="D9D9D9" w:themeFill="background1" w:themeFillShade="D9"/>
          </w:tcPr>
          <w:p w14:paraId="28D8268B" w14:textId="77777777" w:rsidR="00F77A60" w:rsidRPr="005E3B62" w:rsidRDefault="00F77A60" w:rsidP="00461223">
            <w:pPr>
              <w:rPr>
                <w:b/>
                <w:bCs/>
              </w:rPr>
            </w:pPr>
            <w:r w:rsidRPr="005E3B62">
              <w:rPr>
                <w:b/>
                <w:bCs/>
              </w:rPr>
              <w:t>Publication of the Paper</w:t>
            </w:r>
          </w:p>
        </w:tc>
      </w:tr>
      <w:tr w:rsidR="00F77A60" w:rsidRPr="00BC75B3" w14:paraId="6B3B6E01" w14:textId="77777777" w:rsidTr="00461223">
        <w:tc>
          <w:tcPr>
            <w:tcW w:w="9493" w:type="dxa"/>
          </w:tcPr>
          <w:p w14:paraId="70A0FDF4" w14:textId="2EEC7597" w:rsidR="00F77A60" w:rsidRPr="00BC75B3" w:rsidRDefault="00F77A60" w:rsidP="0022115A">
            <w:r w:rsidRPr="00BC75B3">
              <w:t>The Board has previously agreed that this paper should be published as a matter of course.</w:t>
            </w:r>
            <w:r w:rsidR="009C373B">
              <w:t xml:space="preserve"> </w:t>
            </w:r>
            <w:r w:rsidRPr="00BC75B3">
              <w:t>It will be published on our website in due course.</w:t>
            </w:r>
          </w:p>
        </w:tc>
      </w:tr>
    </w:tbl>
    <w:p w14:paraId="61F7F9A6" w14:textId="77777777" w:rsidR="00F77A60" w:rsidRPr="00BC75B3" w:rsidRDefault="00F77A60" w:rsidP="00F77A60"/>
    <w:tbl>
      <w:tblPr>
        <w:tblStyle w:val="TableGrid"/>
        <w:tblW w:w="9493" w:type="dxa"/>
        <w:tblLook w:val="04A0" w:firstRow="1" w:lastRow="0" w:firstColumn="1" w:lastColumn="0" w:noHBand="0" w:noVBand="1"/>
      </w:tblPr>
      <w:tblGrid>
        <w:gridCol w:w="9493"/>
      </w:tblGrid>
      <w:tr w:rsidR="00BC75B3" w:rsidRPr="00BC75B3" w14:paraId="57BF268B" w14:textId="77777777" w:rsidTr="0B4BA6D5">
        <w:tc>
          <w:tcPr>
            <w:tcW w:w="9493" w:type="dxa"/>
            <w:tcBorders>
              <w:left w:val="single" w:sz="4" w:space="0" w:color="000000" w:themeColor="text1"/>
            </w:tcBorders>
            <w:shd w:val="clear" w:color="auto" w:fill="D9D9D9" w:themeFill="background1" w:themeFillShade="D9"/>
          </w:tcPr>
          <w:p w14:paraId="013134B1" w14:textId="77777777" w:rsidR="00F77A60" w:rsidRPr="005E3B62" w:rsidRDefault="00F77A60" w:rsidP="00461223">
            <w:pPr>
              <w:rPr>
                <w:b/>
                <w:bCs/>
              </w:rPr>
            </w:pPr>
            <w:r w:rsidRPr="005E3B62">
              <w:rPr>
                <w:b/>
                <w:bCs/>
              </w:rPr>
              <w:t>Executive Summary</w:t>
            </w:r>
          </w:p>
        </w:tc>
      </w:tr>
      <w:tr w:rsidR="00F77A60" w:rsidRPr="00BC75B3" w14:paraId="5C960C6B" w14:textId="77777777" w:rsidTr="0B4BA6D5">
        <w:tc>
          <w:tcPr>
            <w:tcW w:w="9493" w:type="dxa"/>
            <w:tcBorders>
              <w:left w:val="single" w:sz="4" w:space="0" w:color="000000" w:themeColor="text1"/>
            </w:tcBorders>
          </w:tcPr>
          <w:p w14:paraId="5B367DD5" w14:textId="3BE8FD1A" w:rsidR="006A5313" w:rsidRDefault="13DA579A" w:rsidP="006A5313">
            <w:r>
              <w:t>Members should note that the figures reported are a three month average</w:t>
            </w:r>
            <w:r w:rsidR="009C373B">
              <w:t xml:space="preserve">, that is they </w:t>
            </w:r>
            <w:r>
              <w:t xml:space="preserve">reflect the position </w:t>
            </w:r>
            <w:r w:rsidR="5EEB5EE0">
              <w:t xml:space="preserve">January, February and </w:t>
            </w:r>
            <w:r w:rsidR="007E0752">
              <w:t xml:space="preserve">March </w:t>
            </w:r>
            <w:r>
              <w:t>as a whole.</w:t>
            </w:r>
          </w:p>
          <w:p w14:paraId="548649CA" w14:textId="77777777" w:rsidR="00283516" w:rsidRDefault="00283516" w:rsidP="00461223">
            <w:pPr>
              <w:rPr>
                <w:color w:val="FF0000"/>
              </w:rPr>
            </w:pPr>
          </w:p>
          <w:p w14:paraId="3EC9BC6D" w14:textId="644D4280" w:rsidR="00A05BB7" w:rsidRPr="006A0E1D" w:rsidRDefault="00A05BB7" w:rsidP="5D8C32B9">
            <w:r>
              <w:t>Applications</w:t>
            </w:r>
            <w:r w:rsidR="009C373B">
              <w:t>:</w:t>
            </w:r>
            <w:r>
              <w:t xml:space="preserve"> </w:t>
            </w:r>
            <w:r w:rsidR="009C373B">
              <w:br/>
            </w:r>
            <w:r>
              <w:t xml:space="preserve">The performance was </w:t>
            </w:r>
            <w:r w:rsidR="009C373B">
              <w:t>good</w:t>
            </w:r>
            <w:r w:rsidR="68689604">
              <w:t xml:space="preserve"> however a </w:t>
            </w:r>
            <w:r w:rsidR="7C6BE6AA">
              <w:t>system</w:t>
            </w:r>
            <w:r w:rsidR="68689604">
              <w:t xml:space="preserve"> issue is currently corrupting figures. The commentary explains the issue and a </w:t>
            </w:r>
            <w:r w:rsidR="2BA5E96F">
              <w:t>resolution</w:t>
            </w:r>
            <w:r w:rsidR="68689604">
              <w:t xml:space="preserve"> is being sought from our digital services team. </w:t>
            </w:r>
          </w:p>
          <w:p w14:paraId="5C4E669B" w14:textId="77777777" w:rsidR="00A05BB7" w:rsidRPr="00AC1580" w:rsidRDefault="00A05BB7" w:rsidP="00A05BB7">
            <w:pPr>
              <w:rPr>
                <w:color w:val="FF0000"/>
                <w:highlight w:val="yellow"/>
              </w:rPr>
            </w:pPr>
          </w:p>
          <w:p w14:paraId="4037C71D" w14:textId="77777777" w:rsidR="009C373B" w:rsidRDefault="00A05BB7" w:rsidP="0B4BA6D5">
            <w:r>
              <w:t>Accounts</w:t>
            </w:r>
            <w:r w:rsidR="009C373B">
              <w:t>:</w:t>
            </w:r>
            <w:r>
              <w:t xml:space="preserve"> </w:t>
            </w:r>
          </w:p>
          <w:p w14:paraId="48AE2A35" w14:textId="16BC4FA4" w:rsidR="00222534" w:rsidRPr="009C373B" w:rsidRDefault="009C373B" w:rsidP="0022115A">
            <w:pPr>
              <w:rPr>
                <w:rFonts w:eastAsia="Trebuchet MS" w:cs="Trebuchet MS"/>
                <w:szCs w:val="24"/>
              </w:rPr>
            </w:pPr>
            <w:r w:rsidRPr="0B4BA6D5">
              <w:rPr>
                <w:rFonts w:eastAsia="Trebuchet MS" w:cs="Trebuchet MS"/>
                <w:szCs w:val="24"/>
              </w:rPr>
              <w:lastRenderedPageBreak/>
              <w:t>Overall,</w:t>
            </w:r>
            <w:r w:rsidR="3FF2BF86" w:rsidRPr="0B4BA6D5">
              <w:rPr>
                <w:rFonts w:eastAsia="Trebuchet MS" w:cs="Trebuchet MS"/>
                <w:szCs w:val="24"/>
              </w:rPr>
              <w:t xml:space="preserve"> the p</w:t>
            </w:r>
            <w:r w:rsidR="3FF2BF86" w:rsidRPr="0B4BA6D5">
              <w:rPr>
                <w:rFonts w:eastAsia="Trebuchet MS" w:cs="Trebuchet MS"/>
                <w:color w:val="000000" w:themeColor="text1"/>
                <w:szCs w:val="24"/>
              </w:rPr>
              <w:t>erformance has remained broadly in line with expectations with good improvements made in civil legal aid and no areas of concern.</w:t>
            </w:r>
          </w:p>
        </w:tc>
      </w:tr>
    </w:tbl>
    <w:p w14:paraId="0367448F" w14:textId="6504EA59" w:rsidR="00086616" w:rsidRDefault="009C373B" w:rsidP="00F77A60">
      <w:r>
        <w:rPr>
          <w:b/>
          <w:bCs/>
        </w:rPr>
        <w:lastRenderedPageBreak/>
        <w:br/>
      </w:r>
      <w:r w:rsidRPr="005E3B62">
        <w:rPr>
          <w:b/>
          <w:bCs/>
        </w:rPr>
        <w:t>Previous Consideration</w:t>
      </w:r>
    </w:p>
    <w:tbl>
      <w:tblPr>
        <w:tblStyle w:val="TableGrid"/>
        <w:tblW w:w="9493" w:type="dxa"/>
        <w:tblLook w:val="04A0" w:firstRow="1" w:lastRow="0" w:firstColumn="1" w:lastColumn="0" w:noHBand="0" w:noVBand="1"/>
      </w:tblPr>
      <w:tblGrid>
        <w:gridCol w:w="1271"/>
        <w:gridCol w:w="8222"/>
      </w:tblGrid>
      <w:tr w:rsidR="00BC75B3" w:rsidRPr="00BC75B3" w14:paraId="520E5C17" w14:textId="77777777" w:rsidTr="009C373B">
        <w:tc>
          <w:tcPr>
            <w:tcW w:w="1271" w:type="dxa"/>
            <w:tcBorders>
              <w:left w:val="single" w:sz="4" w:space="0" w:color="000000" w:themeColor="text1"/>
              <w:bottom w:val="single" w:sz="4" w:space="0" w:color="auto"/>
            </w:tcBorders>
            <w:shd w:val="clear" w:color="auto" w:fill="D9D9D9" w:themeFill="background1" w:themeFillShade="D9"/>
          </w:tcPr>
          <w:p w14:paraId="5D892C56" w14:textId="77777777" w:rsidR="00F77A60" w:rsidRPr="005E3B62" w:rsidRDefault="00F77A60" w:rsidP="00461223">
            <w:pPr>
              <w:rPr>
                <w:b/>
                <w:bCs/>
              </w:rPr>
            </w:pPr>
            <w:r w:rsidRPr="005E3B62">
              <w:rPr>
                <w:b/>
                <w:bCs/>
              </w:rPr>
              <w:t>Meeting</w:t>
            </w:r>
          </w:p>
        </w:tc>
        <w:tc>
          <w:tcPr>
            <w:tcW w:w="8222" w:type="dxa"/>
            <w:tcBorders>
              <w:left w:val="single" w:sz="4" w:space="0" w:color="000000" w:themeColor="text1"/>
              <w:bottom w:val="single" w:sz="4" w:space="0" w:color="auto"/>
            </w:tcBorders>
            <w:shd w:val="clear" w:color="auto" w:fill="D9D9D9" w:themeFill="background1" w:themeFillShade="D9"/>
          </w:tcPr>
          <w:p w14:paraId="7276C91D" w14:textId="77777777" w:rsidR="00F77A60" w:rsidRPr="005E3B62" w:rsidRDefault="00F77A60" w:rsidP="00461223">
            <w:pPr>
              <w:rPr>
                <w:b/>
                <w:bCs/>
              </w:rPr>
            </w:pPr>
            <w:r w:rsidRPr="005E3B62">
              <w:rPr>
                <w:b/>
                <w:bCs/>
              </w:rPr>
              <w:t>Detail</w:t>
            </w:r>
          </w:p>
        </w:tc>
      </w:tr>
      <w:tr w:rsidR="00F77A60" w:rsidRPr="009A4FB2" w14:paraId="62CCA08D" w14:textId="77777777" w:rsidTr="009C373B">
        <w:tc>
          <w:tcPr>
            <w:tcW w:w="1271" w:type="dxa"/>
            <w:tcBorders>
              <w:left w:val="single" w:sz="4" w:space="0" w:color="000000" w:themeColor="text1"/>
              <w:bottom w:val="single" w:sz="4" w:space="0" w:color="auto"/>
            </w:tcBorders>
          </w:tcPr>
          <w:p w14:paraId="0BEFB041" w14:textId="7A998B6C" w:rsidR="00F77A60" w:rsidRPr="009A4FB2" w:rsidRDefault="730CAC77" w:rsidP="7F137FE2">
            <w:pPr>
              <w:spacing w:line="259" w:lineRule="auto"/>
            </w:pPr>
            <w:r w:rsidRPr="0B4BA6D5">
              <w:rPr>
                <w:color w:val="000000" w:themeColor="text1"/>
              </w:rPr>
              <w:t>Fe</w:t>
            </w:r>
            <w:r w:rsidR="05D7EB13" w:rsidRPr="0B4BA6D5">
              <w:rPr>
                <w:color w:val="000000" w:themeColor="text1"/>
              </w:rPr>
              <w:t>b</w:t>
            </w:r>
            <w:r w:rsidRPr="0B4BA6D5">
              <w:rPr>
                <w:color w:val="000000" w:themeColor="text1"/>
              </w:rPr>
              <w:t xml:space="preserve"> 2024</w:t>
            </w:r>
          </w:p>
        </w:tc>
        <w:tc>
          <w:tcPr>
            <w:tcW w:w="8222" w:type="dxa"/>
            <w:tcBorders>
              <w:left w:val="single" w:sz="4" w:space="0" w:color="000000" w:themeColor="text1"/>
              <w:bottom w:val="single" w:sz="4" w:space="0" w:color="auto"/>
            </w:tcBorders>
            <w:shd w:val="clear" w:color="auto" w:fill="auto"/>
          </w:tcPr>
          <w:p w14:paraId="6E2F3DB8" w14:textId="4545F7CA" w:rsidR="00AC1580" w:rsidRPr="008A58D5" w:rsidRDefault="00AC1580" w:rsidP="00AC1580">
            <w:r w:rsidRPr="00A05BB7">
              <w:t>Applications</w:t>
            </w:r>
            <w:r w:rsidR="009C373B">
              <w:t>:</w:t>
            </w:r>
            <w:r w:rsidR="009C373B">
              <w:br/>
            </w:r>
            <w:r w:rsidRPr="00A05BB7">
              <w:t xml:space="preserve">The performance was good and there are no </w:t>
            </w:r>
            <w:r w:rsidR="009C373B" w:rsidRPr="00A05BB7">
              <w:t>concerns</w:t>
            </w:r>
            <w:r w:rsidRPr="00A05BB7">
              <w:t xml:space="preserve"> or issues to highlight.</w:t>
            </w:r>
          </w:p>
          <w:p w14:paraId="255FAF16" w14:textId="6F15801A" w:rsidR="005E3B62" w:rsidRPr="009C373B" w:rsidRDefault="08CDB642" w:rsidP="00AC1580">
            <w:pPr>
              <w:rPr>
                <w:color w:val="000000" w:themeColor="text1"/>
                <w:highlight w:val="yellow"/>
              </w:rPr>
            </w:pPr>
            <w:r>
              <w:t>Accounts</w:t>
            </w:r>
            <w:r w:rsidR="009C373B">
              <w:t>:</w:t>
            </w:r>
            <w:r>
              <w:t xml:space="preserve"> </w:t>
            </w:r>
            <w:r w:rsidR="009C373B">
              <w:br/>
            </w:r>
            <w:r w:rsidR="152BCA73">
              <w:t>Overall the p</w:t>
            </w:r>
            <w:r w:rsidR="152BCA73" w:rsidRPr="0B4BA6D5">
              <w:rPr>
                <w:color w:val="000000" w:themeColor="text1"/>
              </w:rPr>
              <w:t>erformance has improved slightly with no areas of concern.</w:t>
            </w:r>
          </w:p>
        </w:tc>
      </w:tr>
    </w:tbl>
    <w:p w14:paraId="79B85316" w14:textId="4D35926F" w:rsidR="008A58D5" w:rsidRPr="008A58D5" w:rsidRDefault="008A58D5" w:rsidP="008A58D5">
      <w:pPr>
        <w:pStyle w:val="Heading1"/>
        <w:rPr>
          <w:rFonts w:ascii="Trebuchet MS" w:hAnsi="Trebuchet MS"/>
          <w:b/>
          <w:bCs/>
        </w:rPr>
      </w:pPr>
      <w:r w:rsidRPr="008A58D5">
        <w:rPr>
          <w:rFonts w:ascii="Trebuchet MS" w:hAnsi="Trebuchet MS"/>
          <w:b/>
          <w:bCs/>
          <w:color w:val="auto"/>
        </w:rPr>
        <w:t>Report</w:t>
      </w:r>
    </w:p>
    <w:p w14:paraId="4164540A" w14:textId="4DEB0BEE" w:rsidR="00F77A60" w:rsidRPr="006A0E1D" w:rsidRDefault="00F77A60" w:rsidP="00F9675B">
      <w:pPr>
        <w:pStyle w:val="Heading2"/>
        <w:spacing w:line="360" w:lineRule="auto"/>
      </w:pPr>
      <w:r w:rsidRPr="006A0E1D">
        <w:t>Applications Performance</w:t>
      </w:r>
    </w:p>
    <w:p w14:paraId="2463F301" w14:textId="52FDD7ED" w:rsidR="00D7504D" w:rsidRPr="009C373B" w:rsidRDefault="00F77A60" w:rsidP="009C373B">
      <w:pPr>
        <w:pStyle w:val="ListParagraph"/>
        <w:numPr>
          <w:ilvl w:val="0"/>
          <w:numId w:val="3"/>
        </w:numPr>
        <w:spacing w:after="120"/>
        <w:rPr>
          <w:b/>
          <w:bCs/>
        </w:rPr>
      </w:pPr>
      <w:r w:rsidRPr="006A0E1D">
        <w:rPr>
          <w:b/>
          <w:bCs/>
        </w:rPr>
        <w:t>Civil Applications</w:t>
      </w:r>
    </w:p>
    <w:p w14:paraId="296E36CB" w14:textId="60023B5A" w:rsidR="00AF3015" w:rsidRPr="00AF3015" w:rsidRDefault="00AF3015" w:rsidP="5D8C32B9">
      <w:r>
        <w:t xml:space="preserve">The overall performance in civil applications remains very good with all civil benchmarks recorded as </w:t>
      </w:r>
      <w:r w:rsidR="17291EBD">
        <w:t>Met or Better Than</w:t>
      </w:r>
      <w:r>
        <w:t>.</w:t>
      </w:r>
    </w:p>
    <w:p w14:paraId="0438E3E4" w14:textId="77777777" w:rsidR="00857E07" w:rsidRDefault="00857E07" w:rsidP="0076007C">
      <w:pPr>
        <w:rPr>
          <w:highlight w:val="yellow"/>
        </w:rPr>
      </w:pPr>
    </w:p>
    <w:p w14:paraId="21CEBDF6" w14:textId="12F623D7" w:rsidR="0085052D" w:rsidRPr="009C373B" w:rsidRDefault="00F77A60" w:rsidP="0085052D">
      <w:pPr>
        <w:pStyle w:val="ListParagraph"/>
        <w:numPr>
          <w:ilvl w:val="0"/>
          <w:numId w:val="3"/>
        </w:numPr>
        <w:spacing w:after="120"/>
        <w:rPr>
          <w:b/>
          <w:bCs/>
        </w:rPr>
      </w:pPr>
      <w:r w:rsidRPr="276476DC">
        <w:rPr>
          <w:b/>
          <w:bCs/>
        </w:rPr>
        <w:t>Criminal Applications</w:t>
      </w:r>
    </w:p>
    <w:p w14:paraId="661E1102" w14:textId="4638E32C" w:rsidR="008D2B9D" w:rsidRDefault="45E3B338" w:rsidP="276476DC">
      <w:r>
        <w:t xml:space="preserve">In this period, some system issues negatively affected our performance levels against the benchmarks. </w:t>
      </w:r>
      <w:r w:rsidR="00BF08E3">
        <w:t xml:space="preserve">The issue </w:t>
      </w:r>
      <w:r w:rsidR="00C11464">
        <w:t xml:space="preserve">(now resolved) </w:t>
      </w:r>
      <w:r w:rsidR="00BF08E3">
        <w:t xml:space="preserve">affected cases that had been </w:t>
      </w:r>
      <w:r w:rsidR="00C11464">
        <w:t>continued</w:t>
      </w:r>
      <w:r w:rsidR="00BF08E3">
        <w:t xml:space="preserve"> for further information late last</w:t>
      </w:r>
      <w:r w:rsidR="00E560B1">
        <w:t xml:space="preserve"> year</w:t>
      </w:r>
      <w:r w:rsidR="00C11464">
        <w:t xml:space="preserve">. </w:t>
      </w:r>
      <w:r w:rsidR="001571CF">
        <w:t>Cases</w:t>
      </w:r>
      <w:r w:rsidR="001571CF" w:rsidRPr="001571CF">
        <w:t xml:space="preserve"> </w:t>
      </w:r>
      <w:r w:rsidR="001571CF">
        <w:t>progressed as normal</w:t>
      </w:r>
      <w:r w:rsidR="00844226">
        <w:t xml:space="preserve"> </w:t>
      </w:r>
      <w:r w:rsidR="001571CF">
        <w:t xml:space="preserve">where </w:t>
      </w:r>
      <w:r w:rsidR="00844226">
        <w:t xml:space="preserve">the requested information was received, but </w:t>
      </w:r>
      <w:r w:rsidR="000722EE">
        <w:t xml:space="preserve">cases in which no </w:t>
      </w:r>
      <w:r w:rsidR="00D2461C">
        <w:t>response</w:t>
      </w:r>
      <w:r w:rsidR="000722EE">
        <w:t xml:space="preserve"> was received within the </w:t>
      </w:r>
      <w:r w:rsidR="00F60876">
        <w:t>requested</w:t>
      </w:r>
      <w:r w:rsidR="000722EE">
        <w:t xml:space="preserve"> timescales remained under assessment instead of being </w:t>
      </w:r>
      <w:r w:rsidR="00C4711D">
        <w:t xml:space="preserve">automatically </w:t>
      </w:r>
      <w:r w:rsidR="00E40138">
        <w:t>updated to show a status of</w:t>
      </w:r>
      <w:r w:rsidR="00D2461C">
        <w:t xml:space="preserve"> ‘not</w:t>
      </w:r>
      <w:r w:rsidR="00E40138">
        <w:t xml:space="preserve"> considered</w:t>
      </w:r>
      <w:r w:rsidR="00D2461C">
        <w:t>’</w:t>
      </w:r>
      <w:r w:rsidR="00B5780A">
        <w:t xml:space="preserve"> (NC)</w:t>
      </w:r>
      <w:r w:rsidR="00E40138">
        <w:t>.</w:t>
      </w:r>
      <w:r w:rsidR="00844226">
        <w:t xml:space="preserve"> </w:t>
      </w:r>
      <w:r w:rsidR="00E36855">
        <w:t xml:space="preserve">Alongside grants and refusals, a status of </w:t>
      </w:r>
      <w:r w:rsidR="00B5780A">
        <w:t>NC</w:t>
      </w:r>
      <w:r w:rsidR="0040637C">
        <w:t xml:space="preserve"> is counted as a first decision</w:t>
      </w:r>
      <w:r w:rsidR="001F7C93">
        <w:t xml:space="preserve"> for reporting purposes</w:t>
      </w:r>
      <w:r w:rsidR="0040637C">
        <w:t xml:space="preserve">. </w:t>
      </w:r>
    </w:p>
    <w:p w14:paraId="760581AF" w14:textId="77777777" w:rsidR="008D2B9D" w:rsidRDefault="008D2B9D" w:rsidP="276476DC"/>
    <w:p w14:paraId="535CE75D" w14:textId="50F2CA5E" w:rsidR="00EB23C7" w:rsidRDefault="000D32AF" w:rsidP="276476DC">
      <w:r>
        <w:t>In practical terms</w:t>
      </w:r>
      <w:r w:rsidR="008D2B9D">
        <w:t xml:space="preserve">, the updating of status to </w:t>
      </w:r>
      <w:r w:rsidR="00B5780A">
        <w:t>NC</w:t>
      </w:r>
      <w:r w:rsidR="008D2B9D">
        <w:t xml:space="preserve"> </w:t>
      </w:r>
      <w:r w:rsidR="0046388B">
        <w:t>triggers</w:t>
      </w:r>
      <w:r w:rsidR="004876C8">
        <w:t xml:space="preserve"> a reminder to </w:t>
      </w:r>
      <w:r>
        <w:t xml:space="preserve">the solicitor </w:t>
      </w:r>
      <w:r w:rsidR="0020131B">
        <w:t xml:space="preserve">to </w:t>
      </w:r>
      <w:r w:rsidR="004876C8">
        <w:t xml:space="preserve">provide the necessary information. </w:t>
      </w:r>
      <w:r w:rsidR="0046388B">
        <w:t>The system issue meant that this reminder was not issued</w:t>
      </w:r>
      <w:r w:rsidR="00C82DD8">
        <w:t xml:space="preserve">. </w:t>
      </w:r>
      <w:r w:rsidR="0069028D">
        <w:t>T</w:t>
      </w:r>
      <w:r w:rsidR="008207B2">
        <w:t>he</w:t>
      </w:r>
      <w:r w:rsidR="008207B2" w:rsidRPr="008207B2">
        <w:t xml:space="preserve"> </w:t>
      </w:r>
      <w:r w:rsidR="008207B2">
        <w:t>solicitor</w:t>
      </w:r>
      <w:r w:rsidR="0020131B">
        <w:t xml:space="preserve"> was</w:t>
      </w:r>
      <w:r w:rsidR="0069028D">
        <w:t xml:space="preserve"> still able to </w:t>
      </w:r>
      <w:r w:rsidR="008207B2">
        <w:t>provid</w:t>
      </w:r>
      <w:r w:rsidR="0069028D">
        <w:t>e</w:t>
      </w:r>
      <w:r w:rsidR="008207B2">
        <w:t xml:space="preserve"> the information at any time</w:t>
      </w:r>
      <w:r w:rsidR="0069028D">
        <w:t>, at which point a decision would be taken (regardless of whether the case was marked as under assessment o</w:t>
      </w:r>
      <w:r w:rsidR="0020131B">
        <w:t>r</w:t>
      </w:r>
      <w:r w:rsidR="0069028D">
        <w:t xml:space="preserve"> </w:t>
      </w:r>
      <w:r w:rsidR="00B5780A">
        <w:t>NC</w:t>
      </w:r>
      <w:r w:rsidR="0069028D">
        <w:t xml:space="preserve">). Other than the missed reminder, it is not clear that the issue will have resulted in any detriment to </w:t>
      </w:r>
      <w:r w:rsidR="00005E09">
        <w:t>clients, and no issues or complaints were raised with us over our performance levels</w:t>
      </w:r>
      <w:r w:rsidR="00005E09" w:rsidRPr="00005E09">
        <w:t xml:space="preserve"> </w:t>
      </w:r>
      <w:r w:rsidR="00005E09">
        <w:t>over the affected period.</w:t>
      </w:r>
    </w:p>
    <w:p w14:paraId="197F6FBC" w14:textId="77777777" w:rsidR="00EB23C7" w:rsidRDefault="00EB23C7" w:rsidP="276476DC"/>
    <w:p w14:paraId="05B415DD" w14:textId="77777777" w:rsidR="00FE2D6A" w:rsidRDefault="00EB23C7" w:rsidP="009701F0">
      <w:r>
        <w:t xml:space="preserve">From a reporting point of view, the system recorded fewer first decisions in </w:t>
      </w:r>
      <w:r w:rsidR="00610B52">
        <w:t xml:space="preserve">November and </w:t>
      </w:r>
      <w:r>
        <w:t xml:space="preserve">December than it should have, </w:t>
      </w:r>
      <w:r w:rsidR="003374BA">
        <w:t>with</w:t>
      </w:r>
      <w:r>
        <w:t xml:space="preserve"> </w:t>
      </w:r>
      <w:r w:rsidR="003374BA">
        <w:t>these decisions recorded in</w:t>
      </w:r>
      <w:r w:rsidR="00531EC6">
        <w:t xml:space="preserve">stead </w:t>
      </w:r>
      <w:r w:rsidR="00683029">
        <w:t xml:space="preserve">much </w:t>
      </w:r>
      <w:r w:rsidR="00610B52">
        <w:t xml:space="preserve">later than normal </w:t>
      </w:r>
      <w:r w:rsidR="00683029">
        <w:t xml:space="preserve">(mostly </w:t>
      </w:r>
      <w:r w:rsidR="00531EC6">
        <w:t>in</w:t>
      </w:r>
      <w:r w:rsidR="003374BA">
        <w:t xml:space="preserve"> January</w:t>
      </w:r>
      <w:r w:rsidR="00610B52">
        <w:t>,</w:t>
      </w:r>
      <w:r w:rsidR="003374BA">
        <w:t xml:space="preserve"> by which point the issue </w:t>
      </w:r>
      <w:r w:rsidR="00683029">
        <w:t>had been</w:t>
      </w:r>
      <w:r w:rsidR="003374BA">
        <w:t xml:space="preserve"> resolved</w:t>
      </w:r>
      <w:r w:rsidR="00E5301B">
        <w:t>, but possibly also into February</w:t>
      </w:r>
      <w:r w:rsidR="00683029">
        <w:t>)</w:t>
      </w:r>
      <w:r w:rsidR="003374BA">
        <w:t xml:space="preserve">. </w:t>
      </w:r>
      <w:r w:rsidR="00AE1DAE">
        <w:t xml:space="preserve">This impacts all </w:t>
      </w:r>
      <w:r w:rsidR="00790907">
        <w:t>six criminal applications</w:t>
      </w:r>
      <w:r w:rsidR="00AE1DAE">
        <w:t xml:space="preserve"> performance indicators </w:t>
      </w:r>
      <w:r w:rsidR="00CD2A6D">
        <w:t xml:space="preserve">for a four month period. </w:t>
      </w:r>
    </w:p>
    <w:p w14:paraId="5E5AB532" w14:textId="77777777" w:rsidR="009C373B" w:rsidRDefault="009C373B" w:rsidP="009701F0"/>
    <w:p w14:paraId="1CB759EB" w14:textId="62CB7BCF" w:rsidR="00C17B8F" w:rsidRDefault="009701F0" w:rsidP="001A1800">
      <w:r w:rsidRPr="009701F0">
        <w:t xml:space="preserve">Because there are fewer </w:t>
      </w:r>
      <w:r w:rsidR="00B5780A">
        <w:t>NC</w:t>
      </w:r>
      <w:r w:rsidR="001A1800">
        <w:t xml:space="preserve"> </w:t>
      </w:r>
      <w:r w:rsidRPr="009701F0">
        <w:t>decisions in Dec</w:t>
      </w:r>
      <w:r w:rsidR="00B851A8">
        <w:t>ember,</w:t>
      </w:r>
      <w:r w:rsidRPr="009701F0">
        <w:t xml:space="preserve"> the </w:t>
      </w:r>
      <w:r w:rsidR="00B851A8">
        <w:t>average</w:t>
      </w:r>
      <w:r w:rsidRPr="009701F0">
        <w:t xml:space="preserve"> duration </w:t>
      </w:r>
      <w:r w:rsidR="00B5780A">
        <w:t>was artificially low that month</w:t>
      </w:r>
      <w:r w:rsidRPr="009701F0">
        <w:t xml:space="preserve"> </w:t>
      </w:r>
      <w:r w:rsidR="00B5780A">
        <w:t>(</w:t>
      </w:r>
      <w:r w:rsidRPr="009701F0">
        <w:t>NC decisions are typically much longer than the average</w:t>
      </w:r>
      <w:r w:rsidR="001A1800">
        <w:t>)</w:t>
      </w:r>
      <w:r w:rsidRPr="009701F0">
        <w:t>.</w:t>
      </w:r>
      <w:r w:rsidR="00FE2D6A">
        <w:t xml:space="preserve"> </w:t>
      </w:r>
      <w:r w:rsidRPr="009701F0">
        <w:t xml:space="preserve">Fewer NC decisions also means that the grant rate increases as the </w:t>
      </w:r>
      <w:r w:rsidR="001A1800">
        <w:t>total number of recorded decisions</w:t>
      </w:r>
      <w:r w:rsidRPr="009701F0">
        <w:t xml:space="preserve"> </w:t>
      </w:r>
      <w:r w:rsidR="004E1BAA">
        <w:t>drops,</w:t>
      </w:r>
      <w:r w:rsidR="001A1800">
        <w:t xml:space="preserve"> and fewer concluded cases are recorded as having required</w:t>
      </w:r>
      <w:r w:rsidRPr="009701F0">
        <w:t xml:space="preserve"> Further Work.</w:t>
      </w:r>
      <w:r w:rsidR="001A1800">
        <w:t xml:space="preserve"> The opposite impacts</w:t>
      </w:r>
      <w:r w:rsidR="009F1D1D">
        <w:t xml:space="preserve"> can be observed in January’s data and, because performance is reported </w:t>
      </w:r>
      <w:proofErr w:type="gramStart"/>
      <w:r w:rsidR="009F1D1D">
        <w:t>on the basis of</w:t>
      </w:r>
      <w:proofErr w:type="gramEnd"/>
      <w:r w:rsidR="009F1D1D">
        <w:t xml:space="preserve"> a rolling three month average, this impacts on </w:t>
      </w:r>
      <w:r w:rsidR="009F1D1D">
        <w:lastRenderedPageBreak/>
        <w:t xml:space="preserve">each period </w:t>
      </w:r>
      <w:r w:rsidR="00493C67">
        <w:t>in which either December or January’s data features</w:t>
      </w:r>
      <w:r w:rsidR="009C373B">
        <w:t xml:space="preserve">, that is </w:t>
      </w:r>
      <w:r w:rsidR="00493C67">
        <w:t>December to March (the period reported in this paper).</w:t>
      </w:r>
      <w:r w:rsidR="0004784A">
        <w:t xml:space="preserve"> </w:t>
      </w:r>
    </w:p>
    <w:p w14:paraId="20A75040" w14:textId="77777777" w:rsidR="00C17B8F" w:rsidRDefault="00C17B8F" w:rsidP="001A1800"/>
    <w:p w14:paraId="06EA1E58" w14:textId="1242926A" w:rsidR="0085052D" w:rsidRPr="0085052D" w:rsidRDefault="0004784A" w:rsidP="276476DC">
      <w:r>
        <w:t>Close review of the more detailed data suggests that underlying performance throughout the period has remained strong</w:t>
      </w:r>
      <w:r w:rsidR="00AB12A5">
        <w:t xml:space="preserve">, although the solemn </w:t>
      </w:r>
      <w:r w:rsidR="00D31CB3">
        <w:t>benchmarks</w:t>
      </w:r>
      <w:r w:rsidR="001A60D8">
        <w:t xml:space="preserve"> continue to be challenging</w:t>
      </w:r>
      <w:r>
        <w:t>.</w:t>
      </w:r>
    </w:p>
    <w:p w14:paraId="5E9AD3A2" w14:textId="77777777" w:rsidR="00CC67B4" w:rsidRPr="006A0E1D" w:rsidRDefault="00CC67B4" w:rsidP="37FD10D1">
      <w:pPr>
        <w:pStyle w:val="ListParagraph"/>
        <w:ind w:left="360"/>
        <w:rPr>
          <w:b/>
          <w:bCs/>
        </w:rPr>
      </w:pPr>
    </w:p>
    <w:p w14:paraId="74B5DA7F" w14:textId="77777777" w:rsidR="00F77A60" w:rsidRPr="006A0E1D" w:rsidRDefault="00F77A60" w:rsidP="37FD10D1">
      <w:pPr>
        <w:pStyle w:val="ListParagraph"/>
        <w:numPr>
          <w:ilvl w:val="0"/>
          <w:numId w:val="3"/>
        </w:numPr>
        <w:spacing w:after="120"/>
        <w:ind w:left="357" w:hanging="357"/>
        <w:rPr>
          <w:b/>
          <w:bCs/>
        </w:rPr>
      </w:pPr>
      <w:r w:rsidRPr="006A0E1D">
        <w:rPr>
          <w:b/>
          <w:bCs/>
        </w:rPr>
        <w:t>Children’s Applications</w:t>
      </w:r>
    </w:p>
    <w:p w14:paraId="05CAA698" w14:textId="1D0EF4BB" w:rsidR="004E59AF" w:rsidRPr="009C373B" w:rsidRDefault="00BB5B6E" w:rsidP="0076007C">
      <w:pPr>
        <w:spacing w:after="120"/>
      </w:pPr>
      <w:r>
        <w:t xml:space="preserve">Overall performance in children’s applications remains good with </w:t>
      </w:r>
      <w:r w:rsidR="73D94907">
        <w:t>most</w:t>
      </w:r>
      <w:r>
        <w:t xml:space="preserve"> benchmarks either </w:t>
      </w:r>
      <w:r w:rsidR="3433D83B">
        <w:t>Met or Better Than</w:t>
      </w:r>
      <w:r>
        <w:t>.</w:t>
      </w:r>
      <w:r w:rsidR="29E1B163">
        <w:t xml:space="preserve"> The</w:t>
      </w:r>
      <w:r w:rsidR="20167EF2">
        <w:t xml:space="preserve"> system issue referred to above has resulted</w:t>
      </w:r>
      <w:r w:rsidR="29E1B163">
        <w:t xml:space="preserve"> in </w:t>
      </w:r>
      <w:r w:rsidR="166C0C52">
        <w:t>one</w:t>
      </w:r>
      <w:r w:rsidR="29E1B163">
        <w:t xml:space="preserve"> benchmark showing as Worse Than</w:t>
      </w:r>
      <w:r w:rsidR="2114C04B">
        <w:t xml:space="preserve"> in February and March.</w:t>
      </w:r>
      <w:r w:rsidR="461E951E">
        <w:t xml:space="preserve"> As with criminal applications, this has not resulted in any complaints about our performance levels.</w:t>
      </w:r>
    </w:p>
    <w:p w14:paraId="3E14D67A" w14:textId="77777777" w:rsidR="00A05BB7" w:rsidRPr="006A0E1D" w:rsidRDefault="00A05BB7" w:rsidP="37FD10D1">
      <w:pPr>
        <w:pStyle w:val="ListParagraph"/>
        <w:numPr>
          <w:ilvl w:val="0"/>
          <w:numId w:val="3"/>
        </w:numPr>
        <w:spacing w:after="120"/>
        <w:rPr>
          <w:b/>
          <w:bCs/>
        </w:rPr>
      </w:pPr>
      <w:r w:rsidRPr="006A0E1D">
        <w:rPr>
          <w:b/>
          <w:bCs/>
        </w:rPr>
        <w:t>Surveys and Quality</w:t>
      </w:r>
    </w:p>
    <w:p w14:paraId="0170237B" w14:textId="623B5789" w:rsidR="00AE7099" w:rsidRDefault="7E3706FB" w:rsidP="5D8C32B9">
      <w:pPr>
        <w:spacing w:before="100" w:beforeAutospacing="1" w:after="100" w:afterAutospacing="1"/>
      </w:pPr>
      <w:r>
        <w:t>T</w:t>
      </w:r>
      <w:r w:rsidR="0085052D">
        <w:t xml:space="preserve">he latest </w:t>
      </w:r>
      <w:r w:rsidR="4BEF767B">
        <w:t xml:space="preserve">micro </w:t>
      </w:r>
      <w:r w:rsidR="0085052D">
        <w:t>Customer Satisfaction survey</w:t>
      </w:r>
      <w:r w:rsidR="329FB5A2">
        <w:t xml:space="preserve"> was carried out in November 2023 and detail update can be found in February 2024 performance board report. </w:t>
      </w:r>
      <w:r w:rsidR="0085052D">
        <w:t xml:space="preserve"> </w:t>
      </w:r>
    </w:p>
    <w:p w14:paraId="0643C804" w14:textId="2249524D" w:rsidR="5D897994" w:rsidRDefault="5D897994" w:rsidP="5D8C32B9">
      <w:r>
        <w:t>Quality checks across all application types remains high between 98%</w:t>
      </w:r>
      <w:r w:rsidR="009C373B">
        <w:t xml:space="preserve"> and</w:t>
      </w:r>
      <w:r>
        <w:t xml:space="preserve"> 99%.</w:t>
      </w:r>
    </w:p>
    <w:p w14:paraId="02324660" w14:textId="470C6D41" w:rsidR="5D8C32B9" w:rsidRDefault="5D8C32B9" w:rsidP="5D8C32B9"/>
    <w:p w14:paraId="1E5ED3E7" w14:textId="71E7062C" w:rsidR="00457851" w:rsidRPr="00457851" w:rsidRDefault="00ED3E43" w:rsidP="009C373B">
      <w:pPr>
        <w:pStyle w:val="Heading2"/>
        <w:spacing w:line="360" w:lineRule="auto"/>
      </w:pPr>
      <w:r w:rsidRPr="00457851">
        <w:t>Accounts Performance</w:t>
      </w:r>
    </w:p>
    <w:p w14:paraId="36F41086" w14:textId="77777777" w:rsidR="00A05BB7" w:rsidRPr="00457851" w:rsidRDefault="00A05BB7" w:rsidP="00A05BB7">
      <w:pPr>
        <w:spacing w:after="120"/>
        <w:rPr>
          <w:rFonts w:eastAsia="Calibri" w:cs="Arial"/>
          <w:b/>
          <w:bCs/>
          <w:color w:val="000000" w:themeColor="text1"/>
          <w:szCs w:val="24"/>
        </w:rPr>
      </w:pPr>
      <w:r w:rsidRPr="0B4BA6D5">
        <w:rPr>
          <w:b/>
          <w:bCs/>
          <w:color w:val="000000" w:themeColor="text1"/>
        </w:rPr>
        <w:t xml:space="preserve">5. Civil Accounts </w:t>
      </w:r>
    </w:p>
    <w:p w14:paraId="1AB155F9" w14:textId="180A9705" w:rsidR="00ED3E43" w:rsidRPr="009C373B" w:rsidRDefault="5A8B7A37" w:rsidP="0B4BA6D5">
      <w:pPr>
        <w:spacing w:after="120"/>
      </w:pPr>
      <w:r w:rsidRPr="0B4BA6D5">
        <w:rPr>
          <w:rFonts w:eastAsia="Trebuchet MS" w:cs="Trebuchet MS"/>
          <w:color w:val="000000" w:themeColor="text1"/>
          <w:szCs w:val="24"/>
        </w:rPr>
        <w:t xml:space="preserve">The overall performance of civil accounts remains very good with </w:t>
      </w:r>
      <w:r w:rsidR="009C373B">
        <w:rPr>
          <w:rFonts w:eastAsia="Trebuchet MS" w:cs="Trebuchet MS"/>
          <w:color w:val="000000" w:themeColor="text1"/>
          <w:szCs w:val="24"/>
        </w:rPr>
        <w:t>four</w:t>
      </w:r>
      <w:r w:rsidRPr="0B4BA6D5">
        <w:rPr>
          <w:rFonts w:eastAsia="Trebuchet MS" w:cs="Trebuchet MS"/>
          <w:color w:val="000000" w:themeColor="text1"/>
          <w:szCs w:val="24"/>
        </w:rPr>
        <w:t xml:space="preserve"> of the </w:t>
      </w:r>
      <w:r w:rsidR="009C373B">
        <w:rPr>
          <w:rFonts w:eastAsia="Trebuchet MS" w:cs="Trebuchet MS"/>
          <w:color w:val="000000" w:themeColor="text1"/>
          <w:szCs w:val="24"/>
        </w:rPr>
        <w:t>five</w:t>
      </w:r>
      <w:r w:rsidRPr="0B4BA6D5">
        <w:rPr>
          <w:rFonts w:eastAsia="Trebuchet MS" w:cs="Trebuchet MS"/>
          <w:color w:val="000000" w:themeColor="text1"/>
          <w:szCs w:val="24"/>
        </w:rPr>
        <w:t xml:space="preserve"> benchmarks reported as either ‘better than’ or ‘met’ and with civil legal aid improving to being reported as ‘better than’ the benchmark for the first time this year. Although negotiations are reported as ‘worse than’ the benchmark this is due </w:t>
      </w:r>
      <w:r w:rsidR="0078474A">
        <w:rPr>
          <w:rFonts w:eastAsia="Trebuchet MS" w:cs="Trebuchet MS"/>
          <w:color w:val="000000" w:themeColor="text1"/>
          <w:szCs w:val="24"/>
        </w:rPr>
        <w:t xml:space="preserve">to </w:t>
      </w:r>
      <w:r w:rsidRPr="0B4BA6D5">
        <w:rPr>
          <w:rFonts w:eastAsia="Trebuchet MS" w:cs="Trebuchet MS"/>
          <w:color w:val="000000" w:themeColor="text1"/>
          <w:szCs w:val="24"/>
        </w:rPr>
        <w:t>the performance in January having been impacted by a single firm having submitted a high number of negotiations for older cases.</w:t>
      </w:r>
    </w:p>
    <w:p w14:paraId="203BDEDE" w14:textId="77777777" w:rsidR="00A05BB7" w:rsidRPr="00457851" w:rsidRDefault="00A05BB7" w:rsidP="00A05BB7">
      <w:pPr>
        <w:spacing w:after="120"/>
        <w:rPr>
          <w:rFonts w:eastAsia="Calibri" w:cs="Arial"/>
          <w:b/>
          <w:bCs/>
          <w:color w:val="000000" w:themeColor="text1"/>
          <w:szCs w:val="24"/>
        </w:rPr>
      </w:pPr>
      <w:r w:rsidRPr="0B4BA6D5">
        <w:rPr>
          <w:b/>
          <w:bCs/>
          <w:color w:val="000000" w:themeColor="text1"/>
        </w:rPr>
        <w:t>6. Criminal Accounts</w:t>
      </w:r>
    </w:p>
    <w:p w14:paraId="5BDB7C7F" w14:textId="7E195CC3" w:rsidR="0ECC99A6" w:rsidRDefault="0ECC99A6" w:rsidP="0B4BA6D5">
      <w:pPr>
        <w:spacing w:after="120"/>
      </w:pPr>
      <w:r w:rsidRPr="0B4BA6D5">
        <w:rPr>
          <w:rFonts w:eastAsia="Trebuchet MS" w:cs="Trebuchet MS"/>
          <w:color w:val="000000" w:themeColor="text1"/>
          <w:szCs w:val="24"/>
        </w:rPr>
        <w:t>The overall performance in criminal accounts remains in line with expectations.</w:t>
      </w:r>
    </w:p>
    <w:p w14:paraId="6483BB62" w14:textId="379C2EDA" w:rsidR="0ECC99A6" w:rsidRDefault="0ECC99A6" w:rsidP="0B4BA6D5">
      <w:pPr>
        <w:spacing w:after="120"/>
      </w:pPr>
      <w:r w:rsidRPr="0B4BA6D5">
        <w:rPr>
          <w:rFonts w:eastAsia="Trebuchet MS" w:cs="Trebuchet MS"/>
          <w:color w:val="000000" w:themeColor="text1"/>
          <w:szCs w:val="24"/>
        </w:rPr>
        <w:t xml:space="preserve">Currently we are reporting one ‘better than, five as ‘met’ and three as ‘worse than’ the benchmarks. Of the three that are reported as ‘worse than’ two of these have been impacted by solicitors taking lengthy periods to respond to us, </w:t>
      </w:r>
      <w:proofErr w:type="gramStart"/>
      <w:r w:rsidRPr="0B4BA6D5">
        <w:rPr>
          <w:rFonts w:eastAsia="Trebuchet MS" w:cs="Trebuchet MS"/>
          <w:color w:val="000000" w:themeColor="text1"/>
          <w:szCs w:val="24"/>
        </w:rPr>
        <w:t>in particular on</w:t>
      </w:r>
      <w:proofErr w:type="gramEnd"/>
      <w:r w:rsidRPr="0B4BA6D5">
        <w:rPr>
          <w:rFonts w:eastAsia="Trebuchet MS" w:cs="Trebuchet MS"/>
          <w:color w:val="000000" w:themeColor="text1"/>
          <w:szCs w:val="24"/>
        </w:rPr>
        <w:t xml:space="preserve"> cases where the pre-payment exceeds the value of the final account, and we are therefore unable to process the final account until we receive the solicitor’s credit and process it.</w:t>
      </w:r>
    </w:p>
    <w:p w14:paraId="271BD88F" w14:textId="7B542C1F" w:rsidR="0ECC99A6" w:rsidRDefault="0ECC99A6" w:rsidP="0B4BA6D5">
      <w:pPr>
        <w:spacing w:after="120"/>
      </w:pPr>
      <w:r w:rsidRPr="0B4BA6D5">
        <w:rPr>
          <w:rFonts w:eastAsia="Trebuchet MS" w:cs="Trebuchet MS"/>
          <w:color w:val="000000" w:themeColor="text1"/>
          <w:szCs w:val="24"/>
        </w:rPr>
        <w:t xml:space="preserve">The other one reported as ‘worse than’ benchmark (solemn) is a consequence of the increase in the volumes of accounts due to the clearing of backlogs within the system, </w:t>
      </w:r>
      <w:proofErr w:type="gramStart"/>
      <w:r w:rsidRPr="0B4BA6D5">
        <w:rPr>
          <w:rFonts w:eastAsia="Trebuchet MS" w:cs="Trebuchet MS"/>
          <w:color w:val="000000" w:themeColor="text1"/>
          <w:szCs w:val="24"/>
        </w:rPr>
        <w:t>in particular at</w:t>
      </w:r>
      <w:proofErr w:type="gramEnd"/>
      <w:r w:rsidRPr="0B4BA6D5">
        <w:rPr>
          <w:rFonts w:eastAsia="Trebuchet MS" w:cs="Trebuchet MS"/>
          <w:color w:val="000000" w:themeColor="text1"/>
          <w:szCs w:val="24"/>
        </w:rPr>
        <w:t xml:space="preserve"> the courts.</w:t>
      </w:r>
    </w:p>
    <w:p w14:paraId="3C09B861" w14:textId="056C39A5" w:rsidR="0ECC99A6" w:rsidRDefault="0ECC99A6" w:rsidP="0B4BA6D5">
      <w:pPr>
        <w:spacing w:after="120"/>
      </w:pPr>
      <w:r w:rsidRPr="0B4BA6D5">
        <w:rPr>
          <w:rFonts w:eastAsia="Trebuchet MS" w:cs="Trebuchet MS"/>
          <w:color w:val="000000" w:themeColor="text1"/>
          <w:szCs w:val="24"/>
        </w:rPr>
        <w:t xml:space="preserve">In setting the benchmarks for this year it was always acknowledged that there would be an impact from the higher level of accounts due to the additional courts being utilised for solemn to support clearing the court backlogs. It was also anticipated that there would be an element of slowdown initially whilst both we and firms were on a learning curve with the fees reforms before we could reap any potential benefits from the improved fee structure. </w:t>
      </w:r>
    </w:p>
    <w:p w14:paraId="12081EB8" w14:textId="77777777" w:rsidR="00A05BB7" w:rsidRPr="00457851" w:rsidRDefault="00A05BB7" w:rsidP="00A05BB7">
      <w:pPr>
        <w:spacing w:after="120"/>
        <w:rPr>
          <w:rFonts w:eastAsia="Calibri" w:cs="Arial"/>
          <w:b/>
          <w:bCs/>
          <w:color w:val="000000" w:themeColor="text1"/>
          <w:szCs w:val="24"/>
        </w:rPr>
      </w:pPr>
      <w:r w:rsidRPr="0B4BA6D5">
        <w:rPr>
          <w:b/>
          <w:bCs/>
          <w:color w:val="000000" w:themeColor="text1"/>
        </w:rPr>
        <w:lastRenderedPageBreak/>
        <w:t>7. Children’s Accounts</w:t>
      </w:r>
    </w:p>
    <w:p w14:paraId="32433641" w14:textId="4A9BB09D" w:rsidR="0076007C" w:rsidRPr="009C373B" w:rsidRDefault="62B59EE9" w:rsidP="009C373B">
      <w:r w:rsidRPr="0B4BA6D5">
        <w:rPr>
          <w:rFonts w:eastAsia="Trebuchet MS" w:cs="Trebuchet MS"/>
          <w:color w:val="000000" w:themeColor="text1"/>
          <w:szCs w:val="24"/>
        </w:rPr>
        <w:t>The overall performance of children’s accounts remains very good with all five benchmarks reported as ‘better than’ or ‘met’ benchmark.</w:t>
      </w:r>
      <w:r w:rsidR="009C373B">
        <w:br/>
      </w:r>
    </w:p>
    <w:p w14:paraId="1F2DC03C" w14:textId="4F477E87" w:rsidR="00AE7099" w:rsidRPr="00457851" w:rsidRDefault="00A05BB7" w:rsidP="0B4BA6D5">
      <w:pPr>
        <w:spacing w:after="120"/>
        <w:rPr>
          <w:rFonts w:eastAsia="Trebuchet MS" w:cs="Trebuchet MS"/>
          <w:b/>
          <w:bCs/>
          <w:color w:val="000000" w:themeColor="text1"/>
        </w:rPr>
      </w:pPr>
      <w:r w:rsidRPr="0B4BA6D5">
        <w:rPr>
          <w:rFonts w:eastAsia="Trebuchet MS" w:cs="Trebuchet MS"/>
          <w:b/>
          <w:bCs/>
          <w:color w:val="000000" w:themeColor="text1"/>
        </w:rPr>
        <w:t>8. Surveys and Quality</w:t>
      </w:r>
    </w:p>
    <w:p w14:paraId="1D7B0114" w14:textId="0C99189A" w:rsidR="180BD5CF" w:rsidRDefault="180BD5CF">
      <w:r>
        <w:t xml:space="preserve">The latest </w:t>
      </w:r>
      <w:r w:rsidR="111C3A2C">
        <w:t>micro–Customer</w:t>
      </w:r>
      <w:r>
        <w:t xml:space="preserve"> Satisfaction survey was carried out in November 2023 and detail update can be found in February 2024 performance board report.  </w:t>
      </w:r>
    </w:p>
    <w:p w14:paraId="245C5472" w14:textId="77777777" w:rsidR="00AE7099" w:rsidRDefault="00AE7099" w:rsidP="0B4BA6D5">
      <w:pPr>
        <w:rPr>
          <w:rFonts w:eastAsia="Trebuchet MS" w:cs="Trebuchet MS"/>
        </w:rPr>
      </w:pPr>
    </w:p>
    <w:p w14:paraId="44DEE53B" w14:textId="51D35598" w:rsidR="00A05BB7" w:rsidRPr="0076007C" w:rsidRDefault="00AE7099" w:rsidP="0B4BA6D5">
      <w:pPr>
        <w:spacing w:after="120"/>
        <w:rPr>
          <w:rFonts w:eastAsia="Trebuchet MS" w:cs="Trebuchet MS"/>
        </w:rPr>
        <w:sectPr w:rsidR="00A05BB7" w:rsidRPr="0076007C" w:rsidSect="000E7328">
          <w:headerReference w:type="default" r:id="rId11"/>
          <w:footerReference w:type="default" r:id="rId12"/>
          <w:headerReference w:type="first" r:id="rId13"/>
          <w:footerReference w:type="first" r:id="rId14"/>
          <w:pgSz w:w="11906" w:h="16838"/>
          <w:pgMar w:top="1440" w:right="1134" w:bottom="1418" w:left="1276" w:header="680" w:footer="624" w:gutter="0"/>
          <w:cols w:sep="1" w:space="720"/>
          <w:titlePg/>
          <w:docGrid w:linePitch="360"/>
        </w:sectPr>
      </w:pPr>
      <w:r w:rsidRPr="0B4BA6D5">
        <w:rPr>
          <w:rFonts w:eastAsia="Trebuchet MS" w:cs="Trebuchet MS"/>
        </w:rPr>
        <w:t>Long term sickness has negatively impacted on the independent quality checks.  However, the team have implemented additional checking to ensure consistency of decisions as an interim measure.</w:t>
      </w:r>
    </w:p>
    <w:p w14:paraId="360CE199" w14:textId="4891853E" w:rsidR="002D51CA" w:rsidRDefault="00D55734" w:rsidP="7AEF6CBF">
      <w:pPr>
        <w:spacing w:before="100" w:beforeAutospacing="1" w:after="100" w:afterAutospacing="1"/>
      </w:pPr>
      <w:r w:rsidRPr="00D55734">
        <w:rPr>
          <w:noProof/>
        </w:rPr>
        <w:lastRenderedPageBreak/>
        <w:drawing>
          <wp:inline distT="0" distB="0" distL="0" distR="0" wp14:anchorId="11B18566" wp14:editId="11560C35">
            <wp:extent cx="9777730" cy="5686425"/>
            <wp:effectExtent l="0" t="0" r="0" b="9525"/>
            <wp:docPr id="389076426" name="Picture 1" descr="Summary of applications in civil and criminal cases comparing the benchmark discussed in thi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76426" name="Picture 1" descr="Summary of applications in civil and criminal cases comparing the benchmark discussed in this report."/>
                    <pic:cNvPicPr/>
                  </pic:nvPicPr>
                  <pic:blipFill>
                    <a:blip r:embed="rId15"/>
                    <a:stretch>
                      <a:fillRect/>
                    </a:stretch>
                  </pic:blipFill>
                  <pic:spPr>
                    <a:xfrm>
                      <a:off x="0" y="0"/>
                      <a:ext cx="9777730" cy="5686425"/>
                    </a:xfrm>
                    <a:prstGeom prst="rect">
                      <a:avLst/>
                    </a:prstGeom>
                  </pic:spPr>
                </pic:pic>
              </a:graphicData>
            </a:graphic>
          </wp:inline>
        </w:drawing>
      </w:r>
    </w:p>
    <w:p w14:paraId="27378A44" w14:textId="77777777" w:rsidR="00540538" w:rsidRDefault="00540538" w:rsidP="00F77A60">
      <w:pPr>
        <w:spacing w:before="100" w:beforeAutospacing="1" w:after="100" w:afterAutospacing="1"/>
      </w:pPr>
    </w:p>
    <w:p w14:paraId="09CC7946" w14:textId="0E8F297F" w:rsidR="000A02D3" w:rsidRPr="00362F68" w:rsidRDefault="00D55734" w:rsidP="7AEF6CBF">
      <w:pPr>
        <w:spacing w:before="100" w:beforeAutospacing="1" w:after="100" w:afterAutospacing="1"/>
        <w:sectPr w:rsidR="000A02D3" w:rsidRPr="00362F68" w:rsidSect="000E7328">
          <w:headerReference w:type="even" r:id="rId16"/>
          <w:headerReference w:type="default" r:id="rId17"/>
          <w:footerReference w:type="even" r:id="rId18"/>
          <w:footerReference w:type="default" r:id="rId19"/>
          <w:headerReference w:type="first" r:id="rId20"/>
          <w:footerReference w:type="first" r:id="rId21"/>
          <w:pgSz w:w="16838" w:h="11906" w:orient="landscape"/>
          <w:pgMar w:top="720" w:right="720" w:bottom="720" w:left="720" w:header="680" w:footer="624" w:gutter="0"/>
          <w:cols w:sep="1" w:space="720"/>
          <w:docGrid w:linePitch="360"/>
        </w:sectPr>
      </w:pPr>
      <w:r>
        <w:rPr>
          <w:noProof/>
        </w:rPr>
        <w:br w:type="page"/>
      </w:r>
      <w:r w:rsidRPr="00D55734">
        <w:rPr>
          <w:noProof/>
        </w:rPr>
        <w:lastRenderedPageBreak/>
        <w:drawing>
          <wp:inline distT="0" distB="0" distL="0" distR="0" wp14:anchorId="4BF0DE1D" wp14:editId="204C35E7">
            <wp:extent cx="9777730" cy="5840095"/>
            <wp:effectExtent l="0" t="0" r="0" b="8255"/>
            <wp:docPr id="1553943717" name="Picture 1" descr="Summary of applications in civil and criminal cases continued as well as children's cases, comparing the benchmark discussed in thi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43717" name="Picture 1" descr="Summary of applications in civil and criminal cases continued as well as children's cases, comparing the benchmark discussed in this report."/>
                    <pic:cNvPicPr/>
                  </pic:nvPicPr>
                  <pic:blipFill>
                    <a:blip r:embed="rId22"/>
                    <a:stretch>
                      <a:fillRect/>
                    </a:stretch>
                  </pic:blipFill>
                  <pic:spPr>
                    <a:xfrm>
                      <a:off x="0" y="0"/>
                      <a:ext cx="9777730" cy="5840095"/>
                    </a:xfrm>
                    <a:prstGeom prst="rect">
                      <a:avLst/>
                    </a:prstGeom>
                  </pic:spPr>
                </pic:pic>
              </a:graphicData>
            </a:graphic>
          </wp:inline>
        </w:drawing>
      </w:r>
    </w:p>
    <w:p w14:paraId="6D913FB0" w14:textId="77777777" w:rsidR="00F9675B" w:rsidRDefault="00F9675B" w:rsidP="00F77A60"/>
    <w:tbl>
      <w:tblPr>
        <w:tblStyle w:val="TableGrid"/>
        <w:tblW w:w="9754" w:type="dxa"/>
        <w:tblLook w:val="04A0" w:firstRow="1" w:lastRow="0" w:firstColumn="1" w:lastColumn="0" w:noHBand="0" w:noVBand="1"/>
      </w:tblPr>
      <w:tblGrid>
        <w:gridCol w:w="980"/>
        <w:gridCol w:w="8774"/>
      </w:tblGrid>
      <w:tr w:rsidR="00F77A60" w:rsidRPr="00E349F0" w14:paraId="798D1085" w14:textId="77777777" w:rsidTr="00461223">
        <w:tc>
          <w:tcPr>
            <w:tcW w:w="980" w:type="dxa"/>
            <w:shd w:val="clear" w:color="auto" w:fill="D9D9D9" w:themeFill="background1" w:themeFillShade="D9"/>
          </w:tcPr>
          <w:p w14:paraId="784542D6" w14:textId="77777777" w:rsidR="00F77A60" w:rsidRPr="00E349F0" w:rsidRDefault="00F77A60" w:rsidP="00461223"/>
        </w:tc>
        <w:tc>
          <w:tcPr>
            <w:tcW w:w="8774" w:type="dxa"/>
            <w:shd w:val="clear" w:color="auto" w:fill="D9D9D9" w:themeFill="background1" w:themeFillShade="D9"/>
          </w:tcPr>
          <w:p w14:paraId="14220E58" w14:textId="77777777" w:rsidR="00F77A60" w:rsidRPr="00C57B33" w:rsidRDefault="00F77A60" w:rsidP="00461223">
            <w:pPr>
              <w:rPr>
                <w:b/>
              </w:rPr>
            </w:pPr>
            <w:r w:rsidRPr="00C57B33">
              <w:rPr>
                <w:b/>
              </w:rPr>
              <w:t xml:space="preserve">Governance Links </w:t>
            </w:r>
          </w:p>
        </w:tc>
      </w:tr>
      <w:tr w:rsidR="00F77A60" w:rsidRPr="00E349F0" w14:paraId="0218C434" w14:textId="77777777" w:rsidTr="00461223">
        <w:tc>
          <w:tcPr>
            <w:tcW w:w="980" w:type="dxa"/>
          </w:tcPr>
          <w:p w14:paraId="33BFB441" w14:textId="77777777" w:rsidR="00F77A60" w:rsidRPr="00E349F0" w:rsidRDefault="00F77A60" w:rsidP="00461223">
            <w:r w:rsidRPr="00E349F0">
              <w:t>1</w:t>
            </w:r>
          </w:p>
        </w:tc>
        <w:tc>
          <w:tcPr>
            <w:tcW w:w="8774" w:type="dxa"/>
          </w:tcPr>
          <w:p w14:paraId="5C72F7DB" w14:textId="77777777" w:rsidR="00F77A60" w:rsidRPr="00C57B33" w:rsidRDefault="00F77A60" w:rsidP="00461223">
            <w:pPr>
              <w:rPr>
                <w:b/>
              </w:rPr>
            </w:pPr>
            <w:r w:rsidRPr="00C57B33">
              <w:rPr>
                <w:b/>
              </w:rPr>
              <w:t>Finance and Resources</w:t>
            </w:r>
          </w:p>
          <w:p w14:paraId="419B6905" w14:textId="77777777" w:rsidR="00F77A60" w:rsidRPr="00E349F0" w:rsidRDefault="00F77A60" w:rsidP="001919A6">
            <w:r w:rsidRPr="00116D9E">
              <w:t xml:space="preserve">Resources are key to the delivery of good performance. </w:t>
            </w:r>
            <w:r w:rsidR="001919A6">
              <w:t xml:space="preserve">There are no </w:t>
            </w:r>
            <w:r w:rsidR="000B29D9">
              <w:t xml:space="preserve">additional </w:t>
            </w:r>
            <w:r w:rsidR="001919A6">
              <w:t>resourcing issues to flag to the Board which have affected the performance reported.</w:t>
            </w:r>
          </w:p>
        </w:tc>
      </w:tr>
      <w:tr w:rsidR="00F77A60" w:rsidRPr="00E349F0" w14:paraId="5625D7E4" w14:textId="77777777" w:rsidTr="00461223">
        <w:tc>
          <w:tcPr>
            <w:tcW w:w="980" w:type="dxa"/>
          </w:tcPr>
          <w:p w14:paraId="0B2BBB23" w14:textId="77777777" w:rsidR="00F77A60" w:rsidRPr="00E349F0" w:rsidRDefault="00F77A60" w:rsidP="00461223">
            <w:r w:rsidRPr="00E349F0">
              <w:t>2</w:t>
            </w:r>
          </w:p>
        </w:tc>
        <w:tc>
          <w:tcPr>
            <w:tcW w:w="8774" w:type="dxa"/>
          </w:tcPr>
          <w:p w14:paraId="27B6E2B1" w14:textId="77777777" w:rsidR="00F77A60" w:rsidRPr="00C57B33" w:rsidRDefault="00F77A60" w:rsidP="00461223">
            <w:pPr>
              <w:rPr>
                <w:b/>
              </w:rPr>
            </w:pPr>
            <w:r w:rsidRPr="00C57B33">
              <w:rPr>
                <w:b/>
              </w:rPr>
              <w:t xml:space="preserve">Risk </w:t>
            </w:r>
          </w:p>
          <w:p w14:paraId="2E237AE2" w14:textId="71E87BDC" w:rsidR="00F77A60" w:rsidRPr="009E1784" w:rsidRDefault="00F77A60" w:rsidP="00461223">
            <w:r w:rsidRPr="009E1784">
              <w:t>Applications</w:t>
            </w:r>
            <w:r w:rsidR="009C373B">
              <w:t>:</w:t>
            </w:r>
          </w:p>
          <w:p w14:paraId="76CFAB6E" w14:textId="77777777" w:rsidR="009C373B" w:rsidRDefault="00F77A60" w:rsidP="00461223">
            <w:r w:rsidRPr="009E1784">
              <w:t xml:space="preserve">This report gives assurance that we are managing the functional risks identified in relation to: </w:t>
            </w:r>
          </w:p>
          <w:p w14:paraId="16CAAD2E" w14:textId="77777777" w:rsidR="009C373B" w:rsidRDefault="00F77A60" w:rsidP="00461223">
            <w:r w:rsidRPr="009E1784">
              <w:t>(</w:t>
            </w:r>
            <w:proofErr w:type="spellStart"/>
            <w:r w:rsidRPr="009E1784">
              <w:t>i</w:t>
            </w:r>
            <w:proofErr w:type="spellEnd"/>
            <w:r w:rsidRPr="009E1784">
              <w:t xml:space="preserve">) </w:t>
            </w:r>
            <w:r w:rsidR="009C373B">
              <w:t>f</w:t>
            </w:r>
            <w:r w:rsidRPr="009E1784">
              <w:t>ailure to accurately assess applications and increases in accordance with SLAB's policies and procedures</w:t>
            </w:r>
          </w:p>
          <w:p w14:paraId="222DEB7C" w14:textId="0ED69A7B" w:rsidR="00F77A60" w:rsidRPr="009E1784" w:rsidRDefault="00F77A60" w:rsidP="00461223">
            <w:r w:rsidRPr="009E1784">
              <w:t xml:space="preserve">(ii) </w:t>
            </w:r>
            <w:r w:rsidR="009C373B">
              <w:t>f</w:t>
            </w:r>
            <w:r w:rsidRPr="009E1784">
              <w:t>ailure to take operational decisions within agreed service standards.</w:t>
            </w:r>
          </w:p>
          <w:p w14:paraId="56AFB8CB" w14:textId="7EE48CBF" w:rsidR="00F77A60" w:rsidRPr="009E1784" w:rsidRDefault="00F77A60" w:rsidP="00461223">
            <w:r w:rsidRPr="009E1784">
              <w:t>Accounts</w:t>
            </w:r>
            <w:r w:rsidR="009C373B">
              <w:t>:</w:t>
            </w:r>
          </w:p>
          <w:p w14:paraId="0F464A17" w14:textId="77777777" w:rsidR="009C373B" w:rsidRDefault="00F77A60" w:rsidP="00461223">
            <w:r w:rsidRPr="009E1784">
              <w:t xml:space="preserve">This report gives assurance that we are managing the functional risks identified in relation to: </w:t>
            </w:r>
          </w:p>
          <w:p w14:paraId="59485E43" w14:textId="3E2E2F2E" w:rsidR="009C373B" w:rsidRDefault="00F77A60" w:rsidP="00461223">
            <w:r w:rsidRPr="009E1784">
              <w:t>(</w:t>
            </w:r>
            <w:proofErr w:type="spellStart"/>
            <w:r w:rsidRPr="009E1784">
              <w:t>i</w:t>
            </w:r>
            <w:proofErr w:type="spellEnd"/>
            <w:r w:rsidRPr="009E1784">
              <w:t xml:space="preserve">) </w:t>
            </w:r>
            <w:r w:rsidR="009C373B">
              <w:t>f</w:t>
            </w:r>
            <w:r w:rsidRPr="009E1784">
              <w:t>ailure to pay solicitors within a timeframe that is acceptable to the profession and enables management of the Legal Aid Fun</w:t>
            </w:r>
          </w:p>
          <w:p w14:paraId="79CD5AEB" w14:textId="29A2C189" w:rsidR="00F77A60" w:rsidRPr="00E349F0" w:rsidRDefault="00F77A60" w:rsidP="00461223">
            <w:r w:rsidRPr="009E1784">
              <w:t xml:space="preserve">(ii) </w:t>
            </w:r>
            <w:r w:rsidR="009C373B">
              <w:t>i</w:t>
            </w:r>
            <w:r w:rsidRPr="009E1784">
              <w:t>nconsistent approach to assessment of accounts.</w:t>
            </w:r>
          </w:p>
        </w:tc>
      </w:tr>
      <w:tr w:rsidR="00F77A60" w:rsidRPr="009C66A0" w14:paraId="2CD4C3DD" w14:textId="77777777" w:rsidTr="00461223">
        <w:tc>
          <w:tcPr>
            <w:tcW w:w="980" w:type="dxa"/>
          </w:tcPr>
          <w:p w14:paraId="04D81CAD" w14:textId="77777777" w:rsidR="00F77A60" w:rsidRPr="00E349F0" w:rsidRDefault="00F77A60" w:rsidP="00461223">
            <w:r w:rsidRPr="00E349F0">
              <w:t>3</w:t>
            </w:r>
          </w:p>
          <w:p w14:paraId="71D0B9F7" w14:textId="77777777" w:rsidR="00F77A60" w:rsidRPr="00E349F0" w:rsidRDefault="00F77A60" w:rsidP="00461223"/>
        </w:tc>
        <w:tc>
          <w:tcPr>
            <w:tcW w:w="8774" w:type="dxa"/>
          </w:tcPr>
          <w:p w14:paraId="6127E9E7" w14:textId="0CD4BFB8" w:rsidR="00F77A60" w:rsidRPr="009C373B" w:rsidRDefault="00F77A60" w:rsidP="00461223">
            <w:pPr>
              <w:rPr>
                <w:b/>
              </w:rPr>
            </w:pPr>
            <w:r w:rsidRPr="00C57B33">
              <w:rPr>
                <w:b/>
              </w:rPr>
              <w:t>Legal and Compliance</w:t>
            </w:r>
          </w:p>
          <w:p w14:paraId="203BAFD2" w14:textId="58CBBEAC" w:rsidR="00F77A60" w:rsidRPr="00E349F0" w:rsidRDefault="00F77A60" w:rsidP="00461223">
            <w:r>
              <w:t>No issues of note.</w:t>
            </w:r>
          </w:p>
        </w:tc>
      </w:tr>
      <w:tr w:rsidR="00F77A60" w:rsidRPr="009C66A0" w14:paraId="683C4417" w14:textId="77777777" w:rsidTr="00461223">
        <w:tc>
          <w:tcPr>
            <w:tcW w:w="980" w:type="dxa"/>
          </w:tcPr>
          <w:p w14:paraId="796AAE14" w14:textId="77777777" w:rsidR="00F77A60" w:rsidRPr="00E349F0" w:rsidRDefault="00F77A60" w:rsidP="00461223">
            <w:r w:rsidRPr="00E349F0">
              <w:t>4</w:t>
            </w:r>
          </w:p>
        </w:tc>
        <w:tc>
          <w:tcPr>
            <w:tcW w:w="8774" w:type="dxa"/>
          </w:tcPr>
          <w:p w14:paraId="372F634B" w14:textId="1B5EBB9B" w:rsidR="00F77A60" w:rsidRPr="009C373B" w:rsidRDefault="00F77A60" w:rsidP="00461223">
            <w:pPr>
              <w:rPr>
                <w:b/>
              </w:rPr>
            </w:pPr>
            <w:r w:rsidRPr="00C57B33">
              <w:rPr>
                <w:b/>
              </w:rPr>
              <w:t>Performance</w:t>
            </w:r>
          </w:p>
          <w:p w14:paraId="3110AFFD" w14:textId="1C4FEB19" w:rsidR="00F77A60" w:rsidRPr="00E349F0" w:rsidRDefault="00F77A60" w:rsidP="00461223">
            <w:r>
              <w:t>No issues of note.</w:t>
            </w:r>
          </w:p>
        </w:tc>
      </w:tr>
      <w:tr w:rsidR="00F77A60" w:rsidRPr="009C66A0" w14:paraId="77F910EB" w14:textId="77777777" w:rsidTr="00461223">
        <w:tc>
          <w:tcPr>
            <w:tcW w:w="980" w:type="dxa"/>
          </w:tcPr>
          <w:p w14:paraId="6B0D159F" w14:textId="77777777" w:rsidR="00F77A60" w:rsidRPr="00E349F0" w:rsidRDefault="00F77A60" w:rsidP="00461223">
            <w:r w:rsidRPr="00E349F0">
              <w:t>5</w:t>
            </w:r>
          </w:p>
        </w:tc>
        <w:tc>
          <w:tcPr>
            <w:tcW w:w="8774" w:type="dxa"/>
          </w:tcPr>
          <w:p w14:paraId="4E26EADC" w14:textId="40FAE3FE" w:rsidR="00F77A60" w:rsidRPr="009C373B" w:rsidRDefault="00F77A60" w:rsidP="00461223">
            <w:pPr>
              <w:rPr>
                <w:b/>
              </w:rPr>
            </w:pPr>
            <w:r w:rsidRPr="00C57B33">
              <w:rPr>
                <w:b/>
              </w:rPr>
              <w:t>Equalities Impact</w:t>
            </w:r>
          </w:p>
          <w:p w14:paraId="460CE6A5" w14:textId="77777777" w:rsidR="00F77A60" w:rsidRPr="00116D9E" w:rsidRDefault="00F77A60" w:rsidP="00461223">
            <w:r w:rsidRPr="009E1784">
              <w:t>An impact assessment is not required for this paper.</w:t>
            </w:r>
          </w:p>
        </w:tc>
      </w:tr>
      <w:tr w:rsidR="00F77A60" w:rsidRPr="009C66A0" w14:paraId="032A9D6B" w14:textId="77777777" w:rsidTr="00461223">
        <w:tc>
          <w:tcPr>
            <w:tcW w:w="980" w:type="dxa"/>
          </w:tcPr>
          <w:p w14:paraId="290B046E" w14:textId="77777777" w:rsidR="00F77A60" w:rsidRPr="00E349F0" w:rsidRDefault="00F77A60" w:rsidP="00461223">
            <w:r w:rsidRPr="00E349F0">
              <w:t>6</w:t>
            </w:r>
          </w:p>
        </w:tc>
        <w:tc>
          <w:tcPr>
            <w:tcW w:w="8774" w:type="dxa"/>
          </w:tcPr>
          <w:p w14:paraId="223786C2" w14:textId="74094CCE" w:rsidR="00F77A60" w:rsidRPr="009C373B" w:rsidRDefault="00F77A60" w:rsidP="00461223">
            <w:pPr>
              <w:rPr>
                <w:b/>
              </w:rPr>
            </w:pPr>
            <w:r w:rsidRPr="00C57B33">
              <w:rPr>
                <w:b/>
              </w:rPr>
              <w:t>Privacy Impact and Data Protection</w:t>
            </w:r>
          </w:p>
          <w:p w14:paraId="47397AD8" w14:textId="77777777" w:rsidR="00F77A60" w:rsidRPr="00E349F0" w:rsidRDefault="00F77A60" w:rsidP="00461223">
            <w:r w:rsidRPr="00E349F0">
              <w:t xml:space="preserve">No privacy or data protection issues identified.  </w:t>
            </w:r>
          </w:p>
        </w:tc>
      </w:tr>
      <w:tr w:rsidR="00F77A60" w:rsidRPr="009C66A0" w14:paraId="764FA5B7" w14:textId="77777777" w:rsidTr="00461223">
        <w:tc>
          <w:tcPr>
            <w:tcW w:w="980" w:type="dxa"/>
          </w:tcPr>
          <w:p w14:paraId="14E5C965" w14:textId="77777777" w:rsidR="00F77A60" w:rsidRPr="00E349F0" w:rsidRDefault="00F77A60" w:rsidP="00461223">
            <w:r w:rsidRPr="00E349F0">
              <w:t>7</w:t>
            </w:r>
          </w:p>
        </w:tc>
        <w:tc>
          <w:tcPr>
            <w:tcW w:w="8774" w:type="dxa"/>
          </w:tcPr>
          <w:p w14:paraId="1E30A1DB" w14:textId="23D46A42" w:rsidR="00F77A60" w:rsidRPr="009C373B" w:rsidRDefault="00F77A60" w:rsidP="00461223">
            <w:pPr>
              <w:rPr>
                <w:b/>
              </w:rPr>
            </w:pPr>
            <w:r w:rsidRPr="00C57B33">
              <w:rPr>
                <w:b/>
              </w:rPr>
              <w:t>Communications and Engagement</w:t>
            </w:r>
          </w:p>
          <w:p w14:paraId="4ABE0196" w14:textId="77777777" w:rsidR="00F77A60" w:rsidRPr="00E349F0" w:rsidRDefault="00F77A60" w:rsidP="00461223">
            <w:pPr>
              <w:rPr>
                <w:i/>
              </w:rPr>
            </w:pPr>
            <w:r w:rsidRPr="009E1784">
              <w:t xml:space="preserve">This paper has been agreed for publication and we are also publishing separate information regarding our performance via our website. </w:t>
            </w:r>
          </w:p>
        </w:tc>
      </w:tr>
    </w:tbl>
    <w:p w14:paraId="431B6CA2" w14:textId="77777777" w:rsidR="00F77A60" w:rsidRPr="009C66A0" w:rsidRDefault="00F77A60" w:rsidP="00F77A60"/>
    <w:tbl>
      <w:tblPr>
        <w:tblStyle w:val="TableGrid"/>
        <w:tblW w:w="9493" w:type="dxa"/>
        <w:tblLook w:val="04A0" w:firstRow="1" w:lastRow="0" w:firstColumn="1" w:lastColumn="0" w:noHBand="0" w:noVBand="1"/>
      </w:tblPr>
      <w:tblGrid>
        <w:gridCol w:w="9493"/>
      </w:tblGrid>
      <w:tr w:rsidR="00F77A60" w:rsidRPr="009C66A0" w14:paraId="7FC14BC9" w14:textId="77777777" w:rsidTr="009C373B">
        <w:tc>
          <w:tcPr>
            <w:tcW w:w="9493" w:type="dxa"/>
            <w:tcBorders>
              <w:bottom w:val="single" w:sz="4" w:space="0" w:color="auto"/>
            </w:tcBorders>
            <w:shd w:val="clear" w:color="auto" w:fill="D9D9D9" w:themeFill="background1" w:themeFillShade="D9"/>
          </w:tcPr>
          <w:p w14:paraId="0E236AB5" w14:textId="77777777" w:rsidR="00F77A60" w:rsidRPr="00C57B33" w:rsidRDefault="00F77A60" w:rsidP="00461223">
            <w:pPr>
              <w:rPr>
                <w:b/>
                <w:color w:val="FF0000"/>
              </w:rPr>
            </w:pPr>
            <w:r w:rsidRPr="00C57B33">
              <w:rPr>
                <w:b/>
              </w:rPr>
              <w:t>Conclusion and next steps</w:t>
            </w:r>
          </w:p>
        </w:tc>
      </w:tr>
      <w:tr w:rsidR="00F77A60" w:rsidRPr="009C66A0" w14:paraId="57E9E8F9" w14:textId="77777777" w:rsidTr="009C373B">
        <w:tc>
          <w:tcPr>
            <w:tcW w:w="9493" w:type="dxa"/>
            <w:tcBorders>
              <w:left w:val="single" w:sz="4" w:space="0" w:color="auto"/>
              <w:bottom w:val="single" w:sz="4" w:space="0" w:color="auto"/>
              <w:right w:val="single" w:sz="4" w:space="0" w:color="auto"/>
            </w:tcBorders>
          </w:tcPr>
          <w:p w14:paraId="35855A67" w14:textId="18A9DE63" w:rsidR="00F77A60" w:rsidRPr="009C66A0" w:rsidRDefault="009C373B" w:rsidP="00461223">
            <w:r w:rsidRPr="00CA0A48">
              <w:t>Members are asked to note the report.</w:t>
            </w:r>
          </w:p>
        </w:tc>
      </w:tr>
    </w:tbl>
    <w:p w14:paraId="402BA05F" w14:textId="77777777" w:rsidR="00F77A60" w:rsidRPr="009C66A0" w:rsidRDefault="00F77A60" w:rsidP="00F77A60"/>
    <w:tbl>
      <w:tblPr>
        <w:tblStyle w:val="TableGrid"/>
        <w:tblW w:w="9493" w:type="dxa"/>
        <w:tblLook w:val="04A0" w:firstRow="1" w:lastRow="0" w:firstColumn="1" w:lastColumn="0" w:noHBand="0" w:noVBand="1"/>
      </w:tblPr>
      <w:tblGrid>
        <w:gridCol w:w="9493"/>
      </w:tblGrid>
      <w:tr w:rsidR="00F77A60" w:rsidRPr="009C66A0" w14:paraId="7264B78B" w14:textId="77777777" w:rsidTr="00461223">
        <w:tc>
          <w:tcPr>
            <w:tcW w:w="9493" w:type="dxa"/>
            <w:shd w:val="clear" w:color="auto" w:fill="D9D9D9" w:themeFill="background1" w:themeFillShade="D9"/>
          </w:tcPr>
          <w:p w14:paraId="64B4426A" w14:textId="77777777" w:rsidR="00F77A60" w:rsidRPr="00C57B33" w:rsidRDefault="00F77A60" w:rsidP="00461223">
            <w:pPr>
              <w:rPr>
                <w:b/>
                <w:color w:val="FF0000"/>
              </w:rPr>
            </w:pPr>
            <w:r w:rsidRPr="00C57B33">
              <w:rPr>
                <w:b/>
              </w:rPr>
              <w:t>Appendices</w:t>
            </w:r>
          </w:p>
        </w:tc>
      </w:tr>
      <w:tr w:rsidR="00F77A60" w:rsidRPr="009C66A0" w14:paraId="6CC01652" w14:textId="77777777" w:rsidTr="00461223">
        <w:tc>
          <w:tcPr>
            <w:tcW w:w="9493" w:type="dxa"/>
            <w:tcBorders>
              <w:right w:val="single" w:sz="4" w:space="0" w:color="auto"/>
            </w:tcBorders>
          </w:tcPr>
          <w:p w14:paraId="2F550C28" w14:textId="069ACE24" w:rsidR="00F77A60" w:rsidRPr="009C66A0" w:rsidRDefault="00F77A60" w:rsidP="00461223">
            <w:r>
              <w:t xml:space="preserve">Appendix </w:t>
            </w:r>
            <w:r w:rsidR="0040024D">
              <w:t>1</w:t>
            </w:r>
            <w:r>
              <w:t xml:space="preserve">: </w:t>
            </w:r>
            <w:r w:rsidRPr="00CA0A48">
              <w:t>Guide to the SLAB Operation</w:t>
            </w:r>
            <w:r w:rsidR="009C373B">
              <w:t>al</w:t>
            </w:r>
            <w:r w:rsidRPr="00CA0A48">
              <w:t xml:space="preserve"> Performance Overview Report (SOPOR)</w:t>
            </w:r>
            <w:r w:rsidR="009C373B">
              <w:t>.</w:t>
            </w:r>
          </w:p>
        </w:tc>
      </w:tr>
    </w:tbl>
    <w:p w14:paraId="2025460C" w14:textId="77777777" w:rsidR="00F77A60" w:rsidRDefault="00F77A60" w:rsidP="00F77A60">
      <w:r>
        <w:br w:type="page"/>
      </w:r>
    </w:p>
    <w:p w14:paraId="50FCF062" w14:textId="77777777" w:rsidR="00F77A60" w:rsidRPr="00A604AA" w:rsidRDefault="00F77A60" w:rsidP="00F9675B">
      <w:pPr>
        <w:pStyle w:val="Heading2"/>
      </w:pPr>
      <w:r>
        <w:lastRenderedPageBreak/>
        <w:t xml:space="preserve">Appendix </w:t>
      </w:r>
      <w:r w:rsidR="0040024D">
        <w:t>1</w:t>
      </w:r>
    </w:p>
    <w:p w14:paraId="129EB805" w14:textId="77777777" w:rsidR="00F77A60" w:rsidRDefault="00F77A60" w:rsidP="00F77A60"/>
    <w:p w14:paraId="3E056833" w14:textId="77777777" w:rsidR="008A58D5" w:rsidRPr="001536D0" w:rsidRDefault="008A58D5" w:rsidP="008A58D5">
      <w:pPr>
        <w:rPr>
          <w:b/>
          <w:bCs/>
        </w:rPr>
      </w:pPr>
      <w:r w:rsidRPr="001536D0">
        <w:rPr>
          <w:b/>
          <w:bCs/>
        </w:rPr>
        <w:t>STRUCTURE</w:t>
      </w:r>
    </w:p>
    <w:p w14:paraId="707B4EC1" w14:textId="77777777" w:rsidR="008A58D5" w:rsidRPr="00E5184A" w:rsidRDefault="008A58D5" w:rsidP="008A58D5">
      <w:pPr>
        <w:pStyle w:val="BodyText"/>
      </w:pPr>
    </w:p>
    <w:p w14:paraId="45894756" w14:textId="77777777" w:rsidR="008A58D5" w:rsidRPr="004276F4" w:rsidRDefault="008A58D5" w:rsidP="008A58D5">
      <w:pPr>
        <w:pStyle w:val="BodyText"/>
        <w:rPr>
          <w:sz w:val="24"/>
          <w:szCs w:val="24"/>
        </w:rPr>
      </w:pPr>
      <w:r w:rsidRPr="004276F4">
        <w:rPr>
          <w:sz w:val="24"/>
          <w:szCs w:val="24"/>
        </w:rPr>
        <w:t xml:space="preserve">In the SOPOR the Key Performance Indicators (KPIs) are grouped by operational area and type of measure. </w:t>
      </w:r>
    </w:p>
    <w:p w14:paraId="3E828695" w14:textId="77777777" w:rsidR="008A58D5" w:rsidRPr="004276F4" w:rsidRDefault="008A58D5" w:rsidP="008A58D5">
      <w:pPr>
        <w:pStyle w:val="BodyText"/>
        <w:rPr>
          <w:sz w:val="24"/>
          <w:szCs w:val="24"/>
        </w:rPr>
      </w:pPr>
    </w:p>
    <w:p w14:paraId="3071E1E3" w14:textId="77777777" w:rsidR="008A58D5" w:rsidRPr="004276F4" w:rsidRDefault="008A58D5" w:rsidP="008A58D5">
      <w:pPr>
        <w:pStyle w:val="BodyText"/>
        <w:rPr>
          <w:sz w:val="24"/>
          <w:szCs w:val="24"/>
        </w:rPr>
      </w:pPr>
      <w:r w:rsidRPr="004276F4">
        <w:rPr>
          <w:sz w:val="24"/>
          <w:szCs w:val="24"/>
        </w:rPr>
        <w:t xml:space="preserve">The first </w:t>
      </w:r>
      <w:r>
        <w:rPr>
          <w:sz w:val="24"/>
          <w:szCs w:val="24"/>
        </w:rPr>
        <w:t>three</w:t>
      </w:r>
      <w:r w:rsidRPr="004276F4">
        <w:rPr>
          <w:sz w:val="24"/>
          <w:szCs w:val="24"/>
        </w:rPr>
        <w:t xml:space="preserve"> groups of KPIs are on Applications areas: Civil; Criminal and Children’s, and the bottom </w:t>
      </w:r>
      <w:r>
        <w:rPr>
          <w:sz w:val="24"/>
          <w:szCs w:val="24"/>
        </w:rPr>
        <w:t>three</w:t>
      </w:r>
      <w:r w:rsidRPr="004276F4">
        <w:rPr>
          <w:sz w:val="24"/>
          <w:szCs w:val="24"/>
        </w:rPr>
        <w:t xml:space="preserve"> on Accounts areas.</w:t>
      </w:r>
    </w:p>
    <w:p w14:paraId="1BF3A08D" w14:textId="77777777" w:rsidR="008A58D5" w:rsidRPr="004276F4" w:rsidRDefault="008A58D5" w:rsidP="008A58D5">
      <w:pPr>
        <w:pStyle w:val="BodyText"/>
        <w:rPr>
          <w:sz w:val="24"/>
          <w:szCs w:val="24"/>
        </w:rPr>
      </w:pPr>
    </w:p>
    <w:p w14:paraId="6C6307F4" w14:textId="77777777" w:rsidR="008A58D5" w:rsidRPr="004276F4" w:rsidRDefault="008A58D5" w:rsidP="008A58D5">
      <w:pPr>
        <w:pStyle w:val="BodyText"/>
        <w:rPr>
          <w:sz w:val="24"/>
          <w:szCs w:val="24"/>
        </w:rPr>
      </w:pPr>
      <w:r w:rsidRPr="004276F4">
        <w:rPr>
          <w:sz w:val="24"/>
          <w:szCs w:val="24"/>
        </w:rPr>
        <w:t>The way we report on KPIs is by tracking them against benchmarks.</w:t>
      </w:r>
    </w:p>
    <w:p w14:paraId="2E350777" w14:textId="77777777" w:rsidR="008A58D5" w:rsidRPr="004276F4" w:rsidRDefault="008A58D5" w:rsidP="008A58D5">
      <w:pPr>
        <w:pStyle w:val="BodyText"/>
        <w:rPr>
          <w:sz w:val="24"/>
          <w:szCs w:val="24"/>
        </w:rPr>
      </w:pPr>
    </w:p>
    <w:p w14:paraId="436C2264" w14:textId="77777777" w:rsidR="008A58D5" w:rsidRPr="004276F4" w:rsidRDefault="008A58D5" w:rsidP="008A58D5">
      <w:pPr>
        <w:pStyle w:val="BodyText"/>
        <w:rPr>
          <w:sz w:val="24"/>
          <w:szCs w:val="24"/>
        </w:rPr>
      </w:pPr>
      <w:r w:rsidRPr="004276F4">
        <w:rPr>
          <w:sz w:val="24"/>
          <w:szCs w:val="24"/>
        </w:rPr>
        <w:t>In Civil we report Adults with Incapacity cases separately. These are high in volume, and we take decisions on these in a much shorter timescale because the statutory tests are more straightforward. These are separated out to avoid a disproportionate impact on performance statistics.</w:t>
      </w:r>
    </w:p>
    <w:p w14:paraId="26703F14" w14:textId="77777777" w:rsidR="008A58D5" w:rsidRPr="004276F4" w:rsidRDefault="008A58D5" w:rsidP="008A58D5">
      <w:pPr>
        <w:pStyle w:val="BodyText"/>
        <w:rPr>
          <w:sz w:val="24"/>
          <w:szCs w:val="24"/>
        </w:rPr>
      </w:pPr>
    </w:p>
    <w:p w14:paraId="3B30B98F" w14:textId="77777777" w:rsidR="008A58D5" w:rsidRPr="004276F4" w:rsidRDefault="008A58D5" w:rsidP="008A58D5">
      <w:pPr>
        <w:pStyle w:val="BodyText"/>
        <w:rPr>
          <w:sz w:val="24"/>
          <w:szCs w:val="24"/>
        </w:rPr>
      </w:pPr>
      <w:r w:rsidRPr="004276F4">
        <w:rPr>
          <w:sz w:val="24"/>
          <w:szCs w:val="24"/>
        </w:rPr>
        <w:t>In Criminal we report on summary and solemn cases separately.</w:t>
      </w:r>
    </w:p>
    <w:p w14:paraId="574B6DE0" w14:textId="77777777" w:rsidR="008A58D5" w:rsidRPr="004276F4" w:rsidRDefault="008A58D5" w:rsidP="008A58D5">
      <w:pPr>
        <w:pStyle w:val="Heading2"/>
      </w:pPr>
    </w:p>
    <w:p w14:paraId="03C31CCB" w14:textId="77777777" w:rsidR="008A58D5" w:rsidRPr="004276F4" w:rsidRDefault="008A58D5" w:rsidP="008A58D5">
      <w:pPr>
        <w:pStyle w:val="BodyText"/>
        <w:rPr>
          <w:sz w:val="24"/>
          <w:szCs w:val="24"/>
        </w:rPr>
      </w:pPr>
      <w:r w:rsidRPr="004276F4">
        <w:rPr>
          <w:sz w:val="24"/>
          <w:szCs w:val="24"/>
        </w:rPr>
        <w:t>Benchmarks are proposed to try to balance the aim of being challenging but achievable but also the need to manage the risks and uncertainty around the coming year. They are based on performance during the previous year and on the expected operating environment of the year coming.</w:t>
      </w:r>
    </w:p>
    <w:p w14:paraId="6F34593B" w14:textId="77777777" w:rsidR="008A58D5" w:rsidRPr="004276F4" w:rsidRDefault="008A58D5" w:rsidP="008A58D5">
      <w:pPr>
        <w:pStyle w:val="BodyText"/>
        <w:rPr>
          <w:sz w:val="24"/>
          <w:szCs w:val="24"/>
        </w:rPr>
      </w:pPr>
    </w:p>
    <w:p w14:paraId="46502332" w14:textId="77777777" w:rsidR="008A58D5" w:rsidRPr="004276F4" w:rsidRDefault="008A58D5" w:rsidP="008A58D5">
      <w:pPr>
        <w:pStyle w:val="BodyText"/>
        <w:rPr>
          <w:sz w:val="24"/>
          <w:szCs w:val="24"/>
        </w:rPr>
      </w:pPr>
      <w:r w:rsidRPr="004276F4">
        <w:rPr>
          <w:sz w:val="24"/>
          <w:szCs w:val="24"/>
        </w:rPr>
        <w:t>A rolling 3-month average (a mean) is the basis for calculating and reporting performance. This is compared against a static benchmark with performance (the KPIs) reported in terms of three zones:</w:t>
      </w:r>
    </w:p>
    <w:p w14:paraId="0B630B43" w14:textId="77777777" w:rsidR="008A58D5" w:rsidRPr="004276F4" w:rsidRDefault="008A58D5" w:rsidP="008A58D5">
      <w:pPr>
        <w:rPr>
          <w:szCs w:val="24"/>
        </w:rPr>
      </w:pPr>
    </w:p>
    <w:p w14:paraId="71B3B180" w14:textId="77777777" w:rsidR="008A58D5" w:rsidRPr="004276F4" w:rsidRDefault="008A58D5" w:rsidP="008A58D5">
      <w:pPr>
        <w:pStyle w:val="ListParagraph"/>
        <w:numPr>
          <w:ilvl w:val="0"/>
          <w:numId w:val="2"/>
        </w:numPr>
        <w:ind w:left="360"/>
        <w:rPr>
          <w:szCs w:val="24"/>
        </w:rPr>
      </w:pPr>
      <w:r w:rsidRPr="004276F4">
        <w:rPr>
          <w:szCs w:val="24"/>
        </w:rPr>
        <w:t>Met (the benchmark)</w:t>
      </w:r>
    </w:p>
    <w:p w14:paraId="15AD6321" w14:textId="77777777" w:rsidR="008A58D5" w:rsidRPr="004276F4" w:rsidRDefault="008A58D5" w:rsidP="008A58D5">
      <w:pPr>
        <w:pStyle w:val="ListParagraph"/>
        <w:numPr>
          <w:ilvl w:val="0"/>
          <w:numId w:val="2"/>
        </w:numPr>
        <w:ind w:left="360"/>
        <w:rPr>
          <w:szCs w:val="24"/>
        </w:rPr>
      </w:pPr>
      <w:r w:rsidRPr="004276F4">
        <w:rPr>
          <w:szCs w:val="24"/>
        </w:rPr>
        <w:t>Worse than (the benchmark)</w:t>
      </w:r>
    </w:p>
    <w:p w14:paraId="37C0A48F" w14:textId="77777777" w:rsidR="008A58D5" w:rsidRPr="004276F4" w:rsidRDefault="008A58D5" w:rsidP="008A58D5">
      <w:pPr>
        <w:pStyle w:val="ListParagraph"/>
        <w:numPr>
          <w:ilvl w:val="0"/>
          <w:numId w:val="2"/>
        </w:numPr>
        <w:ind w:left="360"/>
        <w:rPr>
          <w:szCs w:val="24"/>
        </w:rPr>
      </w:pPr>
      <w:r w:rsidRPr="004276F4">
        <w:rPr>
          <w:szCs w:val="24"/>
        </w:rPr>
        <w:t>Better than (the benchmark)</w:t>
      </w:r>
    </w:p>
    <w:p w14:paraId="7475C4EF" w14:textId="77777777" w:rsidR="008A58D5" w:rsidRPr="004276F4" w:rsidRDefault="008A58D5" w:rsidP="008A58D5">
      <w:pPr>
        <w:pStyle w:val="BodyText"/>
        <w:rPr>
          <w:sz w:val="24"/>
          <w:szCs w:val="24"/>
        </w:rPr>
      </w:pPr>
      <w:r w:rsidRPr="004276F4">
        <w:rPr>
          <w:sz w:val="24"/>
          <w:szCs w:val="24"/>
        </w:rPr>
        <w:t xml:space="preserve">  </w:t>
      </w:r>
    </w:p>
    <w:p w14:paraId="6510ED7F" w14:textId="77777777" w:rsidR="008A58D5" w:rsidRPr="004276F4" w:rsidRDefault="008A58D5" w:rsidP="008A58D5">
      <w:pPr>
        <w:pStyle w:val="BodyText"/>
        <w:rPr>
          <w:sz w:val="24"/>
          <w:szCs w:val="24"/>
        </w:rPr>
      </w:pPr>
      <w:r w:rsidRPr="004276F4">
        <w:rPr>
          <w:sz w:val="24"/>
          <w:szCs w:val="24"/>
        </w:rPr>
        <w:t>A green-yellow-blue</w:t>
      </w:r>
      <w:r w:rsidRPr="004276F4">
        <w:rPr>
          <w:sz w:val="24"/>
          <w:szCs w:val="24"/>
          <w:lang w:val="en-GB"/>
        </w:rPr>
        <w:t xml:space="preserve"> colour</w:t>
      </w:r>
      <w:r w:rsidRPr="004276F4">
        <w:rPr>
          <w:sz w:val="24"/>
          <w:szCs w:val="24"/>
        </w:rPr>
        <w:t xml:space="preserve"> highlighting scheme is used. Green indicates a benchmark is being met. Yellow highlights the ‘Worse than’ zone and blue highlights the ‘Better than’ zone.</w:t>
      </w:r>
    </w:p>
    <w:p w14:paraId="557417E6" w14:textId="77777777" w:rsidR="008A58D5" w:rsidRPr="004276F4" w:rsidRDefault="008A58D5" w:rsidP="008A58D5">
      <w:pPr>
        <w:pStyle w:val="BodyText"/>
        <w:rPr>
          <w:sz w:val="24"/>
          <w:szCs w:val="24"/>
        </w:rPr>
      </w:pPr>
    </w:p>
    <w:p w14:paraId="61C5A892" w14:textId="77777777" w:rsidR="008A58D5" w:rsidRPr="004276F4" w:rsidRDefault="008A58D5" w:rsidP="008A58D5">
      <w:pPr>
        <w:pStyle w:val="BodyText"/>
        <w:rPr>
          <w:sz w:val="24"/>
          <w:szCs w:val="24"/>
        </w:rPr>
      </w:pPr>
      <w:r w:rsidRPr="004276F4">
        <w:rPr>
          <w:sz w:val="24"/>
          <w:szCs w:val="24"/>
        </w:rPr>
        <w:t>The Met zone is defined initially as the benchmark plus or minus a percentage figure (typically between 1 &amp; 12.5%</w:t>
      </w:r>
      <w:r w:rsidRPr="004276F4">
        <w:rPr>
          <w:rStyle w:val="FootnoteReference"/>
          <w:sz w:val="24"/>
          <w:szCs w:val="24"/>
        </w:rPr>
        <w:footnoteReference w:id="2"/>
      </w:r>
      <w:r w:rsidRPr="004276F4">
        <w:rPr>
          <w:sz w:val="24"/>
          <w:szCs w:val="24"/>
        </w:rPr>
        <w:t xml:space="preserve">). The ‘Better than’ and ‘Worse than’ zones are above or below the Met zone – depending on the type of measure. For example with the First Decision % Granted measure, in general, higher figures are better.  So the ‘Better than’ zone is above the Met zone, </w:t>
      </w:r>
      <w:r>
        <w:rPr>
          <w:sz w:val="24"/>
          <w:szCs w:val="24"/>
        </w:rPr>
        <w:t>that is</w:t>
      </w:r>
      <w:r w:rsidRPr="004276F4">
        <w:rPr>
          <w:sz w:val="24"/>
          <w:szCs w:val="24"/>
        </w:rPr>
        <w:t xml:space="preserve"> above 101% of the benchmark for Civil AWI. But we aren’t necessarily aiming to be as high as possible – we may find issues with accuracy and quality if we get too high or we may need to expend a disproportionate amount of effort to achieve the KPI benchmark.</w:t>
      </w:r>
    </w:p>
    <w:p w14:paraId="76E0D6F5" w14:textId="77777777" w:rsidR="008A58D5" w:rsidRPr="004276F4" w:rsidRDefault="008A58D5" w:rsidP="008A58D5">
      <w:pPr>
        <w:pStyle w:val="BodyText"/>
        <w:rPr>
          <w:sz w:val="24"/>
          <w:szCs w:val="24"/>
        </w:rPr>
      </w:pPr>
      <w:r w:rsidRPr="004276F4">
        <w:rPr>
          <w:sz w:val="24"/>
          <w:szCs w:val="24"/>
        </w:rPr>
        <w:lastRenderedPageBreak/>
        <w:t>With the Duration and Further Work ratio measures the ‘Better than’ zones are below the benchmark (less than 95% or 90% of the benchmark depending on the specific KPI zone).</w:t>
      </w:r>
    </w:p>
    <w:p w14:paraId="2AA360C1" w14:textId="77777777" w:rsidR="008A58D5" w:rsidRPr="004276F4" w:rsidRDefault="008A58D5" w:rsidP="008A58D5">
      <w:pPr>
        <w:pStyle w:val="BodyText"/>
        <w:rPr>
          <w:sz w:val="24"/>
          <w:szCs w:val="24"/>
        </w:rPr>
      </w:pPr>
    </w:p>
    <w:p w14:paraId="58C38761" w14:textId="77777777" w:rsidR="008A58D5" w:rsidRPr="004276F4" w:rsidRDefault="008A58D5" w:rsidP="008A58D5">
      <w:pPr>
        <w:pStyle w:val="BodyText"/>
        <w:rPr>
          <w:bCs/>
          <w:sz w:val="24"/>
          <w:szCs w:val="24"/>
        </w:rPr>
      </w:pPr>
      <w:r w:rsidRPr="004276F4">
        <w:rPr>
          <w:sz w:val="24"/>
          <w:szCs w:val="24"/>
        </w:rPr>
        <w:t xml:space="preserve">All measures are calculated for the most recent </w:t>
      </w:r>
      <w:r>
        <w:rPr>
          <w:sz w:val="24"/>
          <w:szCs w:val="24"/>
        </w:rPr>
        <w:t>three</w:t>
      </w:r>
      <w:r w:rsidRPr="004276F4">
        <w:rPr>
          <w:sz w:val="24"/>
          <w:szCs w:val="24"/>
        </w:rPr>
        <w:t xml:space="preserve">-month period and the 11 previous results are also shown so that trends over </w:t>
      </w:r>
      <w:r>
        <w:rPr>
          <w:sz w:val="24"/>
          <w:szCs w:val="24"/>
        </w:rPr>
        <w:t>one</w:t>
      </w:r>
      <w:r w:rsidRPr="004276F4">
        <w:rPr>
          <w:sz w:val="24"/>
          <w:szCs w:val="24"/>
        </w:rPr>
        <w:t xml:space="preserve"> year can be seen.</w:t>
      </w:r>
    </w:p>
    <w:p w14:paraId="602D8813" w14:textId="77777777" w:rsidR="008A58D5" w:rsidRDefault="008A58D5" w:rsidP="008A58D5">
      <w:pPr>
        <w:pStyle w:val="BodyText"/>
      </w:pPr>
    </w:p>
    <w:p w14:paraId="4DCA3A10" w14:textId="77777777" w:rsidR="008A58D5" w:rsidRPr="00E5184A" w:rsidRDefault="008A58D5" w:rsidP="008A58D5">
      <w:pPr>
        <w:pStyle w:val="Heading2"/>
      </w:pPr>
      <w:r>
        <w:t xml:space="preserve">DESCRIPTION OF MEASURES </w:t>
      </w:r>
      <w:r w:rsidRPr="00E5184A">
        <w:t xml:space="preserve">IN </w:t>
      </w:r>
      <w:r>
        <w:t xml:space="preserve">THE </w:t>
      </w:r>
      <w:r w:rsidRPr="00E5184A">
        <w:t>SOPOR</w:t>
      </w:r>
    </w:p>
    <w:p w14:paraId="622246A3" w14:textId="77777777" w:rsidR="008A58D5" w:rsidRPr="00E5184A" w:rsidRDefault="008A58D5" w:rsidP="008A58D5">
      <w:pPr>
        <w:pStyle w:val="BodyText"/>
      </w:pPr>
    </w:p>
    <w:p w14:paraId="57FCB859" w14:textId="77777777" w:rsidR="008A58D5" w:rsidRPr="004276F4" w:rsidRDefault="008A58D5" w:rsidP="008A58D5">
      <w:pPr>
        <w:pStyle w:val="BodyText"/>
        <w:rPr>
          <w:b/>
          <w:bCs/>
          <w:sz w:val="24"/>
          <w:szCs w:val="24"/>
        </w:rPr>
      </w:pPr>
      <w:r w:rsidRPr="004276F4">
        <w:rPr>
          <w:b/>
          <w:bCs/>
          <w:sz w:val="24"/>
          <w:szCs w:val="24"/>
        </w:rPr>
        <w:t xml:space="preserve">Duration </w:t>
      </w:r>
    </w:p>
    <w:p w14:paraId="15392612" w14:textId="77777777" w:rsidR="008A58D5" w:rsidRPr="004276F4" w:rsidRDefault="008A58D5" w:rsidP="008A58D5">
      <w:pPr>
        <w:pStyle w:val="BodyText"/>
        <w:rPr>
          <w:sz w:val="24"/>
          <w:szCs w:val="24"/>
        </w:rPr>
      </w:pPr>
      <w:r w:rsidRPr="004276F4">
        <w:rPr>
          <w:sz w:val="24"/>
          <w:szCs w:val="24"/>
        </w:rPr>
        <w:t>The key duration shown for applications is the average time, in calendar days, from receipt of a main legal aid application by SLAB, to when we take the first official decision on it. This duration includes all weekends and holidays.</w:t>
      </w:r>
      <w:r>
        <w:rPr>
          <w:sz w:val="24"/>
          <w:szCs w:val="24"/>
        </w:rPr>
        <w:t xml:space="preserve"> </w:t>
      </w:r>
      <w:r w:rsidRPr="004276F4">
        <w:rPr>
          <w:sz w:val="24"/>
          <w:szCs w:val="24"/>
        </w:rPr>
        <w:t>It also includes any period where we are asking the solicitor, or applicant, for more information to help us take the decision.</w:t>
      </w:r>
    </w:p>
    <w:p w14:paraId="4C763E0E" w14:textId="77777777" w:rsidR="008A58D5" w:rsidRPr="004276F4" w:rsidRDefault="008A58D5" w:rsidP="008A58D5">
      <w:pPr>
        <w:pStyle w:val="BodyText"/>
        <w:rPr>
          <w:sz w:val="24"/>
          <w:szCs w:val="24"/>
        </w:rPr>
      </w:pPr>
    </w:p>
    <w:p w14:paraId="6F377DCB" w14:textId="77777777" w:rsidR="008A58D5" w:rsidRPr="004276F4" w:rsidRDefault="008A58D5" w:rsidP="008A58D5">
      <w:pPr>
        <w:pStyle w:val="BodyText"/>
        <w:rPr>
          <w:sz w:val="24"/>
          <w:szCs w:val="24"/>
        </w:rPr>
      </w:pPr>
      <w:r w:rsidRPr="004276F4">
        <w:rPr>
          <w:sz w:val="24"/>
          <w:szCs w:val="24"/>
        </w:rPr>
        <w:t xml:space="preserve">This indicator measures both the workflow performance of SLAB but also the degree to which solicitors and applicants are managing to provide all necessary information.  </w:t>
      </w:r>
    </w:p>
    <w:p w14:paraId="3EE1C55D" w14:textId="77777777" w:rsidR="008A58D5" w:rsidRPr="004276F4" w:rsidRDefault="008A58D5" w:rsidP="008A58D5">
      <w:pPr>
        <w:pStyle w:val="BodyText"/>
        <w:rPr>
          <w:sz w:val="24"/>
          <w:szCs w:val="24"/>
        </w:rPr>
      </w:pPr>
      <w:r w:rsidRPr="004276F4">
        <w:rPr>
          <w:sz w:val="24"/>
          <w:szCs w:val="24"/>
        </w:rPr>
        <w:t xml:space="preserve">Simply put </w:t>
      </w:r>
      <w:r w:rsidRPr="004276F4">
        <w:rPr>
          <w:b/>
          <w:bCs/>
          <w:sz w:val="24"/>
          <w:szCs w:val="24"/>
          <w:u w:val="single"/>
        </w:rPr>
        <w:t>lower</w:t>
      </w:r>
      <w:r w:rsidRPr="004276F4">
        <w:rPr>
          <w:sz w:val="24"/>
          <w:szCs w:val="24"/>
        </w:rPr>
        <w:t xml:space="preserve"> is better.</w:t>
      </w:r>
    </w:p>
    <w:p w14:paraId="765D5AEC" w14:textId="77777777" w:rsidR="008A58D5" w:rsidRPr="004276F4" w:rsidRDefault="008A58D5" w:rsidP="008A58D5">
      <w:pPr>
        <w:pStyle w:val="BodyText"/>
        <w:rPr>
          <w:sz w:val="24"/>
          <w:szCs w:val="24"/>
        </w:rPr>
      </w:pPr>
    </w:p>
    <w:p w14:paraId="7675FD47" w14:textId="77777777" w:rsidR="008A58D5" w:rsidRPr="004276F4" w:rsidRDefault="008A58D5" w:rsidP="008A58D5">
      <w:pPr>
        <w:pStyle w:val="BodyText"/>
        <w:rPr>
          <w:sz w:val="24"/>
          <w:szCs w:val="24"/>
        </w:rPr>
      </w:pPr>
      <w:r w:rsidRPr="004276F4">
        <w:rPr>
          <w:sz w:val="24"/>
          <w:szCs w:val="24"/>
        </w:rPr>
        <w:t>In accounts the first instance duration is a very similar measure – it is from registration of the account to the date payment is received into the solicitor’s bank account. It is in calendar days and again includes any period where we are asking the solicitor for more information to help us assess the account.</w:t>
      </w:r>
    </w:p>
    <w:p w14:paraId="27827C37" w14:textId="77777777" w:rsidR="008A58D5" w:rsidRPr="004276F4" w:rsidRDefault="008A58D5" w:rsidP="008A58D5">
      <w:pPr>
        <w:pStyle w:val="BodyText"/>
        <w:rPr>
          <w:sz w:val="24"/>
          <w:szCs w:val="24"/>
        </w:rPr>
      </w:pPr>
    </w:p>
    <w:p w14:paraId="53E4015A" w14:textId="77777777" w:rsidR="008A58D5" w:rsidRPr="004276F4" w:rsidRDefault="008A58D5" w:rsidP="008A58D5">
      <w:pPr>
        <w:pStyle w:val="BodyText"/>
        <w:rPr>
          <w:sz w:val="24"/>
          <w:szCs w:val="24"/>
        </w:rPr>
      </w:pPr>
      <w:r w:rsidRPr="004276F4">
        <w:rPr>
          <w:sz w:val="24"/>
          <w:szCs w:val="24"/>
        </w:rPr>
        <w:t xml:space="preserve">The negotiation duration is the same measure but for accounts that are follow-up accounts to negotiate sums that we have abated from initial accounts. </w:t>
      </w:r>
    </w:p>
    <w:p w14:paraId="6D14BC73" w14:textId="77777777" w:rsidR="008A58D5" w:rsidRPr="004276F4" w:rsidRDefault="008A58D5" w:rsidP="008A58D5">
      <w:pPr>
        <w:pStyle w:val="BodyText"/>
        <w:rPr>
          <w:sz w:val="24"/>
          <w:szCs w:val="24"/>
        </w:rPr>
      </w:pPr>
    </w:p>
    <w:p w14:paraId="4F8E710D" w14:textId="77777777" w:rsidR="008A58D5" w:rsidRPr="004276F4" w:rsidRDefault="008A58D5" w:rsidP="008A58D5">
      <w:pPr>
        <w:pStyle w:val="BodyText"/>
        <w:rPr>
          <w:b/>
          <w:bCs/>
          <w:sz w:val="24"/>
          <w:szCs w:val="24"/>
        </w:rPr>
      </w:pPr>
      <w:r w:rsidRPr="004276F4">
        <w:rPr>
          <w:b/>
          <w:bCs/>
          <w:sz w:val="24"/>
          <w:szCs w:val="24"/>
        </w:rPr>
        <w:t>Grant/paid in full rate</w:t>
      </w:r>
    </w:p>
    <w:p w14:paraId="2693E182" w14:textId="77777777" w:rsidR="008A58D5" w:rsidRPr="004276F4" w:rsidRDefault="008A58D5" w:rsidP="008A58D5">
      <w:pPr>
        <w:pStyle w:val="BodyText"/>
        <w:rPr>
          <w:sz w:val="24"/>
          <w:szCs w:val="24"/>
        </w:rPr>
      </w:pPr>
      <w:r w:rsidRPr="004276F4">
        <w:rPr>
          <w:sz w:val="24"/>
          <w:szCs w:val="24"/>
        </w:rPr>
        <w:t xml:space="preserve">The first official decision on a legal aid application can be one of </w:t>
      </w:r>
      <w:r>
        <w:rPr>
          <w:sz w:val="24"/>
          <w:szCs w:val="24"/>
        </w:rPr>
        <w:t>three</w:t>
      </w:r>
      <w:r w:rsidRPr="004276F4">
        <w:rPr>
          <w:sz w:val="24"/>
          <w:szCs w:val="24"/>
        </w:rPr>
        <w:t xml:space="preserve"> main types: grant; refuse; or not consider due to lack of information. The percent granted measure is the number of grants divided by (indexed) by the total number of first decisions in the period and expressed as a percentage.  </w:t>
      </w:r>
    </w:p>
    <w:p w14:paraId="123EED47" w14:textId="77777777" w:rsidR="008A58D5" w:rsidRPr="004276F4" w:rsidRDefault="008A58D5" w:rsidP="008A58D5">
      <w:pPr>
        <w:pStyle w:val="BodyText"/>
        <w:rPr>
          <w:sz w:val="24"/>
          <w:szCs w:val="24"/>
        </w:rPr>
      </w:pPr>
    </w:p>
    <w:p w14:paraId="1321875A" w14:textId="77777777" w:rsidR="008A58D5" w:rsidRPr="004276F4" w:rsidRDefault="008A58D5" w:rsidP="008A58D5">
      <w:pPr>
        <w:pStyle w:val="BodyText"/>
        <w:rPr>
          <w:sz w:val="24"/>
          <w:szCs w:val="24"/>
        </w:rPr>
      </w:pPr>
      <w:r w:rsidRPr="004276F4">
        <w:rPr>
          <w:sz w:val="24"/>
          <w:szCs w:val="24"/>
        </w:rPr>
        <w:t xml:space="preserve">This indicator measures the effectiveness with which SLAB and the profession are facilitating solicitors to make appropriate and complete applications.  </w:t>
      </w:r>
    </w:p>
    <w:p w14:paraId="085230E9" w14:textId="77777777" w:rsidR="008A58D5" w:rsidRPr="004276F4" w:rsidRDefault="008A58D5" w:rsidP="008A58D5">
      <w:pPr>
        <w:pStyle w:val="BodyText"/>
        <w:rPr>
          <w:sz w:val="24"/>
          <w:szCs w:val="24"/>
        </w:rPr>
      </w:pPr>
      <w:r w:rsidRPr="004276F4">
        <w:rPr>
          <w:sz w:val="24"/>
          <w:szCs w:val="24"/>
        </w:rPr>
        <w:t xml:space="preserve">Simply put </w:t>
      </w:r>
      <w:r w:rsidRPr="004276F4">
        <w:rPr>
          <w:b/>
          <w:bCs/>
          <w:sz w:val="24"/>
          <w:szCs w:val="24"/>
          <w:u w:val="single"/>
        </w:rPr>
        <w:t>higher</w:t>
      </w:r>
      <w:r w:rsidRPr="004276F4">
        <w:rPr>
          <w:sz w:val="24"/>
          <w:szCs w:val="24"/>
        </w:rPr>
        <w:t xml:space="preserve"> is better.</w:t>
      </w:r>
    </w:p>
    <w:p w14:paraId="542B0A5F" w14:textId="77777777" w:rsidR="008A58D5" w:rsidRPr="004276F4" w:rsidRDefault="008A58D5" w:rsidP="008A58D5">
      <w:pPr>
        <w:pStyle w:val="BodyText"/>
        <w:rPr>
          <w:sz w:val="24"/>
          <w:szCs w:val="24"/>
        </w:rPr>
      </w:pPr>
    </w:p>
    <w:p w14:paraId="1239D367" w14:textId="77777777" w:rsidR="008A58D5" w:rsidRPr="004276F4" w:rsidRDefault="008A58D5" w:rsidP="008A58D5">
      <w:pPr>
        <w:pStyle w:val="BodyText"/>
        <w:rPr>
          <w:sz w:val="24"/>
          <w:szCs w:val="24"/>
        </w:rPr>
      </w:pPr>
      <w:r w:rsidRPr="004276F4">
        <w:rPr>
          <w:sz w:val="24"/>
          <w:szCs w:val="24"/>
        </w:rPr>
        <w:t>In accounts the equivalent measure is the percent of accounts that we can pay all that solicitors are claiming</w:t>
      </w:r>
      <w:r>
        <w:rPr>
          <w:sz w:val="24"/>
          <w:szCs w:val="24"/>
        </w:rPr>
        <w:t xml:space="preserve"> (</w:t>
      </w:r>
      <w:r w:rsidRPr="004276F4">
        <w:rPr>
          <w:sz w:val="24"/>
          <w:szCs w:val="24"/>
        </w:rPr>
        <w:t>without abating them</w:t>
      </w:r>
      <w:r>
        <w:rPr>
          <w:sz w:val="24"/>
          <w:szCs w:val="24"/>
        </w:rPr>
        <w:t>)</w:t>
      </w:r>
      <w:r w:rsidRPr="004276F4">
        <w:rPr>
          <w:sz w:val="24"/>
          <w:szCs w:val="24"/>
        </w:rPr>
        <w:t xml:space="preserve">.  </w:t>
      </w:r>
    </w:p>
    <w:p w14:paraId="4F6FD7AE" w14:textId="77777777" w:rsidR="008A58D5" w:rsidRPr="004276F4" w:rsidRDefault="008A58D5" w:rsidP="008A58D5">
      <w:pPr>
        <w:pStyle w:val="BodyText"/>
        <w:rPr>
          <w:sz w:val="24"/>
          <w:szCs w:val="24"/>
        </w:rPr>
      </w:pPr>
    </w:p>
    <w:p w14:paraId="10B21012" w14:textId="77777777" w:rsidR="008A58D5" w:rsidRPr="004276F4" w:rsidRDefault="008A58D5" w:rsidP="008A58D5">
      <w:pPr>
        <w:pStyle w:val="BodyText"/>
        <w:rPr>
          <w:sz w:val="24"/>
          <w:szCs w:val="24"/>
        </w:rPr>
      </w:pPr>
      <w:r w:rsidRPr="004276F4">
        <w:rPr>
          <w:sz w:val="24"/>
          <w:szCs w:val="24"/>
        </w:rPr>
        <w:t>‘Abatement’ describes the process by which the amount paid by SLAB includes one or more deductions from the amount claimed by a solicitor. This can occur for many different reasons. Subsequent negotiations with firms can result in part or all the sum abated being reinstated, often because we are provided with further information that allows us to be satisfied that a claim is valid or reasonable. This can be additional information (such as vouching) to support a claim, or an explanation to justify a particular activity which had appeared to us on the face of it to be unnecessary, unreasonable or uneconomical.</w:t>
      </w:r>
    </w:p>
    <w:p w14:paraId="1A1F3E8F" w14:textId="77777777" w:rsidR="008A58D5" w:rsidRPr="004276F4" w:rsidRDefault="008A58D5" w:rsidP="008A58D5">
      <w:pPr>
        <w:pStyle w:val="BodyText"/>
        <w:rPr>
          <w:sz w:val="24"/>
          <w:szCs w:val="24"/>
        </w:rPr>
      </w:pPr>
      <w:r w:rsidRPr="004276F4">
        <w:rPr>
          <w:sz w:val="24"/>
          <w:szCs w:val="24"/>
        </w:rPr>
        <w:lastRenderedPageBreak/>
        <w:t>SLAB needs to protect the Legal Aid Fund from unjustified expenditure; however this needs to be undertaken in a manner that is seen to be fair, transparent and done in a consistent and efficient manner.</w:t>
      </w:r>
    </w:p>
    <w:p w14:paraId="3BAFBA62" w14:textId="77777777" w:rsidR="008A58D5" w:rsidRPr="004276F4" w:rsidRDefault="008A58D5" w:rsidP="008A58D5">
      <w:pPr>
        <w:pStyle w:val="BodyText"/>
        <w:rPr>
          <w:sz w:val="24"/>
          <w:szCs w:val="24"/>
        </w:rPr>
      </w:pPr>
    </w:p>
    <w:p w14:paraId="5F8E118C" w14:textId="77777777" w:rsidR="008A58D5" w:rsidRPr="004276F4" w:rsidRDefault="008A58D5" w:rsidP="008A58D5">
      <w:pPr>
        <w:pStyle w:val="BodyText"/>
        <w:rPr>
          <w:sz w:val="24"/>
          <w:szCs w:val="24"/>
        </w:rPr>
      </w:pPr>
      <w:r w:rsidRPr="004276F4">
        <w:rPr>
          <w:sz w:val="24"/>
          <w:szCs w:val="24"/>
        </w:rPr>
        <w:t xml:space="preserve">Ultimately, we will be using the information on what we finally pay against, the original lodged amount and the initial payment to understand how we can ensure more could be paid at the first instance. </w:t>
      </w:r>
    </w:p>
    <w:p w14:paraId="684420CB" w14:textId="77777777" w:rsidR="008A58D5" w:rsidRPr="004276F4" w:rsidRDefault="008A58D5" w:rsidP="008A58D5">
      <w:pPr>
        <w:pStyle w:val="BodyText"/>
        <w:rPr>
          <w:sz w:val="24"/>
          <w:szCs w:val="24"/>
        </w:rPr>
      </w:pPr>
    </w:p>
    <w:p w14:paraId="18AAEC08" w14:textId="77777777" w:rsidR="008A58D5" w:rsidRPr="004276F4" w:rsidRDefault="008A58D5" w:rsidP="008A58D5">
      <w:pPr>
        <w:pStyle w:val="BodyText"/>
        <w:rPr>
          <w:b/>
          <w:bCs/>
          <w:sz w:val="24"/>
          <w:szCs w:val="24"/>
        </w:rPr>
      </w:pPr>
      <w:r w:rsidRPr="004276F4">
        <w:rPr>
          <w:b/>
          <w:bCs/>
          <w:sz w:val="24"/>
          <w:szCs w:val="24"/>
        </w:rPr>
        <w:t>Ratio of Further Work (Negotiation) to First Decision (First Instance)</w:t>
      </w:r>
    </w:p>
    <w:p w14:paraId="702DB20A" w14:textId="77777777" w:rsidR="008A58D5" w:rsidRPr="004276F4" w:rsidRDefault="008A58D5" w:rsidP="008A58D5">
      <w:pPr>
        <w:pStyle w:val="BodyText"/>
        <w:rPr>
          <w:sz w:val="24"/>
          <w:szCs w:val="24"/>
        </w:rPr>
      </w:pPr>
      <w:r w:rsidRPr="004276F4">
        <w:rPr>
          <w:sz w:val="24"/>
          <w:szCs w:val="24"/>
        </w:rPr>
        <w:t>In applications this indicator is the number of cases requiring further work divided by the total number of first decisions in the period and expressed as a percentage. In accounts it is the number of negotiation accounts paid compared with the number of first instance accounts.</w:t>
      </w:r>
    </w:p>
    <w:p w14:paraId="2414203F" w14:textId="77777777" w:rsidR="008A58D5" w:rsidRPr="004276F4" w:rsidRDefault="008A58D5" w:rsidP="008A58D5">
      <w:pPr>
        <w:pStyle w:val="BodyText"/>
        <w:rPr>
          <w:sz w:val="24"/>
          <w:szCs w:val="24"/>
        </w:rPr>
      </w:pPr>
    </w:p>
    <w:p w14:paraId="3325D90B" w14:textId="77777777" w:rsidR="008A58D5" w:rsidRPr="004276F4" w:rsidRDefault="008A58D5" w:rsidP="008A58D5">
      <w:pPr>
        <w:pStyle w:val="BodyText"/>
        <w:rPr>
          <w:sz w:val="24"/>
          <w:szCs w:val="24"/>
        </w:rPr>
      </w:pPr>
      <w:r w:rsidRPr="004276F4">
        <w:rPr>
          <w:sz w:val="24"/>
          <w:szCs w:val="24"/>
        </w:rPr>
        <w:t>This indicator measures a few different key elements of the process:</w:t>
      </w:r>
    </w:p>
    <w:p w14:paraId="4E0451C3" w14:textId="77777777" w:rsidR="008A58D5" w:rsidRPr="004276F4" w:rsidRDefault="008A58D5" w:rsidP="008A58D5">
      <w:pPr>
        <w:pStyle w:val="BodyText"/>
        <w:rPr>
          <w:sz w:val="24"/>
          <w:szCs w:val="24"/>
        </w:rPr>
      </w:pPr>
    </w:p>
    <w:p w14:paraId="16C18CB8" w14:textId="77777777" w:rsidR="008A58D5" w:rsidRPr="004276F4" w:rsidRDefault="008A58D5" w:rsidP="008A58D5">
      <w:pPr>
        <w:pStyle w:val="BodyText"/>
        <w:numPr>
          <w:ilvl w:val="0"/>
          <w:numId w:val="1"/>
        </w:numPr>
        <w:ind w:left="360"/>
        <w:rPr>
          <w:sz w:val="24"/>
          <w:szCs w:val="24"/>
        </w:rPr>
      </w:pPr>
      <w:r w:rsidRPr="004276F4">
        <w:rPr>
          <w:sz w:val="24"/>
          <w:szCs w:val="24"/>
        </w:rPr>
        <w:t>the effectiveness with which SLAB is getting correct applications/accounts in the first instance</w:t>
      </w:r>
    </w:p>
    <w:p w14:paraId="1A403162" w14:textId="77777777" w:rsidR="008A58D5" w:rsidRPr="004276F4" w:rsidRDefault="008A58D5" w:rsidP="008A58D5">
      <w:pPr>
        <w:pStyle w:val="BodyText"/>
        <w:numPr>
          <w:ilvl w:val="0"/>
          <w:numId w:val="1"/>
        </w:numPr>
        <w:ind w:left="360"/>
        <w:rPr>
          <w:sz w:val="24"/>
          <w:szCs w:val="24"/>
        </w:rPr>
      </w:pPr>
      <w:r w:rsidRPr="004276F4">
        <w:rPr>
          <w:sz w:val="24"/>
          <w:szCs w:val="24"/>
        </w:rPr>
        <w:t>that SLAB is making correct decisions</w:t>
      </w:r>
    </w:p>
    <w:p w14:paraId="2BB33B78" w14:textId="77777777" w:rsidR="008A58D5" w:rsidRPr="004276F4" w:rsidRDefault="008A58D5" w:rsidP="008A58D5">
      <w:pPr>
        <w:pStyle w:val="BodyText"/>
        <w:numPr>
          <w:ilvl w:val="0"/>
          <w:numId w:val="1"/>
        </w:numPr>
        <w:ind w:left="360"/>
        <w:rPr>
          <w:sz w:val="24"/>
          <w:szCs w:val="24"/>
        </w:rPr>
      </w:pPr>
      <w:r>
        <w:rPr>
          <w:sz w:val="24"/>
          <w:szCs w:val="24"/>
        </w:rPr>
        <w:t>t</w:t>
      </w:r>
      <w:r w:rsidRPr="004276F4">
        <w:rPr>
          <w:sz w:val="24"/>
          <w:szCs w:val="24"/>
        </w:rPr>
        <w:t>he effectiveness with which SLAB is communicating those decisions.</w:t>
      </w:r>
    </w:p>
    <w:p w14:paraId="15FD2D48" w14:textId="77777777" w:rsidR="008A58D5" w:rsidRPr="004276F4" w:rsidRDefault="008A58D5" w:rsidP="008A58D5">
      <w:pPr>
        <w:pStyle w:val="BodyText"/>
        <w:rPr>
          <w:sz w:val="24"/>
          <w:szCs w:val="24"/>
        </w:rPr>
      </w:pPr>
    </w:p>
    <w:p w14:paraId="2CBEEFF6" w14:textId="77777777" w:rsidR="008A58D5" w:rsidRPr="004276F4" w:rsidRDefault="008A58D5" w:rsidP="008A58D5">
      <w:pPr>
        <w:pStyle w:val="BodyText"/>
        <w:rPr>
          <w:sz w:val="24"/>
          <w:szCs w:val="24"/>
        </w:rPr>
      </w:pPr>
      <w:r w:rsidRPr="004276F4">
        <w:rPr>
          <w:sz w:val="24"/>
          <w:szCs w:val="24"/>
        </w:rPr>
        <w:t xml:space="preserve">Poor performance in any of those areas could result in an increase in this ratio.  Simply put </w:t>
      </w:r>
      <w:r w:rsidRPr="004276F4">
        <w:rPr>
          <w:b/>
          <w:bCs/>
          <w:sz w:val="24"/>
          <w:szCs w:val="24"/>
          <w:u w:val="single"/>
        </w:rPr>
        <w:t>lower</w:t>
      </w:r>
      <w:r w:rsidRPr="004276F4">
        <w:rPr>
          <w:sz w:val="24"/>
          <w:szCs w:val="24"/>
        </w:rPr>
        <w:t xml:space="preserve"> is better.</w:t>
      </w:r>
    </w:p>
    <w:p w14:paraId="34086AD0" w14:textId="77777777" w:rsidR="008A58D5" w:rsidRDefault="008A58D5" w:rsidP="008A58D5"/>
    <w:p w14:paraId="41F67B1D" w14:textId="77777777" w:rsidR="008A58D5" w:rsidRPr="00C16763" w:rsidRDefault="008A58D5" w:rsidP="008A58D5">
      <w:pPr>
        <w:rPr>
          <w:b/>
          <w:bCs/>
        </w:rPr>
      </w:pPr>
      <w:r w:rsidRPr="00C16763">
        <w:rPr>
          <w:b/>
          <w:bCs/>
        </w:rPr>
        <w:t>Accuracy</w:t>
      </w:r>
    </w:p>
    <w:p w14:paraId="27DDE14D" w14:textId="77777777" w:rsidR="008A58D5" w:rsidRDefault="008A58D5" w:rsidP="008A58D5">
      <w:r>
        <w:t>This is measured through sampling of cases in both the applications and accounts areas. Cases are scored with a range of 1 to 4:</w:t>
      </w:r>
    </w:p>
    <w:p w14:paraId="061911AE" w14:textId="77777777" w:rsidR="008A58D5" w:rsidRDefault="008A58D5" w:rsidP="008A58D5">
      <w:pPr>
        <w:ind w:left="851" w:hanging="425"/>
      </w:pPr>
      <w:r>
        <w:t>1 = Fundamental error – an error caused an incorrect decision to be taken</w:t>
      </w:r>
    </w:p>
    <w:p w14:paraId="0AC7F75D" w14:textId="77777777" w:rsidR="008A58D5" w:rsidRDefault="008A58D5" w:rsidP="008A58D5">
      <w:pPr>
        <w:ind w:left="851" w:hanging="425"/>
      </w:pPr>
      <w:r>
        <w:t>2 = Non=fundamental error – an error found but this did not result in an incorrect decision</w:t>
      </w:r>
    </w:p>
    <w:p w14:paraId="34695246" w14:textId="77777777" w:rsidR="008A58D5" w:rsidRDefault="008A58D5" w:rsidP="008A58D5">
      <w:pPr>
        <w:ind w:left="851" w:hanging="425"/>
      </w:pPr>
      <w:r>
        <w:t xml:space="preserve">3 = Issue – a correct decision was taken but some of the justification was </w:t>
      </w:r>
      <w:proofErr w:type="spellStart"/>
      <w:r>
        <w:t>incaccurate</w:t>
      </w:r>
      <w:proofErr w:type="spellEnd"/>
    </w:p>
    <w:p w14:paraId="478616B4" w14:textId="77777777" w:rsidR="008A58D5" w:rsidRDefault="008A58D5" w:rsidP="008A58D5">
      <w:pPr>
        <w:ind w:left="851" w:hanging="425"/>
      </w:pPr>
      <w:r>
        <w:t>4 = correct decision with the correct justification</w:t>
      </w:r>
    </w:p>
    <w:p w14:paraId="7E21D7F8" w14:textId="77777777" w:rsidR="008A58D5" w:rsidRDefault="008A58D5" w:rsidP="008A58D5"/>
    <w:p w14:paraId="04A0E56C" w14:textId="213D3E10" w:rsidR="7D857B8D" w:rsidRPr="008A58D5" w:rsidRDefault="008A58D5" w:rsidP="008A58D5">
      <w:r>
        <w:t>The percentage figure reported is the percent of measurements that are scored 4, that is, correct.</w:t>
      </w:r>
    </w:p>
    <w:sectPr w:rsidR="7D857B8D" w:rsidRPr="008A58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489B7" w14:textId="77777777" w:rsidR="000E7328" w:rsidRDefault="000E7328" w:rsidP="00F77A60">
      <w:r>
        <w:separator/>
      </w:r>
    </w:p>
  </w:endnote>
  <w:endnote w:type="continuationSeparator" w:id="0">
    <w:p w14:paraId="68AFD92A" w14:textId="77777777" w:rsidR="000E7328" w:rsidRDefault="000E7328" w:rsidP="00F77A60">
      <w:r>
        <w:continuationSeparator/>
      </w:r>
    </w:p>
  </w:endnote>
  <w:endnote w:type="continuationNotice" w:id="1">
    <w:p w14:paraId="3A0AA63B" w14:textId="77777777" w:rsidR="000E7328" w:rsidRDefault="000E7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6442A" w14:textId="05EBD524" w:rsidR="00190AC5" w:rsidRDefault="00E962EE">
    <w:pPr>
      <w:pStyle w:val="Footer"/>
      <w:jc w:val="right"/>
    </w:pPr>
    <w:r w:rsidRPr="00101A53">
      <w:rPr>
        <w:i/>
      </w:rPr>
      <w:t>The Scottish Legal Aid Board</w:t>
    </w:r>
    <w:r>
      <w:t xml:space="preserve">, </w:t>
    </w:r>
    <w:r w:rsidRPr="00E962EE">
      <w:rPr>
        <w:i/>
        <w:iCs/>
      </w:rPr>
      <w:t>Performance Report SLAB 2024</w:t>
    </w:r>
  </w:p>
  <w:p w14:paraId="31F1F3D9" w14:textId="77777777" w:rsidR="00CC5CAD" w:rsidRDefault="00CC5CAD" w:rsidP="00190AC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4B8E0" w14:textId="6390B835" w:rsidR="00CC5CAD" w:rsidRPr="007D6FE2" w:rsidRDefault="00CC5CAD" w:rsidP="00190AC5">
    <w:pPr>
      <w:pStyle w:val="Footer"/>
      <w:jc w:val="right"/>
      <w:rPr>
        <w:iCs/>
        <w:sz w:val="20"/>
        <w:szCs w:val="20"/>
      </w:rPr>
    </w:pPr>
    <w:bookmarkStart w:id="0" w:name="_Hlk158649060"/>
    <w:r w:rsidRPr="007D6FE2">
      <w:rPr>
        <w:iCs/>
        <w:sz w:val="20"/>
        <w:szCs w:val="20"/>
      </w:rPr>
      <w:t>The Scottish Legal Aid Board</w:t>
    </w:r>
    <w:r w:rsidR="00EB1AB5" w:rsidRPr="007D6FE2">
      <w:rPr>
        <w:iCs/>
        <w:sz w:val="20"/>
        <w:szCs w:val="20"/>
      </w:rPr>
      <w:t xml:space="preserve"> </w:t>
    </w:r>
    <w:r w:rsidR="00902A35" w:rsidRPr="007D6FE2">
      <w:rPr>
        <w:iCs/>
        <w:sz w:val="20"/>
        <w:szCs w:val="20"/>
      </w:rPr>
      <w:t>-</w:t>
    </w:r>
    <w:r w:rsidR="00EB1AB5" w:rsidRPr="007D6FE2">
      <w:rPr>
        <w:iCs/>
        <w:sz w:val="20"/>
        <w:szCs w:val="20"/>
      </w:rPr>
      <w:t xml:space="preserve"> </w:t>
    </w:r>
    <w:r w:rsidR="00902A35" w:rsidRPr="007D6FE2">
      <w:rPr>
        <w:iCs/>
        <w:sz w:val="20"/>
        <w:szCs w:val="20"/>
      </w:rPr>
      <w:t>Board</w:t>
    </w:r>
    <w:r w:rsidR="00FA5DC8" w:rsidRPr="007D6FE2">
      <w:rPr>
        <w:iCs/>
        <w:sz w:val="20"/>
        <w:szCs w:val="20"/>
      </w:rPr>
      <w:t xml:space="preserve"> Report</w:t>
    </w:r>
    <w:r w:rsidR="00902A35" w:rsidRPr="007D6FE2">
      <w:rPr>
        <w:iCs/>
        <w:sz w:val="20"/>
        <w:szCs w:val="20"/>
      </w:rPr>
      <w:t>,</w:t>
    </w:r>
    <w:r w:rsidR="00FA5DC8" w:rsidRPr="007D6FE2">
      <w:rPr>
        <w:iCs/>
        <w:sz w:val="20"/>
        <w:szCs w:val="20"/>
      </w:rPr>
      <w:t xml:space="preserve"> </w:t>
    </w:r>
    <w:r w:rsidR="00E962EE" w:rsidRPr="007D6FE2">
      <w:rPr>
        <w:iCs/>
        <w:sz w:val="20"/>
        <w:szCs w:val="20"/>
      </w:rPr>
      <w:t>SLAB</w:t>
    </w:r>
    <w:r w:rsidR="00EB1AB5" w:rsidRPr="007D6FE2">
      <w:rPr>
        <w:iCs/>
        <w:sz w:val="20"/>
        <w:szCs w:val="20"/>
      </w:rPr>
      <w:t>/</w:t>
    </w:r>
    <w:r w:rsidR="00E962EE" w:rsidRPr="007D6FE2">
      <w:rPr>
        <w:iCs/>
        <w:sz w:val="20"/>
        <w:szCs w:val="20"/>
      </w:rPr>
      <w:t>2024</w:t>
    </w:r>
    <w:r w:rsidR="00EB1AB5" w:rsidRPr="007D6FE2">
      <w:rPr>
        <w:iCs/>
        <w:sz w:val="20"/>
        <w:szCs w:val="20"/>
      </w:rPr>
      <w:t>/12</w:t>
    </w:r>
    <w:r w:rsidRPr="007D6FE2">
      <w:rPr>
        <w:iCs/>
        <w:sz w:val="20"/>
        <w:szCs w:val="20"/>
      </w:rPr>
      <w:t xml:space="preserve">    </w:t>
    </w:r>
    <w:bookmarkEnd w:id="0"/>
    <w:r w:rsidRPr="007D6FE2">
      <w:rPr>
        <w:b/>
        <w:iCs/>
        <w:color w:val="2B579A"/>
        <w:sz w:val="20"/>
        <w:szCs w:val="20"/>
        <w:shd w:val="clear" w:color="auto" w:fill="E6E6E6"/>
      </w:rPr>
      <w:fldChar w:fldCharType="begin"/>
    </w:r>
    <w:r w:rsidRPr="007D6FE2">
      <w:rPr>
        <w:b/>
        <w:iCs/>
        <w:sz w:val="20"/>
        <w:szCs w:val="20"/>
      </w:rPr>
      <w:instrText xml:space="preserve"> PAGE   \* MERGEFORMAT </w:instrText>
    </w:r>
    <w:r w:rsidRPr="007D6FE2">
      <w:rPr>
        <w:b/>
        <w:iCs/>
        <w:color w:val="2B579A"/>
        <w:sz w:val="20"/>
        <w:szCs w:val="20"/>
        <w:shd w:val="clear" w:color="auto" w:fill="E6E6E6"/>
      </w:rPr>
      <w:fldChar w:fldCharType="separate"/>
    </w:r>
    <w:r w:rsidR="00AE7099" w:rsidRPr="007D6FE2">
      <w:rPr>
        <w:b/>
        <w:iCs/>
        <w:noProof/>
        <w:sz w:val="20"/>
        <w:szCs w:val="20"/>
      </w:rPr>
      <w:t>1</w:t>
    </w:r>
    <w:r w:rsidRPr="007D6FE2">
      <w:rPr>
        <w:b/>
        <w:iCs/>
        <w:noProof/>
        <w:color w:val="2B579A"/>
        <w:sz w:val="20"/>
        <w:szCs w:val="20"/>
        <w:shd w:val="clear" w:color="auto" w:fill="E6E6E6"/>
      </w:rPr>
      <w:fldChar w:fldCharType="end"/>
    </w:r>
  </w:p>
  <w:p w14:paraId="4ED544DD" w14:textId="77777777" w:rsidR="00CC5CAD" w:rsidRDefault="00CC5CAD" w:rsidP="00190AC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ECC03" w14:textId="77777777" w:rsidR="00283516" w:rsidRDefault="002835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B31B8" w14:textId="5F316664" w:rsidR="00283516" w:rsidRDefault="00E962EE" w:rsidP="00E962EE">
    <w:pPr>
      <w:pStyle w:val="Footer"/>
      <w:jc w:val="right"/>
    </w:pPr>
    <w:r>
      <w:rPr>
        <w:i/>
      </w:rPr>
      <w:tab/>
    </w:r>
    <w:r w:rsidRPr="008A58D5">
      <w:rPr>
        <w:iCs/>
      </w:rPr>
      <w:t xml:space="preserve">      Scottish Legal Aid Board, Performance Report SLAB 2024-12</w:t>
    </w:r>
    <w:r w:rsidRPr="00E962EE">
      <w:rPr>
        <w:i/>
        <w:iCs/>
      </w:rPr>
      <w:t xml:space="preserve"> </w:t>
    </w:r>
    <w:r w:rsidRPr="00101A53">
      <w:t xml:space="preserve">   </w:t>
    </w:r>
    <w:r w:rsidR="00283516" w:rsidRPr="008A58D5">
      <w:rPr>
        <w:bCs/>
        <w:shd w:val="clear" w:color="auto" w:fill="E6E6E6"/>
      </w:rPr>
      <w:fldChar w:fldCharType="begin"/>
    </w:r>
    <w:r w:rsidR="00283516" w:rsidRPr="008A58D5">
      <w:rPr>
        <w:bCs/>
      </w:rPr>
      <w:instrText xml:space="preserve"> PAGE   \* MERGEFORMAT </w:instrText>
    </w:r>
    <w:r w:rsidR="00283516" w:rsidRPr="008A58D5">
      <w:rPr>
        <w:bCs/>
        <w:shd w:val="clear" w:color="auto" w:fill="E6E6E6"/>
      </w:rPr>
      <w:fldChar w:fldCharType="separate"/>
    </w:r>
    <w:r w:rsidR="00AE7099" w:rsidRPr="008A58D5">
      <w:rPr>
        <w:bCs/>
        <w:noProof/>
      </w:rPr>
      <w:t>11</w:t>
    </w:r>
    <w:r w:rsidR="00283516" w:rsidRPr="008A58D5">
      <w:rPr>
        <w:bCs/>
        <w:noProof/>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D54FF" w14:textId="77777777" w:rsidR="00283516" w:rsidRPr="00101A53" w:rsidRDefault="00283516" w:rsidP="00461223">
    <w:pPr>
      <w:pStyle w:val="Footer"/>
    </w:pPr>
    <w:r w:rsidRPr="00101A53">
      <w:rPr>
        <w:i/>
      </w:rPr>
      <w:t>The Scottish Legal Aid Board</w:t>
    </w:r>
    <w:r w:rsidRPr="00101A53">
      <w:t xml:space="preserve">     </w:t>
    </w:r>
    <w:r w:rsidRPr="00101A53">
      <w:rPr>
        <w:b/>
        <w:color w:val="2B579A"/>
        <w:shd w:val="clear" w:color="auto" w:fill="E6E6E6"/>
      </w:rPr>
      <w:fldChar w:fldCharType="begin"/>
    </w:r>
    <w:r w:rsidRPr="00101A53">
      <w:rPr>
        <w:b/>
      </w:rPr>
      <w:instrText xml:space="preserve"> PAGE   \* MERGEFORMAT </w:instrText>
    </w:r>
    <w:r w:rsidRPr="00101A53">
      <w:rPr>
        <w:b/>
        <w:color w:val="2B579A"/>
        <w:shd w:val="clear" w:color="auto" w:fill="E6E6E6"/>
      </w:rPr>
      <w:fldChar w:fldCharType="separate"/>
    </w:r>
    <w:r>
      <w:rPr>
        <w:b/>
        <w:noProof/>
      </w:rPr>
      <w:t>5</w:t>
    </w:r>
    <w:r w:rsidRPr="00101A53">
      <w:rPr>
        <w:b/>
        <w:noProof/>
        <w:color w:val="2B579A"/>
        <w:shd w:val="clear" w:color="auto" w:fill="E6E6E6"/>
      </w:rPr>
      <w:fldChar w:fldCharType="end"/>
    </w:r>
  </w:p>
  <w:p w14:paraId="6FE27B39" w14:textId="77777777" w:rsidR="00283516" w:rsidRDefault="00283516" w:rsidP="0046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2C465" w14:textId="77777777" w:rsidR="000E7328" w:rsidRDefault="000E7328" w:rsidP="00F77A60">
      <w:r>
        <w:separator/>
      </w:r>
    </w:p>
  </w:footnote>
  <w:footnote w:type="continuationSeparator" w:id="0">
    <w:p w14:paraId="16165331" w14:textId="77777777" w:rsidR="000E7328" w:rsidRDefault="000E7328" w:rsidP="00F77A60">
      <w:r>
        <w:continuationSeparator/>
      </w:r>
    </w:p>
  </w:footnote>
  <w:footnote w:type="continuationNotice" w:id="1">
    <w:p w14:paraId="2A84E2D4" w14:textId="77777777" w:rsidR="000E7328" w:rsidRDefault="000E7328"/>
  </w:footnote>
  <w:footnote w:id="2">
    <w:p w14:paraId="0C4769F2" w14:textId="77777777" w:rsidR="008A58D5" w:rsidRPr="004276F4" w:rsidRDefault="008A58D5" w:rsidP="008A58D5">
      <w:pPr>
        <w:pStyle w:val="FootnoteText"/>
        <w:rPr>
          <w:rFonts w:ascii="Trebuchet MS" w:hAnsi="Trebuchet MS"/>
          <w:lang w:val="en-US"/>
        </w:rPr>
      </w:pPr>
      <w:r w:rsidRPr="004276F4">
        <w:rPr>
          <w:rStyle w:val="FootnoteReference"/>
          <w:rFonts w:ascii="Trebuchet MS" w:hAnsi="Trebuchet MS"/>
        </w:rPr>
        <w:footnoteRef/>
      </w:r>
      <w:r w:rsidRPr="004276F4">
        <w:rPr>
          <w:rFonts w:ascii="Trebuchet MS" w:hAnsi="Trebuchet MS"/>
        </w:rPr>
        <w:t xml:space="preserve"> </w:t>
      </w:r>
      <w:r w:rsidRPr="004276F4">
        <w:rPr>
          <w:rFonts w:ascii="Trebuchet MS" w:hAnsi="Trebuchet MS"/>
          <w:lang w:val="en-US"/>
        </w:rPr>
        <w:t xml:space="preserve">The precise percentage is determined visually to best capture the variation </w:t>
      </w:r>
      <w:r>
        <w:rPr>
          <w:rFonts w:ascii="Trebuchet MS" w:hAnsi="Trebuchet MS"/>
          <w:lang w:val="en-US"/>
        </w:rPr>
        <w:t>and</w:t>
      </w:r>
      <w:r w:rsidRPr="004276F4">
        <w:rPr>
          <w:rFonts w:ascii="Trebuchet MS" w:hAnsi="Trebuchet MS"/>
          <w:lang w:val="en-US"/>
        </w:rPr>
        <w:t xml:space="preserve"> scale of the specific KPI. A 10% range around 90% can capture more of the KPI datapoints than a 10% range around </w:t>
      </w:r>
      <w:r>
        <w:rPr>
          <w:rFonts w:ascii="Trebuchet MS" w:hAnsi="Trebuchet MS"/>
          <w:lang w:val="en-US"/>
        </w:rPr>
        <w:t>five</w:t>
      </w:r>
      <w:r w:rsidRPr="004276F4">
        <w:rPr>
          <w:rFonts w:ascii="Trebuchet MS" w:hAnsi="Trebuchet MS"/>
          <w:lang w:val="en-US"/>
        </w:rPr>
        <w:t xml:space="preserve"> days – depending on the KPI. This adjustment is because of the differences in application and account types and processes which produce different distributions for the different measures – some are more variable than others. This is especially so in relation to the size of the measure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3EC2C" w14:textId="77777777" w:rsidR="00190AC5" w:rsidRDefault="00190AC5" w:rsidP="005C1911">
    <w:r>
      <w:rPr>
        <w:noProof/>
        <w:lang w:eastAsia="en-GB"/>
      </w:rPr>
      <w:drawing>
        <wp:anchor distT="0" distB="0" distL="114300" distR="114300" simplePos="0" relativeHeight="251658246" behindDoc="0" locked="0" layoutInCell="1" allowOverlap="1" wp14:anchorId="4AB4BD85" wp14:editId="020FECED">
          <wp:simplePos x="0" y="0"/>
          <wp:positionH relativeFrom="leftMargin">
            <wp:align>right</wp:align>
          </wp:positionH>
          <wp:positionV relativeFrom="paragraph">
            <wp:posOffset>-391886</wp:posOffset>
          </wp:positionV>
          <wp:extent cx="763905" cy="1008380"/>
          <wp:effectExtent l="0" t="0" r="0" b="127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 cy="1008380"/>
                  </a:xfrm>
                  <a:prstGeom prst="rect">
                    <a:avLst/>
                  </a:prstGeom>
                </pic:spPr>
              </pic:pic>
            </a:graphicData>
          </a:graphic>
          <wp14:sizeRelH relativeFrom="page">
            <wp14:pctWidth>0</wp14:pctWidth>
          </wp14:sizeRelH>
          <wp14:sizeRelV relativeFrom="page">
            <wp14:pctHeight>0</wp14:pctHeight>
          </wp14:sizeRelV>
        </wp:anchor>
      </w:drawing>
    </w:r>
    <w:r w:rsidRPr="00C40FB1">
      <w:rPr>
        <w:noProof/>
        <w:sz w:val="28"/>
        <w:szCs w:val="28"/>
        <w:lang w:eastAsia="en-GB"/>
      </w:rPr>
      <w:drawing>
        <wp:anchor distT="0" distB="0" distL="114300" distR="114300" simplePos="0" relativeHeight="251658245" behindDoc="1" locked="0" layoutInCell="1" allowOverlap="1" wp14:anchorId="70C33EAE" wp14:editId="3800F60C">
          <wp:simplePos x="0" y="0"/>
          <wp:positionH relativeFrom="page">
            <wp:align>right</wp:align>
          </wp:positionH>
          <wp:positionV relativeFrom="page">
            <wp:align>top</wp:align>
          </wp:positionV>
          <wp:extent cx="1466850" cy="1551205"/>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p w14:paraId="7C8834CA" w14:textId="77777777" w:rsidR="00190AC5" w:rsidRPr="00C4741D" w:rsidRDefault="00190AC5" w:rsidP="005C1911"/>
  <w:p w14:paraId="105E1D4D" w14:textId="77777777" w:rsidR="00190AC5" w:rsidRPr="00C4741D" w:rsidRDefault="00190AC5" w:rsidP="005C1911"/>
  <w:p w14:paraId="0596C674" w14:textId="77777777" w:rsidR="00CC5CAD" w:rsidRDefault="00CC5CAD" w:rsidP="00461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82178" w14:textId="77777777" w:rsidR="00C258E6" w:rsidRDefault="00C258E6" w:rsidP="005C1911">
    <w:r>
      <w:rPr>
        <w:noProof/>
        <w:lang w:eastAsia="en-GB"/>
      </w:rPr>
      <w:drawing>
        <wp:anchor distT="0" distB="0" distL="114300" distR="114300" simplePos="0" relativeHeight="251658244" behindDoc="0" locked="0" layoutInCell="1" allowOverlap="1" wp14:anchorId="331BA14F" wp14:editId="53280FB0">
          <wp:simplePos x="0" y="0"/>
          <wp:positionH relativeFrom="leftMargin">
            <wp:align>right</wp:align>
          </wp:positionH>
          <wp:positionV relativeFrom="paragraph">
            <wp:posOffset>-391886</wp:posOffset>
          </wp:positionV>
          <wp:extent cx="763905" cy="1008380"/>
          <wp:effectExtent l="0" t="0" r="0" b="127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 cy="1008380"/>
                  </a:xfrm>
                  <a:prstGeom prst="rect">
                    <a:avLst/>
                  </a:prstGeom>
                </pic:spPr>
              </pic:pic>
            </a:graphicData>
          </a:graphic>
          <wp14:sizeRelH relativeFrom="page">
            <wp14:pctWidth>0</wp14:pctWidth>
          </wp14:sizeRelH>
          <wp14:sizeRelV relativeFrom="page">
            <wp14:pctHeight>0</wp14:pctHeight>
          </wp14:sizeRelV>
        </wp:anchor>
      </w:drawing>
    </w:r>
    <w:r w:rsidRPr="00C40FB1">
      <w:rPr>
        <w:noProof/>
        <w:sz w:val="28"/>
        <w:szCs w:val="28"/>
        <w:lang w:eastAsia="en-GB"/>
      </w:rPr>
      <w:drawing>
        <wp:anchor distT="0" distB="0" distL="114300" distR="114300" simplePos="0" relativeHeight="251658243" behindDoc="1" locked="0" layoutInCell="1" allowOverlap="1" wp14:anchorId="43A52ED9" wp14:editId="42EEA476">
          <wp:simplePos x="0" y="0"/>
          <wp:positionH relativeFrom="page">
            <wp:align>right</wp:align>
          </wp:positionH>
          <wp:positionV relativeFrom="page">
            <wp:align>top</wp:align>
          </wp:positionV>
          <wp:extent cx="1466850" cy="155120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p w14:paraId="7688D979" w14:textId="77777777" w:rsidR="00C258E6" w:rsidRPr="00C4741D" w:rsidRDefault="00C258E6" w:rsidP="005C1911"/>
  <w:p w14:paraId="7B0BF1D6" w14:textId="77777777" w:rsidR="00C258E6" w:rsidRPr="00C4741D" w:rsidRDefault="00C258E6" w:rsidP="005C1911"/>
  <w:p w14:paraId="14499AC0" w14:textId="77777777" w:rsidR="00CC5CAD" w:rsidRPr="00C6614E" w:rsidRDefault="00CC5CAD" w:rsidP="00461223">
    <w:pPr>
      <w:pStyle w:val="Header"/>
      <w:tabs>
        <w:tab w:val="clear" w:pos="4513"/>
        <w:tab w:val="clear" w:pos="9026"/>
        <w:tab w:val="right" w:pos="9356"/>
      </w:tabs>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C07A6" w14:textId="77777777" w:rsidR="00283516" w:rsidRDefault="002835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DD1B9" w14:textId="77777777" w:rsidR="00283516" w:rsidRDefault="00283516" w:rsidP="00461223">
    <w:pPr>
      <w:pStyle w:val="Header"/>
    </w:pPr>
    <w:r>
      <w:rPr>
        <w:noProof/>
        <w:color w:val="2B579A"/>
        <w:shd w:val="clear" w:color="auto" w:fill="E6E6E6"/>
        <w:lang w:eastAsia="en-GB"/>
      </w:rPr>
      <w:drawing>
        <wp:anchor distT="0" distB="0" distL="114300" distR="114300" simplePos="0" relativeHeight="251658241" behindDoc="1" locked="0" layoutInCell="1" allowOverlap="1" wp14:anchorId="169C0EE9" wp14:editId="2D1F0A9F">
          <wp:simplePos x="0" y="0"/>
          <wp:positionH relativeFrom="page">
            <wp:align>right</wp:align>
          </wp:positionH>
          <wp:positionV relativeFrom="page">
            <wp:align>top</wp:align>
          </wp:positionV>
          <wp:extent cx="1466850" cy="155120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en-GB"/>
      </w:rPr>
      <w:drawing>
        <wp:anchor distT="0" distB="0" distL="114300" distR="114300" simplePos="0" relativeHeight="251658240" behindDoc="1" locked="0" layoutInCell="1" allowOverlap="1" wp14:anchorId="78ED958E" wp14:editId="1AE74689">
          <wp:simplePos x="0" y="0"/>
          <wp:positionH relativeFrom="page">
            <wp:posOffset>9229725</wp:posOffset>
          </wp:positionH>
          <wp:positionV relativeFrom="page">
            <wp:posOffset>0</wp:posOffset>
          </wp:positionV>
          <wp:extent cx="1466850" cy="155120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A6B2F" w14:textId="77777777" w:rsidR="00283516" w:rsidRDefault="00283516" w:rsidP="00461223">
    <w:pPr>
      <w:pStyle w:val="Header"/>
      <w:tabs>
        <w:tab w:val="clear" w:pos="4513"/>
        <w:tab w:val="clear" w:pos="9026"/>
        <w:tab w:val="right" w:pos="9356"/>
      </w:tabs>
    </w:pPr>
    <w:r>
      <w:rPr>
        <w:noProof/>
        <w:color w:val="2B579A"/>
        <w:shd w:val="clear" w:color="auto" w:fill="E6E6E6"/>
        <w:lang w:eastAsia="en-GB"/>
      </w:rPr>
      <w:drawing>
        <wp:anchor distT="0" distB="0" distL="114300" distR="114300" simplePos="0" relativeHeight="251658242" behindDoc="0" locked="0" layoutInCell="1" allowOverlap="1" wp14:anchorId="116362C1" wp14:editId="01D4B206">
          <wp:simplePos x="0" y="0"/>
          <wp:positionH relativeFrom="margin">
            <wp:align>left</wp:align>
          </wp:positionH>
          <wp:positionV relativeFrom="paragraph">
            <wp:posOffset>-36830</wp:posOffset>
          </wp:positionV>
          <wp:extent cx="687070" cy="855345"/>
          <wp:effectExtent l="0" t="0" r="0" b="1905"/>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7070"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B55357">
      <w:t xml:space="preserve">Report No: </w:t>
    </w:r>
    <w:r w:rsidRPr="009225A3">
      <w:rPr>
        <w:b/>
      </w:rPr>
      <w:t>SLAB/20</w:t>
    </w:r>
    <w:r>
      <w:rPr>
        <w:b/>
      </w:rPr>
      <w:t>20</w:t>
    </w:r>
    <w:r w:rsidRPr="009225A3">
      <w:rPr>
        <w:b/>
      </w:rPr>
      <w:t>/</w:t>
    </w:r>
    <w:r>
      <w:rPr>
        <w:b/>
      </w:rPr>
      <w:t>15</w:t>
    </w:r>
  </w:p>
  <w:p w14:paraId="7A3EB6B9" w14:textId="77777777" w:rsidR="00283516" w:rsidRDefault="00283516" w:rsidP="00461223">
    <w:pPr>
      <w:pStyle w:val="Header"/>
      <w:tabs>
        <w:tab w:val="clear" w:pos="4513"/>
        <w:tab w:val="clear" w:pos="9026"/>
        <w:tab w:val="right" w:pos="9356"/>
      </w:tabs>
    </w:pPr>
    <w:r>
      <w:tab/>
      <w:t>Agenda Item: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3798F"/>
    <w:multiLevelType w:val="hybridMultilevel"/>
    <w:tmpl w:val="7E52887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3087A"/>
    <w:multiLevelType w:val="hybridMultilevel"/>
    <w:tmpl w:val="EB804D0C"/>
    <w:lvl w:ilvl="0" w:tplc="54CEDF54">
      <w:start w:val="1"/>
      <w:numFmt w:val="decimal"/>
      <w:lvlText w:val="%1."/>
      <w:lvlJc w:val="left"/>
      <w:pPr>
        <w:tabs>
          <w:tab w:val="num" w:pos="720"/>
        </w:tabs>
        <w:ind w:left="720" w:hanging="360"/>
      </w:pPr>
      <w:rPr>
        <w:b w:val="0"/>
        <w:i w:val="0"/>
        <w:color w:val="auto"/>
        <w:sz w:val="22"/>
        <w:szCs w:val="22"/>
      </w:rPr>
    </w:lvl>
    <w:lvl w:ilvl="1" w:tplc="D8CED54C">
      <w:start w:val="1"/>
      <w:numFmt w:val="bullet"/>
      <w:lvlText w:val=""/>
      <w:lvlJc w:val="left"/>
      <w:pPr>
        <w:tabs>
          <w:tab w:val="num" w:pos="700"/>
        </w:tabs>
        <w:ind w:left="700" w:hanging="340"/>
      </w:pPr>
      <w:rPr>
        <w:rFonts w:ascii="Symbol" w:hAnsi="Symbol" w:hint="default"/>
      </w:rPr>
    </w:lvl>
    <w:lvl w:ilvl="2" w:tplc="0809000B">
      <w:start w:val="1"/>
      <w:numFmt w:val="bullet"/>
      <w:lvlText w:val=""/>
      <w:lvlJc w:val="left"/>
      <w:pPr>
        <w:tabs>
          <w:tab w:val="num" w:pos="700"/>
        </w:tabs>
        <w:ind w:left="700" w:hanging="340"/>
      </w:pPr>
      <w:rPr>
        <w:rFonts w:ascii="Wingdings" w:hAnsi="Wingdings" w:hint="default"/>
        <w:b w:val="0"/>
        <w:i w:val="0"/>
      </w:rPr>
    </w:lvl>
    <w:lvl w:ilvl="3" w:tplc="0809000B">
      <w:start w:val="1"/>
      <w:numFmt w:val="bullet"/>
      <w:lvlText w:val=""/>
      <w:lvlJc w:val="left"/>
      <w:pPr>
        <w:tabs>
          <w:tab w:val="num" w:pos="3240"/>
        </w:tabs>
        <w:ind w:left="3240" w:hanging="360"/>
      </w:pPr>
      <w:rPr>
        <w:rFonts w:ascii="Wingdings" w:hAnsi="Wingding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85A04D5"/>
    <w:multiLevelType w:val="hybridMultilevel"/>
    <w:tmpl w:val="47D62B8A"/>
    <w:lvl w:ilvl="0" w:tplc="B3C8A2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C5534"/>
    <w:multiLevelType w:val="hybridMultilevel"/>
    <w:tmpl w:val="F702B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FBF7A9A"/>
    <w:multiLevelType w:val="hybridMultilevel"/>
    <w:tmpl w:val="B6CA18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3819FB"/>
    <w:multiLevelType w:val="hybridMultilevel"/>
    <w:tmpl w:val="171E5F4A"/>
    <w:lvl w:ilvl="0" w:tplc="4934A9AE">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7A0D06C9"/>
    <w:multiLevelType w:val="hybridMultilevel"/>
    <w:tmpl w:val="82A8EE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CF05B9F"/>
    <w:multiLevelType w:val="hybridMultilevel"/>
    <w:tmpl w:val="1E46E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2078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638530">
    <w:abstractNumId w:val="5"/>
  </w:num>
  <w:num w:numId="3" w16cid:durableId="221791854">
    <w:abstractNumId w:val="4"/>
  </w:num>
  <w:num w:numId="4" w16cid:durableId="408622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7704543">
    <w:abstractNumId w:val="3"/>
  </w:num>
  <w:num w:numId="6" w16cid:durableId="993412638">
    <w:abstractNumId w:val="6"/>
  </w:num>
  <w:num w:numId="7" w16cid:durableId="1646012205">
    <w:abstractNumId w:val="2"/>
  </w:num>
  <w:num w:numId="8" w16cid:durableId="266541952">
    <w:abstractNumId w:val="0"/>
  </w:num>
  <w:num w:numId="9" w16cid:durableId="29383451">
    <w:abstractNumId w:val="1"/>
  </w:num>
  <w:num w:numId="10" w16cid:durableId="362218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60"/>
    <w:rsid w:val="00005E09"/>
    <w:rsid w:val="00026C0B"/>
    <w:rsid w:val="00041B18"/>
    <w:rsid w:val="00041E06"/>
    <w:rsid w:val="000441BB"/>
    <w:rsid w:val="00044538"/>
    <w:rsid w:val="0004784A"/>
    <w:rsid w:val="000508C7"/>
    <w:rsid w:val="00051AC2"/>
    <w:rsid w:val="00055DBA"/>
    <w:rsid w:val="000560AD"/>
    <w:rsid w:val="00061C25"/>
    <w:rsid w:val="00063598"/>
    <w:rsid w:val="000722EE"/>
    <w:rsid w:val="0007664B"/>
    <w:rsid w:val="00080DE8"/>
    <w:rsid w:val="000833FC"/>
    <w:rsid w:val="00086616"/>
    <w:rsid w:val="000A02D3"/>
    <w:rsid w:val="000A2B0E"/>
    <w:rsid w:val="000A670D"/>
    <w:rsid w:val="000B0640"/>
    <w:rsid w:val="000B29D9"/>
    <w:rsid w:val="000C516C"/>
    <w:rsid w:val="000C57D2"/>
    <w:rsid w:val="000C5A49"/>
    <w:rsid w:val="000D0B6B"/>
    <w:rsid w:val="000D14DA"/>
    <w:rsid w:val="000D32AF"/>
    <w:rsid w:val="000D73B0"/>
    <w:rsid w:val="000E3FE4"/>
    <w:rsid w:val="000E57B7"/>
    <w:rsid w:val="000E6AB9"/>
    <w:rsid w:val="000E7328"/>
    <w:rsid w:val="001046D4"/>
    <w:rsid w:val="00105CA2"/>
    <w:rsid w:val="0010770C"/>
    <w:rsid w:val="00120C47"/>
    <w:rsid w:val="00137436"/>
    <w:rsid w:val="00145918"/>
    <w:rsid w:val="001518B5"/>
    <w:rsid w:val="0015504B"/>
    <w:rsid w:val="001571CF"/>
    <w:rsid w:val="00167E09"/>
    <w:rsid w:val="00170322"/>
    <w:rsid w:val="00175C59"/>
    <w:rsid w:val="0018144C"/>
    <w:rsid w:val="00187439"/>
    <w:rsid w:val="00187849"/>
    <w:rsid w:val="00190AC5"/>
    <w:rsid w:val="001919A6"/>
    <w:rsid w:val="0019555F"/>
    <w:rsid w:val="001A1800"/>
    <w:rsid w:val="001A60D8"/>
    <w:rsid w:val="001A7B43"/>
    <w:rsid w:val="001A7BD4"/>
    <w:rsid w:val="001D4098"/>
    <w:rsid w:val="001D5482"/>
    <w:rsid w:val="001E33DE"/>
    <w:rsid w:val="001E3A28"/>
    <w:rsid w:val="001E7685"/>
    <w:rsid w:val="001F7C93"/>
    <w:rsid w:val="0020131B"/>
    <w:rsid w:val="00202FE4"/>
    <w:rsid w:val="0020509C"/>
    <w:rsid w:val="002123E8"/>
    <w:rsid w:val="0021682A"/>
    <w:rsid w:val="0022115A"/>
    <w:rsid w:val="00222534"/>
    <w:rsid w:val="00223EA9"/>
    <w:rsid w:val="002249E1"/>
    <w:rsid w:val="0023659D"/>
    <w:rsid w:val="00252145"/>
    <w:rsid w:val="0025567A"/>
    <w:rsid w:val="00257D5D"/>
    <w:rsid w:val="00262011"/>
    <w:rsid w:val="0026583B"/>
    <w:rsid w:val="00270AFF"/>
    <w:rsid w:val="00283516"/>
    <w:rsid w:val="002914E8"/>
    <w:rsid w:val="002A3EFE"/>
    <w:rsid w:val="002A64B7"/>
    <w:rsid w:val="002C2E9B"/>
    <w:rsid w:val="002C4DBD"/>
    <w:rsid w:val="002C5B50"/>
    <w:rsid w:val="002C7908"/>
    <w:rsid w:val="002D049D"/>
    <w:rsid w:val="002D21F4"/>
    <w:rsid w:val="002D519C"/>
    <w:rsid w:val="002D51CA"/>
    <w:rsid w:val="002E7277"/>
    <w:rsid w:val="002F51BE"/>
    <w:rsid w:val="00311C6D"/>
    <w:rsid w:val="00321038"/>
    <w:rsid w:val="00321DB0"/>
    <w:rsid w:val="0032656E"/>
    <w:rsid w:val="00331E65"/>
    <w:rsid w:val="0033355E"/>
    <w:rsid w:val="00333875"/>
    <w:rsid w:val="003374BA"/>
    <w:rsid w:val="00351752"/>
    <w:rsid w:val="00355AFA"/>
    <w:rsid w:val="00362F68"/>
    <w:rsid w:val="003668F1"/>
    <w:rsid w:val="00367148"/>
    <w:rsid w:val="00386E31"/>
    <w:rsid w:val="003A0A2C"/>
    <w:rsid w:val="003B2D94"/>
    <w:rsid w:val="003B760F"/>
    <w:rsid w:val="003C4835"/>
    <w:rsid w:val="003D0960"/>
    <w:rsid w:val="003E7699"/>
    <w:rsid w:val="003F4451"/>
    <w:rsid w:val="0040024D"/>
    <w:rsid w:val="00400936"/>
    <w:rsid w:val="004055EB"/>
    <w:rsid w:val="0040637C"/>
    <w:rsid w:val="00407F59"/>
    <w:rsid w:val="00411514"/>
    <w:rsid w:val="004158E1"/>
    <w:rsid w:val="00421BAE"/>
    <w:rsid w:val="0042254A"/>
    <w:rsid w:val="00422617"/>
    <w:rsid w:val="00427445"/>
    <w:rsid w:val="004362D6"/>
    <w:rsid w:val="00441712"/>
    <w:rsid w:val="004434BF"/>
    <w:rsid w:val="00456FD3"/>
    <w:rsid w:val="00457851"/>
    <w:rsid w:val="00461223"/>
    <w:rsid w:val="004625C4"/>
    <w:rsid w:val="00463051"/>
    <w:rsid w:val="0046388B"/>
    <w:rsid w:val="004660D2"/>
    <w:rsid w:val="0047063C"/>
    <w:rsid w:val="00471512"/>
    <w:rsid w:val="00482AF7"/>
    <w:rsid w:val="00485AC0"/>
    <w:rsid w:val="0048763C"/>
    <w:rsid w:val="004876C8"/>
    <w:rsid w:val="00492DE3"/>
    <w:rsid w:val="004937CF"/>
    <w:rsid w:val="00493C67"/>
    <w:rsid w:val="004A10FB"/>
    <w:rsid w:val="004B1D93"/>
    <w:rsid w:val="004B2705"/>
    <w:rsid w:val="004B6F48"/>
    <w:rsid w:val="004D790E"/>
    <w:rsid w:val="004D7E09"/>
    <w:rsid w:val="004E19B0"/>
    <w:rsid w:val="004E1BAA"/>
    <w:rsid w:val="004E59AF"/>
    <w:rsid w:val="004E6118"/>
    <w:rsid w:val="004E73BE"/>
    <w:rsid w:val="004F0B1A"/>
    <w:rsid w:val="004F6B02"/>
    <w:rsid w:val="005221D3"/>
    <w:rsid w:val="00524355"/>
    <w:rsid w:val="00530561"/>
    <w:rsid w:val="00531EC6"/>
    <w:rsid w:val="00540538"/>
    <w:rsid w:val="0054415F"/>
    <w:rsid w:val="00554E4A"/>
    <w:rsid w:val="00555C4F"/>
    <w:rsid w:val="00561AF0"/>
    <w:rsid w:val="00574993"/>
    <w:rsid w:val="00591532"/>
    <w:rsid w:val="00597887"/>
    <w:rsid w:val="005B3F5B"/>
    <w:rsid w:val="005C06BA"/>
    <w:rsid w:val="005C1ABD"/>
    <w:rsid w:val="005C2543"/>
    <w:rsid w:val="005D2677"/>
    <w:rsid w:val="005E3B62"/>
    <w:rsid w:val="0060111E"/>
    <w:rsid w:val="00603164"/>
    <w:rsid w:val="00610B52"/>
    <w:rsid w:val="00632219"/>
    <w:rsid w:val="0063512D"/>
    <w:rsid w:val="006411AF"/>
    <w:rsid w:val="00642FD6"/>
    <w:rsid w:val="006504B1"/>
    <w:rsid w:val="006513C1"/>
    <w:rsid w:val="0065184C"/>
    <w:rsid w:val="006522B7"/>
    <w:rsid w:val="0065608D"/>
    <w:rsid w:val="00657598"/>
    <w:rsid w:val="006579EB"/>
    <w:rsid w:val="00683029"/>
    <w:rsid w:val="0069028D"/>
    <w:rsid w:val="00691EEF"/>
    <w:rsid w:val="006A0E1D"/>
    <w:rsid w:val="006A5313"/>
    <w:rsid w:val="006B1FFD"/>
    <w:rsid w:val="006B2E35"/>
    <w:rsid w:val="006C7198"/>
    <w:rsid w:val="006C79E4"/>
    <w:rsid w:val="006D0876"/>
    <w:rsid w:val="006D7593"/>
    <w:rsid w:val="006E02E5"/>
    <w:rsid w:val="006E79C0"/>
    <w:rsid w:val="006F2BE3"/>
    <w:rsid w:val="006F31C4"/>
    <w:rsid w:val="006F7D1E"/>
    <w:rsid w:val="00704117"/>
    <w:rsid w:val="007133F0"/>
    <w:rsid w:val="00713DAA"/>
    <w:rsid w:val="00724EB9"/>
    <w:rsid w:val="00725184"/>
    <w:rsid w:val="00726223"/>
    <w:rsid w:val="00736B8E"/>
    <w:rsid w:val="007370EB"/>
    <w:rsid w:val="00743E7E"/>
    <w:rsid w:val="007459BA"/>
    <w:rsid w:val="00751712"/>
    <w:rsid w:val="00753411"/>
    <w:rsid w:val="00754ED7"/>
    <w:rsid w:val="00756202"/>
    <w:rsid w:val="007578D1"/>
    <w:rsid w:val="0076007C"/>
    <w:rsid w:val="0076314A"/>
    <w:rsid w:val="007645F1"/>
    <w:rsid w:val="0077465E"/>
    <w:rsid w:val="00780489"/>
    <w:rsid w:val="0078474A"/>
    <w:rsid w:val="007902FC"/>
    <w:rsid w:val="00790907"/>
    <w:rsid w:val="00791949"/>
    <w:rsid w:val="007A3C32"/>
    <w:rsid w:val="007B1BC1"/>
    <w:rsid w:val="007B3C0E"/>
    <w:rsid w:val="007D6A9E"/>
    <w:rsid w:val="007D6FE2"/>
    <w:rsid w:val="007E0752"/>
    <w:rsid w:val="007F7DEC"/>
    <w:rsid w:val="008049D4"/>
    <w:rsid w:val="008107CC"/>
    <w:rsid w:val="008207B2"/>
    <w:rsid w:val="00820BBC"/>
    <w:rsid w:val="00826B72"/>
    <w:rsid w:val="00844226"/>
    <w:rsid w:val="00846BFA"/>
    <w:rsid w:val="0085052D"/>
    <w:rsid w:val="008529D4"/>
    <w:rsid w:val="00857E07"/>
    <w:rsid w:val="008616FE"/>
    <w:rsid w:val="00861E2B"/>
    <w:rsid w:val="00863FEE"/>
    <w:rsid w:val="00866D6E"/>
    <w:rsid w:val="008800B2"/>
    <w:rsid w:val="0088718D"/>
    <w:rsid w:val="00896000"/>
    <w:rsid w:val="00896A40"/>
    <w:rsid w:val="008A58D5"/>
    <w:rsid w:val="008A6F55"/>
    <w:rsid w:val="008C7A8B"/>
    <w:rsid w:val="008D2B9D"/>
    <w:rsid w:val="008D48E5"/>
    <w:rsid w:val="008E61BE"/>
    <w:rsid w:val="008E730C"/>
    <w:rsid w:val="008F0DE1"/>
    <w:rsid w:val="008F7E2B"/>
    <w:rsid w:val="00902A35"/>
    <w:rsid w:val="00911E6E"/>
    <w:rsid w:val="00933302"/>
    <w:rsid w:val="009701F0"/>
    <w:rsid w:val="00973E78"/>
    <w:rsid w:val="00981FF5"/>
    <w:rsid w:val="009853BE"/>
    <w:rsid w:val="0099141A"/>
    <w:rsid w:val="009918EF"/>
    <w:rsid w:val="00997FD4"/>
    <w:rsid w:val="009A188B"/>
    <w:rsid w:val="009A4FB2"/>
    <w:rsid w:val="009A7243"/>
    <w:rsid w:val="009C373B"/>
    <w:rsid w:val="009E4B8C"/>
    <w:rsid w:val="009F1D1D"/>
    <w:rsid w:val="00A05BB7"/>
    <w:rsid w:val="00A1427A"/>
    <w:rsid w:val="00A16EB6"/>
    <w:rsid w:val="00A36E39"/>
    <w:rsid w:val="00A44900"/>
    <w:rsid w:val="00A620A4"/>
    <w:rsid w:val="00A64F5A"/>
    <w:rsid w:val="00A66EE1"/>
    <w:rsid w:val="00AA376A"/>
    <w:rsid w:val="00AB12A5"/>
    <w:rsid w:val="00AC05E7"/>
    <w:rsid w:val="00AC1580"/>
    <w:rsid w:val="00AD2776"/>
    <w:rsid w:val="00AE1DAE"/>
    <w:rsid w:val="00AE7099"/>
    <w:rsid w:val="00AF1F74"/>
    <w:rsid w:val="00AF3015"/>
    <w:rsid w:val="00B0769E"/>
    <w:rsid w:val="00B30460"/>
    <w:rsid w:val="00B323B8"/>
    <w:rsid w:val="00B36EE1"/>
    <w:rsid w:val="00B476D9"/>
    <w:rsid w:val="00B527B8"/>
    <w:rsid w:val="00B5780A"/>
    <w:rsid w:val="00B6526A"/>
    <w:rsid w:val="00B65A0D"/>
    <w:rsid w:val="00B677D5"/>
    <w:rsid w:val="00B762B4"/>
    <w:rsid w:val="00B77EB7"/>
    <w:rsid w:val="00B8080B"/>
    <w:rsid w:val="00B81AB3"/>
    <w:rsid w:val="00B84F7A"/>
    <w:rsid w:val="00B851A8"/>
    <w:rsid w:val="00B92CB0"/>
    <w:rsid w:val="00BA64C2"/>
    <w:rsid w:val="00BB0034"/>
    <w:rsid w:val="00BB5B6E"/>
    <w:rsid w:val="00BB6296"/>
    <w:rsid w:val="00BC75B3"/>
    <w:rsid w:val="00BD1DF7"/>
    <w:rsid w:val="00BD6D08"/>
    <w:rsid w:val="00BE0BE8"/>
    <w:rsid w:val="00BF08E3"/>
    <w:rsid w:val="00C04AEE"/>
    <w:rsid w:val="00C11464"/>
    <w:rsid w:val="00C17B8F"/>
    <w:rsid w:val="00C20850"/>
    <w:rsid w:val="00C2256D"/>
    <w:rsid w:val="00C22C79"/>
    <w:rsid w:val="00C22F9A"/>
    <w:rsid w:val="00C258E6"/>
    <w:rsid w:val="00C30707"/>
    <w:rsid w:val="00C30B41"/>
    <w:rsid w:val="00C31E77"/>
    <w:rsid w:val="00C34169"/>
    <w:rsid w:val="00C34DE0"/>
    <w:rsid w:val="00C36CF2"/>
    <w:rsid w:val="00C44B02"/>
    <w:rsid w:val="00C4711D"/>
    <w:rsid w:val="00C5721C"/>
    <w:rsid w:val="00C620D2"/>
    <w:rsid w:val="00C6293C"/>
    <w:rsid w:val="00C63EE4"/>
    <w:rsid w:val="00C6614E"/>
    <w:rsid w:val="00C667DF"/>
    <w:rsid w:val="00C779C5"/>
    <w:rsid w:val="00C82DD8"/>
    <w:rsid w:val="00C95A4E"/>
    <w:rsid w:val="00C971C7"/>
    <w:rsid w:val="00CA1A5C"/>
    <w:rsid w:val="00CA1BEF"/>
    <w:rsid w:val="00CA2086"/>
    <w:rsid w:val="00CA4F1C"/>
    <w:rsid w:val="00CC5CAD"/>
    <w:rsid w:val="00CC67B4"/>
    <w:rsid w:val="00CD2A6D"/>
    <w:rsid w:val="00CE006F"/>
    <w:rsid w:val="00CE0945"/>
    <w:rsid w:val="00CF165D"/>
    <w:rsid w:val="00D0520D"/>
    <w:rsid w:val="00D2461C"/>
    <w:rsid w:val="00D31CB3"/>
    <w:rsid w:val="00D46205"/>
    <w:rsid w:val="00D55734"/>
    <w:rsid w:val="00D56C8E"/>
    <w:rsid w:val="00D575D6"/>
    <w:rsid w:val="00D72494"/>
    <w:rsid w:val="00D7504D"/>
    <w:rsid w:val="00D8296F"/>
    <w:rsid w:val="00D85140"/>
    <w:rsid w:val="00D97CB5"/>
    <w:rsid w:val="00DA3377"/>
    <w:rsid w:val="00DB264E"/>
    <w:rsid w:val="00DB5742"/>
    <w:rsid w:val="00DC44AD"/>
    <w:rsid w:val="00DD1B88"/>
    <w:rsid w:val="00DF3150"/>
    <w:rsid w:val="00DF53CE"/>
    <w:rsid w:val="00DF5486"/>
    <w:rsid w:val="00E02F4C"/>
    <w:rsid w:val="00E04F3A"/>
    <w:rsid w:val="00E07BEB"/>
    <w:rsid w:val="00E111F7"/>
    <w:rsid w:val="00E146DF"/>
    <w:rsid w:val="00E213B7"/>
    <w:rsid w:val="00E2224D"/>
    <w:rsid w:val="00E352E1"/>
    <w:rsid w:val="00E36855"/>
    <w:rsid w:val="00E40138"/>
    <w:rsid w:val="00E44750"/>
    <w:rsid w:val="00E50647"/>
    <w:rsid w:val="00E5301B"/>
    <w:rsid w:val="00E54C4C"/>
    <w:rsid w:val="00E54EB3"/>
    <w:rsid w:val="00E560B1"/>
    <w:rsid w:val="00E6112C"/>
    <w:rsid w:val="00E70E1A"/>
    <w:rsid w:val="00E72FC6"/>
    <w:rsid w:val="00E8076C"/>
    <w:rsid w:val="00E921A1"/>
    <w:rsid w:val="00E92E7E"/>
    <w:rsid w:val="00E962EE"/>
    <w:rsid w:val="00EA2413"/>
    <w:rsid w:val="00EA2CE3"/>
    <w:rsid w:val="00EB1AB5"/>
    <w:rsid w:val="00EB23C7"/>
    <w:rsid w:val="00EC3138"/>
    <w:rsid w:val="00ED3E43"/>
    <w:rsid w:val="00EE2E94"/>
    <w:rsid w:val="00EE7CA5"/>
    <w:rsid w:val="00F01B8A"/>
    <w:rsid w:val="00F117DD"/>
    <w:rsid w:val="00F242DC"/>
    <w:rsid w:val="00F331A8"/>
    <w:rsid w:val="00F3651C"/>
    <w:rsid w:val="00F44617"/>
    <w:rsid w:val="00F45F5E"/>
    <w:rsid w:val="00F51899"/>
    <w:rsid w:val="00F56779"/>
    <w:rsid w:val="00F60876"/>
    <w:rsid w:val="00F6184D"/>
    <w:rsid w:val="00F67C50"/>
    <w:rsid w:val="00F7532A"/>
    <w:rsid w:val="00F7590F"/>
    <w:rsid w:val="00F77A60"/>
    <w:rsid w:val="00F9675B"/>
    <w:rsid w:val="00FA48ED"/>
    <w:rsid w:val="00FA5DC8"/>
    <w:rsid w:val="00FC099C"/>
    <w:rsid w:val="00FC493F"/>
    <w:rsid w:val="00FD5E29"/>
    <w:rsid w:val="00FD6E48"/>
    <w:rsid w:val="00FE0E4B"/>
    <w:rsid w:val="00FE2D6A"/>
    <w:rsid w:val="00FF2285"/>
    <w:rsid w:val="00FF7FF4"/>
    <w:rsid w:val="0131FF24"/>
    <w:rsid w:val="03819ED2"/>
    <w:rsid w:val="04F1243D"/>
    <w:rsid w:val="05D7EB13"/>
    <w:rsid w:val="08CDB642"/>
    <w:rsid w:val="0AAC4390"/>
    <w:rsid w:val="0B4BA6D5"/>
    <w:rsid w:val="0DD4F977"/>
    <w:rsid w:val="0ECC99A6"/>
    <w:rsid w:val="0FDDA091"/>
    <w:rsid w:val="111C3A2C"/>
    <w:rsid w:val="115BB41C"/>
    <w:rsid w:val="12B575C0"/>
    <w:rsid w:val="13DA579A"/>
    <w:rsid w:val="152BCA73"/>
    <w:rsid w:val="164BFA84"/>
    <w:rsid w:val="166C0C52"/>
    <w:rsid w:val="17291EBD"/>
    <w:rsid w:val="17686035"/>
    <w:rsid w:val="177DB2FE"/>
    <w:rsid w:val="180BD5CF"/>
    <w:rsid w:val="18C1C85C"/>
    <w:rsid w:val="1919835F"/>
    <w:rsid w:val="19B1A983"/>
    <w:rsid w:val="1C1B7F40"/>
    <w:rsid w:val="1C3D3EAB"/>
    <w:rsid w:val="1CC9DEFB"/>
    <w:rsid w:val="1D3A3413"/>
    <w:rsid w:val="20167EF2"/>
    <w:rsid w:val="20EAEBED"/>
    <w:rsid w:val="2114C04B"/>
    <w:rsid w:val="2319971C"/>
    <w:rsid w:val="241045FF"/>
    <w:rsid w:val="25AC1660"/>
    <w:rsid w:val="276476DC"/>
    <w:rsid w:val="29DFC2E0"/>
    <w:rsid w:val="29E1B163"/>
    <w:rsid w:val="2BA5E96F"/>
    <w:rsid w:val="2C9F32C5"/>
    <w:rsid w:val="2D4B53B7"/>
    <w:rsid w:val="2FDC1A79"/>
    <w:rsid w:val="329FB5A2"/>
    <w:rsid w:val="3433D83B"/>
    <w:rsid w:val="34C5700F"/>
    <w:rsid w:val="37FD10D1"/>
    <w:rsid w:val="3909FC21"/>
    <w:rsid w:val="3BEC8104"/>
    <w:rsid w:val="3CD652AB"/>
    <w:rsid w:val="3D0CE939"/>
    <w:rsid w:val="3DD1DE07"/>
    <w:rsid w:val="3DD53995"/>
    <w:rsid w:val="3F58271C"/>
    <w:rsid w:val="3F7109F6"/>
    <w:rsid w:val="3FF2BF86"/>
    <w:rsid w:val="40137B50"/>
    <w:rsid w:val="415BB456"/>
    <w:rsid w:val="428F825B"/>
    <w:rsid w:val="42CC8989"/>
    <w:rsid w:val="42EA9562"/>
    <w:rsid w:val="43E670F7"/>
    <w:rsid w:val="451BA332"/>
    <w:rsid w:val="45E3B338"/>
    <w:rsid w:val="461E951E"/>
    <w:rsid w:val="46C5E92A"/>
    <w:rsid w:val="46D9D14C"/>
    <w:rsid w:val="49FDE18B"/>
    <w:rsid w:val="4B9E2ACB"/>
    <w:rsid w:val="4BEF767B"/>
    <w:rsid w:val="4C29209F"/>
    <w:rsid w:val="4DD23502"/>
    <w:rsid w:val="4F5D1347"/>
    <w:rsid w:val="519E5A51"/>
    <w:rsid w:val="527711DF"/>
    <w:rsid w:val="53840AF4"/>
    <w:rsid w:val="58954B1B"/>
    <w:rsid w:val="597AB9DF"/>
    <w:rsid w:val="5A8B7A37"/>
    <w:rsid w:val="5D6C4A79"/>
    <w:rsid w:val="5D897994"/>
    <w:rsid w:val="5D8C32B9"/>
    <w:rsid w:val="5E0DABB6"/>
    <w:rsid w:val="5E69C86C"/>
    <w:rsid w:val="5EEB5EE0"/>
    <w:rsid w:val="5F4EDE0D"/>
    <w:rsid w:val="5F653D92"/>
    <w:rsid w:val="6011D506"/>
    <w:rsid w:val="60305C19"/>
    <w:rsid w:val="62B59EE9"/>
    <w:rsid w:val="632C52A6"/>
    <w:rsid w:val="63309C71"/>
    <w:rsid w:val="63EA4212"/>
    <w:rsid w:val="6412E4F1"/>
    <w:rsid w:val="64BF23BD"/>
    <w:rsid w:val="653234E6"/>
    <w:rsid w:val="66AB010D"/>
    <w:rsid w:val="68689604"/>
    <w:rsid w:val="6B51E767"/>
    <w:rsid w:val="6E63D168"/>
    <w:rsid w:val="70015F85"/>
    <w:rsid w:val="71FBDF23"/>
    <w:rsid w:val="7277DD03"/>
    <w:rsid w:val="72D937EB"/>
    <w:rsid w:val="730CAC77"/>
    <w:rsid w:val="73D94907"/>
    <w:rsid w:val="75C25022"/>
    <w:rsid w:val="7A0A8EFC"/>
    <w:rsid w:val="7AEF6CBF"/>
    <w:rsid w:val="7C6BE6AA"/>
    <w:rsid w:val="7D231909"/>
    <w:rsid w:val="7D5B581B"/>
    <w:rsid w:val="7D857B8D"/>
    <w:rsid w:val="7E3706FB"/>
    <w:rsid w:val="7E966F71"/>
    <w:rsid w:val="7F137FE2"/>
    <w:rsid w:val="7F962EC2"/>
    <w:rsid w:val="7FCB8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BA28D"/>
  <w15:chartTrackingRefBased/>
  <w15:docId w15:val="{A70EADDF-C5D3-4286-9817-6255AE58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60"/>
    <w:pPr>
      <w:spacing w:before="0" w:beforeAutospacing="0" w:after="0" w:afterAutospacing="0"/>
    </w:pPr>
    <w:rPr>
      <w:rFonts w:ascii="Trebuchet MS" w:hAnsi="Trebuchet MS"/>
      <w:sz w:val="24"/>
      <w:szCs w:val="18"/>
    </w:rPr>
  </w:style>
  <w:style w:type="paragraph" w:styleId="Heading1">
    <w:name w:val="heading 1"/>
    <w:basedOn w:val="Normal"/>
    <w:next w:val="Normal"/>
    <w:link w:val="Heading1Char"/>
    <w:uiPriority w:val="9"/>
    <w:qFormat/>
    <w:rsid w:val="008A58D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A60"/>
    <w:pPr>
      <w:outlineLvl w:val="1"/>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A60"/>
    <w:rPr>
      <w:rFonts w:ascii="Trebuchet MS" w:hAnsi="Trebuchet MS"/>
      <w:b/>
      <w:sz w:val="24"/>
      <w:szCs w:val="24"/>
    </w:rPr>
  </w:style>
  <w:style w:type="paragraph" w:styleId="ListParagraph">
    <w:name w:val="List Paragraph"/>
    <w:aliases w:val="List Paragraph Report"/>
    <w:basedOn w:val="Normal"/>
    <w:uiPriority w:val="34"/>
    <w:qFormat/>
    <w:rsid w:val="00F77A60"/>
    <w:pPr>
      <w:ind w:left="720"/>
      <w:contextualSpacing/>
    </w:pPr>
  </w:style>
  <w:style w:type="paragraph" w:styleId="Header">
    <w:name w:val="header"/>
    <w:basedOn w:val="Normal"/>
    <w:link w:val="HeaderChar"/>
    <w:uiPriority w:val="99"/>
    <w:unhideWhenUsed/>
    <w:rsid w:val="00F77A60"/>
    <w:pPr>
      <w:tabs>
        <w:tab w:val="center" w:pos="4513"/>
        <w:tab w:val="right" w:pos="9026"/>
      </w:tabs>
    </w:pPr>
  </w:style>
  <w:style w:type="character" w:customStyle="1" w:styleId="HeaderChar">
    <w:name w:val="Header Char"/>
    <w:basedOn w:val="DefaultParagraphFont"/>
    <w:link w:val="Header"/>
    <w:uiPriority w:val="99"/>
    <w:rsid w:val="00F77A60"/>
    <w:rPr>
      <w:rFonts w:ascii="Trebuchet MS" w:hAnsi="Trebuchet MS"/>
      <w:sz w:val="24"/>
      <w:szCs w:val="18"/>
    </w:rPr>
  </w:style>
  <w:style w:type="paragraph" w:styleId="Footer">
    <w:name w:val="footer"/>
    <w:basedOn w:val="Normal"/>
    <w:link w:val="FooterChar"/>
    <w:uiPriority w:val="99"/>
    <w:unhideWhenUsed/>
    <w:rsid w:val="00F77A60"/>
    <w:pPr>
      <w:tabs>
        <w:tab w:val="center" w:pos="4513"/>
        <w:tab w:val="right" w:pos="9026"/>
      </w:tabs>
    </w:pPr>
  </w:style>
  <w:style w:type="character" w:customStyle="1" w:styleId="FooterChar">
    <w:name w:val="Footer Char"/>
    <w:basedOn w:val="DefaultParagraphFont"/>
    <w:link w:val="Footer"/>
    <w:uiPriority w:val="99"/>
    <w:rsid w:val="00F77A60"/>
    <w:rPr>
      <w:rFonts w:ascii="Trebuchet MS" w:hAnsi="Trebuchet MS"/>
      <w:sz w:val="24"/>
      <w:szCs w:val="18"/>
    </w:rPr>
  </w:style>
  <w:style w:type="table" w:styleId="TableGrid">
    <w:name w:val="Table Grid"/>
    <w:basedOn w:val="TableNormal"/>
    <w:uiPriority w:val="39"/>
    <w:rsid w:val="00F77A60"/>
    <w:pPr>
      <w:spacing w:before="0" w:beforeAutospacing="0" w:after="0" w:afterAutospacing="0"/>
    </w:pPr>
    <w:rPr>
      <w:rFonts w:ascii="Trebuchet MS" w:hAnsi="Trebuchet M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77A60"/>
    <w:pPr>
      <w:widowControl w:val="0"/>
      <w:autoSpaceDE w:val="0"/>
      <w:autoSpaceDN w:val="0"/>
    </w:pPr>
    <w:rPr>
      <w:rFonts w:eastAsia="Trebuchet MS" w:cs="Trebuchet MS"/>
      <w:sz w:val="22"/>
      <w:szCs w:val="22"/>
      <w:lang w:val="en-US"/>
    </w:rPr>
  </w:style>
  <w:style w:type="character" w:customStyle="1" w:styleId="BodyTextChar">
    <w:name w:val="Body Text Char"/>
    <w:basedOn w:val="DefaultParagraphFont"/>
    <w:link w:val="BodyText"/>
    <w:uiPriority w:val="1"/>
    <w:rsid w:val="00F77A60"/>
    <w:rPr>
      <w:rFonts w:ascii="Trebuchet MS" w:eastAsia="Trebuchet MS" w:hAnsi="Trebuchet MS" w:cs="Trebuchet MS"/>
      <w:lang w:val="en-US"/>
    </w:rPr>
  </w:style>
  <w:style w:type="paragraph" w:styleId="FootnoteText">
    <w:name w:val="footnote text"/>
    <w:basedOn w:val="Normal"/>
    <w:link w:val="FootnoteTextChar"/>
    <w:uiPriority w:val="99"/>
    <w:unhideWhenUsed/>
    <w:rsid w:val="00F77A60"/>
    <w:rPr>
      <w:rFonts w:ascii="Calibri" w:hAnsi="Calibri" w:cs="Times New Roman"/>
      <w:sz w:val="20"/>
      <w:szCs w:val="20"/>
    </w:rPr>
  </w:style>
  <w:style w:type="character" w:customStyle="1" w:styleId="FootnoteTextChar">
    <w:name w:val="Footnote Text Char"/>
    <w:basedOn w:val="DefaultParagraphFont"/>
    <w:link w:val="FootnoteText"/>
    <w:uiPriority w:val="99"/>
    <w:rsid w:val="00F77A60"/>
    <w:rPr>
      <w:rFonts w:ascii="Calibri" w:hAnsi="Calibri" w:cs="Times New Roman"/>
      <w:sz w:val="20"/>
      <w:szCs w:val="20"/>
    </w:rPr>
  </w:style>
  <w:style w:type="character" w:styleId="FootnoteReference">
    <w:name w:val="footnote reference"/>
    <w:basedOn w:val="DefaultParagraphFont"/>
    <w:uiPriority w:val="99"/>
    <w:semiHidden/>
    <w:unhideWhenUsed/>
    <w:rsid w:val="00F77A60"/>
    <w:rPr>
      <w:vertAlign w:val="superscript"/>
    </w:rPr>
  </w:style>
  <w:style w:type="paragraph" w:styleId="BalloonText">
    <w:name w:val="Balloon Text"/>
    <w:basedOn w:val="Normal"/>
    <w:link w:val="BalloonTextChar"/>
    <w:uiPriority w:val="99"/>
    <w:semiHidden/>
    <w:unhideWhenUsed/>
    <w:rsid w:val="00D56C8E"/>
    <w:rPr>
      <w:rFonts w:ascii="Segoe UI" w:hAnsi="Segoe UI" w:cs="Segoe UI"/>
      <w:sz w:val="18"/>
    </w:rPr>
  </w:style>
  <w:style w:type="character" w:customStyle="1" w:styleId="BalloonTextChar">
    <w:name w:val="Balloon Text Char"/>
    <w:basedOn w:val="DefaultParagraphFont"/>
    <w:link w:val="BalloonText"/>
    <w:uiPriority w:val="99"/>
    <w:semiHidden/>
    <w:rsid w:val="00D56C8E"/>
    <w:rPr>
      <w:rFonts w:ascii="Segoe UI" w:hAnsi="Segoe UI" w:cs="Segoe UI"/>
      <w:sz w:val="18"/>
      <w:szCs w:val="18"/>
    </w:rPr>
  </w:style>
  <w:style w:type="character" w:styleId="CommentReference">
    <w:name w:val="annotation reference"/>
    <w:basedOn w:val="DefaultParagraphFont"/>
    <w:uiPriority w:val="99"/>
    <w:semiHidden/>
    <w:unhideWhenUsed/>
    <w:rsid w:val="00492DE3"/>
    <w:rPr>
      <w:sz w:val="16"/>
      <w:szCs w:val="16"/>
    </w:rPr>
  </w:style>
  <w:style w:type="paragraph" w:styleId="CommentText">
    <w:name w:val="annotation text"/>
    <w:basedOn w:val="Normal"/>
    <w:link w:val="CommentTextChar"/>
    <w:uiPriority w:val="99"/>
    <w:unhideWhenUsed/>
    <w:rsid w:val="00492DE3"/>
    <w:rPr>
      <w:sz w:val="20"/>
      <w:szCs w:val="20"/>
    </w:rPr>
  </w:style>
  <w:style w:type="character" w:customStyle="1" w:styleId="CommentTextChar">
    <w:name w:val="Comment Text Char"/>
    <w:basedOn w:val="DefaultParagraphFont"/>
    <w:link w:val="CommentText"/>
    <w:uiPriority w:val="99"/>
    <w:rsid w:val="00492DE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92DE3"/>
    <w:rPr>
      <w:b/>
      <w:bCs/>
    </w:rPr>
  </w:style>
  <w:style w:type="character" w:customStyle="1" w:styleId="CommentSubjectChar">
    <w:name w:val="Comment Subject Char"/>
    <w:basedOn w:val="CommentTextChar"/>
    <w:link w:val="CommentSubject"/>
    <w:uiPriority w:val="99"/>
    <w:semiHidden/>
    <w:rsid w:val="00492DE3"/>
    <w:rPr>
      <w:rFonts w:ascii="Trebuchet MS" w:hAnsi="Trebuchet MS"/>
      <w:b/>
      <w:bCs/>
      <w:sz w:val="20"/>
      <w:szCs w:val="20"/>
    </w:rPr>
  </w:style>
  <w:style w:type="character" w:styleId="PlaceholderText">
    <w:name w:val="Placeholder Text"/>
    <w:basedOn w:val="DefaultParagraphFont"/>
    <w:uiPriority w:val="99"/>
    <w:semiHidden/>
    <w:rsid w:val="00E352E1"/>
    <w:rPr>
      <w:color w:val="808080"/>
    </w:rPr>
  </w:style>
  <w:style w:type="paragraph" w:styleId="NormalWeb">
    <w:name w:val="Normal (Web)"/>
    <w:basedOn w:val="Normal"/>
    <w:uiPriority w:val="99"/>
    <w:semiHidden/>
    <w:unhideWhenUsed/>
    <w:rsid w:val="00540538"/>
    <w:pPr>
      <w:spacing w:before="100" w:beforeAutospacing="1" w:after="100" w:afterAutospacing="1"/>
    </w:pPr>
    <w:rPr>
      <w:rFonts w:ascii="Times New Roman" w:eastAsiaTheme="minorEastAsia" w:hAnsi="Times New Roman" w:cs="Times New Roman"/>
      <w:szCs w:val="24"/>
      <w:lang w:eastAsia="en-GB"/>
    </w:rPr>
  </w:style>
  <w:style w:type="character" w:customStyle="1" w:styleId="Mention1">
    <w:name w:val="Mention1"/>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57851"/>
    <w:pPr>
      <w:spacing w:before="0" w:beforeAutospacing="0" w:after="0" w:afterAutospacing="0"/>
    </w:pPr>
    <w:rPr>
      <w:rFonts w:ascii="Trebuchet MS" w:hAnsi="Trebuchet MS"/>
      <w:sz w:val="24"/>
      <w:szCs w:val="18"/>
    </w:rPr>
  </w:style>
  <w:style w:type="character" w:styleId="Mention">
    <w:name w:val="Mention"/>
    <w:basedOn w:val="DefaultParagraphFont"/>
    <w:uiPriority w:val="99"/>
    <w:unhideWhenUsed/>
    <w:rsid w:val="001518B5"/>
    <w:rPr>
      <w:color w:val="2B579A"/>
      <w:shd w:val="clear" w:color="auto" w:fill="E1DFDD"/>
    </w:rPr>
  </w:style>
  <w:style w:type="paragraph" w:customStyle="1" w:styleId="paragraph">
    <w:name w:val="paragraph"/>
    <w:basedOn w:val="Normal"/>
    <w:rsid w:val="008A58D5"/>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8A58D5"/>
  </w:style>
  <w:style w:type="character" w:customStyle="1" w:styleId="eop">
    <w:name w:val="eop"/>
    <w:basedOn w:val="DefaultParagraphFont"/>
    <w:rsid w:val="008A58D5"/>
  </w:style>
  <w:style w:type="character" w:customStyle="1" w:styleId="Heading1Char">
    <w:name w:val="Heading 1 Char"/>
    <w:basedOn w:val="DefaultParagraphFont"/>
    <w:link w:val="Heading1"/>
    <w:uiPriority w:val="9"/>
    <w:rsid w:val="008A58D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9993">
      <w:bodyDiv w:val="1"/>
      <w:marLeft w:val="0"/>
      <w:marRight w:val="0"/>
      <w:marTop w:val="0"/>
      <w:marBottom w:val="0"/>
      <w:divBdr>
        <w:top w:val="none" w:sz="0" w:space="0" w:color="auto"/>
        <w:left w:val="none" w:sz="0" w:space="0" w:color="auto"/>
        <w:bottom w:val="none" w:sz="0" w:space="0" w:color="auto"/>
        <w:right w:val="none" w:sz="0" w:space="0" w:color="auto"/>
      </w:divBdr>
    </w:div>
    <w:div w:id="41250130">
      <w:bodyDiv w:val="1"/>
      <w:marLeft w:val="0"/>
      <w:marRight w:val="0"/>
      <w:marTop w:val="0"/>
      <w:marBottom w:val="0"/>
      <w:divBdr>
        <w:top w:val="none" w:sz="0" w:space="0" w:color="auto"/>
        <w:left w:val="none" w:sz="0" w:space="0" w:color="auto"/>
        <w:bottom w:val="none" w:sz="0" w:space="0" w:color="auto"/>
        <w:right w:val="none" w:sz="0" w:space="0" w:color="auto"/>
      </w:divBdr>
    </w:div>
    <w:div w:id="133106662">
      <w:bodyDiv w:val="1"/>
      <w:marLeft w:val="0"/>
      <w:marRight w:val="0"/>
      <w:marTop w:val="0"/>
      <w:marBottom w:val="0"/>
      <w:divBdr>
        <w:top w:val="none" w:sz="0" w:space="0" w:color="auto"/>
        <w:left w:val="none" w:sz="0" w:space="0" w:color="auto"/>
        <w:bottom w:val="none" w:sz="0" w:space="0" w:color="auto"/>
        <w:right w:val="none" w:sz="0" w:space="0" w:color="auto"/>
      </w:divBdr>
    </w:div>
    <w:div w:id="221910475">
      <w:bodyDiv w:val="1"/>
      <w:marLeft w:val="0"/>
      <w:marRight w:val="0"/>
      <w:marTop w:val="0"/>
      <w:marBottom w:val="0"/>
      <w:divBdr>
        <w:top w:val="none" w:sz="0" w:space="0" w:color="auto"/>
        <w:left w:val="none" w:sz="0" w:space="0" w:color="auto"/>
        <w:bottom w:val="none" w:sz="0" w:space="0" w:color="auto"/>
        <w:right w:val="none" w:sz="0" w:space="0" w:color="auto"/>
      </w:divBdr>
    </w:div>
    <w:div w:id="238101367">
      <w:bodyDiv w:val="1"/>
      <w:marLeft w:val="0"/>
      <w:marRight w:val="0"/>
      <w:marTop w:val="0"/>
      <w:marBottom w:val="0"/>
      <w:divBdr>
        <w:top w:val="none" w:sz="0" w:space="0" w:color="auto"/>
        <w:left w:val="none" w:sz="0" w:space="0" w:color="auto"/>
        <w:bottom w:val="none" w:sz="0" w:space="0" w:color="auto"/>
        <w:right w:val="none" w:sz="0" w:space="0" w:color="auto"/>
      </w:divBdr>
    </w:div>
    <w:div w:id="257951893">
      <w:bodyDiv w:val="1"/>
      <w:marLeft w:val="0"/>
      <w:marRight w:val="0"/>
      <w:marTop w:val="0"/>
      <w:marBottom w:val="0"/>
      <w:divBdr>
        <w:top w:val="none" w:sz="0" w:space="0" w:color="auto"/>
        <w:left w:val="none" w:sz="0" w:space="0" w:color="auto"/>
        <w:bottom w:val="none" w:sz="0" w:space="0" w:color="auto"/>
        <w:right w:val="none" w:sz="0" w:space="0" w:color="auto"/>
      </w:divBdr>
    </w:div>
    <w:div w:id="307519089">
      <w:bodyDiv w:val="1"/>
      <w:marLeft w:val="0"/>
      <w:marRight w:val="0"/>
      <w:marTop w:val="0"/>
      <w:marBottom w:val="0"/>
      <w:divBdr>
        <w:top w:val="none" w:sz="0" w:space="0" w:color="auto"/>
        <w:left w:val="none" w:sz="0" w:space="0" w:color="auto"/>
        <w:bottom w:val="none" w:sz="0" w:space="0" w:color="auto"/>
        <w:right w:val="none" w:sz="0" w:space="0" w:color="auto"/>
      </w:divBdr>
    </w:div>
    <w:div w:id="395130736">
      <w:bodyDiv w:val="1"/>
      <w:marLeft w:val="0"/>
      <w:marRight w:val="0"/>
      <w:marTop w:val="0"/>
      <w:marBottom w:val="0"/>
      <w:divBdr>
        <w:top w:val="none" w:sz="0" w:space="0" w:color="auto"/>
        <w:left w:val="none" w:sz="0" w:space="0" w:color="auto"/>
        <w:bottom w:val="none" w:sz="0" w:space="0" w:color="auto"/>
        <w:right w:val="none" w:sz="0" w:space="0" w:color="auto"/>
      </w:divBdr>
    </w:div>
    <w:div w:id="465466481">
      <w:bodyDiv w:val="1"/>
      <w:marLeft w:val="0"/>
      <w:marRight w:val="0"/>
      <w:marTop w:val="0"/>
      <w:marBottom w:val="0"/>
      <w:divBdr>
        <w:top w:val="none" w:sz="0" w:space="0" w:color="auto"/>
        <w:left w:val="none" w:sz="0" w:space="0" w:color="auto"/>
        <w:bottom w:val="none" w:sz="0" w:space="0" w:color="auto"/>
        <w:right w:val="none" w:sz="0" w:space="0" w:color="auto"/>
      </w:divBdr>
    </w:div>
    <w:div w:id="489062257">
      <w:bodyDiv w:val="1"/>
      <w:marLeft w:val="0"/>
      <w:marRight w:val="0"/>
      <w:marTop w:val="0"/>
      <w:marBottom w:val="0"/>
      <w:divBdr>
        <w:top w:val="none" w:sz="0" w:space="0" w:color="auto"/>
        <w:left w:val="none" w:sz="0" w:space="0" w:color="auto"/>
        <w:bottom w:val="none" w:sz="0" w:space="0" w:color="auto"/>
        <w:right w:val="none" w:sz="0" w:space="0" w:color="auto"/>
      </w:divBdr>
    </w:div>
    <w:div w:id="549340825">
      <w:bodyDiv w:val="1"/>
      <w:marLeft w:val="0"/>
      <w:marRight w:val="0"/>
      <w:marTop w:val="0"/>
      <w:marBottom w:val="0"/>
      <w:divBdr>
        <w:top w:val="none" w:sz="0" w:space="0" w:color="auto"/>
        <w:left w:val="none" w:sz="0" w:space="0" w:color="auto"/>
        <w:bottom w:val="none" w:sz="0" w:space="0" w:color="auto"/>
        <w:right w:val="none" w:sz="0" w:space="0" w:color="auto"/>
      </w:divBdr>
    </w:div>
    <w:div w:id="722489714">
      <w:bodyDiv w:val="1"/>
      <w:marLeft w:val="0"/>
      <w:marRight w:val="0"/>
      <w:marTop w:val="0"/>
      <w:marBottom w:val="0"/>
      <w:divBdr>
        <w:top w:val="none" w:sz="0" w:space="0" w:color="auto"/>
        <w:left w:val="none" w:sz="0" w:space="0" w:color="auto"/>
        <w:bottom w:val="none" w:sz="0" w:space="0" w:color="auto"/>
        <w:right w:val="none" w:sz="0" w:space="0" w:color="auto"/>
      </w:divBdr>
    </w:div>
    <w:div w:id="770706648">
      <w:bodyDiv w:val="1"/>
      <w:marLeft w:val="0"/>
      <w:marRight w:val="0"/>
      <w:marTop w:val="0"/>
      <w:marBottom w:val="0"/>
      <w:divBdr>
        <w:top w:val="none" w:sz="0" w:space="0" w:color="auto"/>
        <w:left w:val="none" w:sz="0" w:space="0" w:color="auto"/>
        <w:bottom w:val="none" w:sz="0" w:space="0" w:color="auto"/>
        <w:right w:val="none" w:sz="0" w:space="0" w:color="auto"/>
      </w:divBdr>
    </w:div>
    <w:div w:id="771977191">
      <w:bodyDiv w:val="1"/>
      <w:marLeft w:val="0"/>
      <w:marRight w:val="0"/>
      <w:marTop w:val="0"/>
      <w:marBottom w:val="0"/>
      <w:divBdr>
        <w:top w:val="none" w:sz="0" w:space="0" w:color="auto"/>
        <w:left w:val="none" w:sz="0" w:space="0" w:color="auto"/>
        <w:bottom w:val="none" w:sz="0" w:space="0" w:color="auto"/>
        <w:right w:val="none" w:sz="0" w:space="0" w:color="auto"/>
      </w:divBdr>
    </w:div>
    <w:div w:id="1017924731">
      <w:bodyDiv w:val="1"/>
      <w:marLeft w:val="0"/>
      <w:marRight w:val="0"/>
      <w:marTop w:val="0"/>
      <w:marBottom w:val="0"/>
      <w:divBdr>
        <w:top w:val="none" w:sz="0" w:space="0" w:color="auto"/>
        <w:left w:val="none" w:sz="0" w:space="0" w:color="auto"/>
        <w:bottom w:val="none" w:sz="0" w:space="0" w:color="auto"/>
        <w:right w:val="none" w:sz="0" w:space="0" w:color="auto"/>
      </w:divBdr>
    </w:div>
    <w:div w:id="1180042097">
      <w:bodyDiv w:val="1"/>
      <w:marLeft w:val="0"/>
      <w:marRight w:val="0"/>
      <w:marTop w:val="0"/>
      <w:marBottom w:val="0"/>
      <w:divBdr>
        <w:top w:val="none" w:sz="0" w:space="0" w:color="auto"/>
        <w:left w:val="none" w:sz="0" w:space="0" w:color="auto"/>
        <w:bottom w:val="none" w:sz="0" w:space="0" w:color="auto"/>
        <w:right w:val="none" w:sz="0" w:space="0" w:color="auto"/>
      </w:divBdr>
    </w:div>
    <w:div w:id="1196308006">
      <w:bodyDiv w:val="1"/>
      <w:marLeft w:val="0"/>
      <w:marRight w:val="0"/>
      <w:marTop w:val="0"/>
      <w:marBottom w:val="0"/>
      <w:divBdr>
        <w:top w:val="none" w:sz="0" w:space="0" w:color="auto"/>
        <w:left w:val="none" w:sz="0" w:space="0" w:color="auto"/>
        <w:bottom w:val="none" w:sz="0" w:space="0" w:color="auto"/>
        <w:right w:val="none" w:sz="0" w:space="0" w:color="auto"/>
      </w:divBdr>
    </w:div>
    <w:div w:id="1244947366">
      <w:bodyDiv w:val="1"/>
      <w:marLeft w:val="0"/>
      <w:marRight w:val="0"/>
      <w:marTop w:val="0"/>
      <w:marBottom w:val="0"/>
      <w:divBdr>
        <w:top w:val="none" w:sz="0" w:space="0" w:color="auto"/>
        <w:left w:val="none" w:sz="0" w:space="0" w:color="auto"/>
        <w:bottom w:val="none" w:sz="0" w:space="0" w:color="auto"/>
        <w:right w:val="none" w:sz="0" w:space="0" w:color="auto"/>
      </w:divBdr>
    </w:div>
    <w:div w:id="1278567698">
      <w:bodyDiv w:val="1"/>
      <w:marLeft w:val="0"/>
      <w:marRight w:val="0"/>
      <w:marTop w:val="0"/>
      <w:marBottom w:val="0"/>
      <w:divBdr>
        <w:top w:val="none" w:sz="0" w:space="0" w:color="auto"/>
        <w:left w:val="none" w:sz="0" w:space="0" w:color="auto"/>
        <w:bottom w:val="none" w:sz="0" w:space="0" w:color="auto"/>
        <w:right w:val="none" w:sz="0" w:space="0" w:color="auto"/>
      </w:divBdr>
    </w:div>
    <w:div w:id="1286428261">
      <w:bodyDiv w:val="1"/>
      <w:marLeft w:val="0"/>
      <w:marRight w:val="0"/>
      <w:marTop w:val="0"/>
      <w:marBottom w:val="0"/>
      <w:divBdr>
        <w:top w:val="none" w:sz="0" w:space="0" w:color="auto"/>
        <w:left w:val="none" w:sz="0" w:space="0" w:color="auto"/>
        <w:bottom w:val="none" w:sz="0" w:space="0" w:color="auto"/>
        <w:right w:val="none" w:sz="0" w:space="0" w:color="auto"/>
      </w:divBdr>
    </w:div>
    <w:div w:id="1315913128">
      <w:bodyDiv w:val="1"/>
      <w:marLeft w:val="0"/>
      <w:marRight w:val="0"/>
      <w:marTop w:val="0"/>
      <w:marBottom w:val="0"/>
      <w:divBdr>
        <w:top w:val="none" w:sz="0" w:space="0" w:color="auto"/>
        <w:left w:val="none" w:sz="0" w:space="0" w:color="auto"/>
        <w:bottom w:val="none" w:sz="0" w:space="0" w:color="auto"/>
        <w:right w:val="none" w:sz="0" w:space="0" w:color="auto"/>
      </w:divBdr>
    </w:div>
    <w:div w:id="1362170153">
      <w:bodyDiv w:val="1"/>
      <w:marLeft w:val="0"/>
      <w:marRight w:val="0"/>
      <w:marTop w:val="0"/>
      <w:marBottom w:val="0"/>
      <w:divBdr>
        <w:top w:val="none" w:sz="0" w:space="0" w:color="auto"/>
        <w:left w:val="none" w:sz="0" w:space="0" w:color="auto"/>
        <w:bottom w:val="none" w:sz="0" w:space="0" w:color="auto"/>
        <w:right w:val="none" w:sz="0" w:space="0" w:color="auto"/>
      </w:divBdr>
    </w:div>
    <w:div w:id="1474565691">
      <w:bodyDiv w:val="1"/>
      <w:marLeft w:val="0"/>
      <w:marRight w:val="0"/>
      <w:marTop w:val="0"/>
      <w:marBottom w:val="0"/>
      <w:divBdr>
        <w:top w:val="none" w:sz="0" w:space="0" w:color="auto"/>
        <w:left w:val="none" w:sz="0" w:space="0" w:color="auto"/>
        <w:bottom w:val="none" w:sz="0" w:space="0" w:color="auto"/>
        <w:right w:val="none" w:sz="0" w:space="0" w:color="auto"/>
      </w:divBdr>
    </w:div>
    <w:div w:id="1626354975">
      <w:bodyDiv w:val="1"/>
      <w:marLeft w:val="0"/>
      <w:marRight w:val="0"/>
      <w:marTop w:val="0"/>
      <w:marBottom w:val="0"/>
      <w:divBdr>
        <w:top w:val="none" w:sz="0" w:space="0" w:color="auto"/>
        <w:left w:val="none" w:sz="0" w:space="0" w:color="auto"/>
        <w:bottom w:val="none" w:sz="0" w:space="0" w:color="auto"/>
        <w:right w:val="none" w:sz="0" w:space="0" w:color="auto"/>
      </w:divBdr>
    </w:div>
    <w:div w:id="1643382655">
      <w:bodyDiv w:val="1"/>
      <w:marLeft w:val="0"/>
      <w:marRight w:val="0"/>
      <w:marTop w:val="0"/>
      <w:marBottom w:val="0"/>
      <w:divBdr>
        <w:top w:val="none" w:sz="0" w:space="0" w:color="auto"/>
        <w:left w:val="none" w:sz="0" w:space="0" w:color="auto"/>
        <w:bottom w:val="none" w:sz="0" w:space="0" w:color="auto"/>
        <w:right w:val="none" w:sz="0" w:space="0" w:color="auto"/>
      </w:divBdr>
    </w:div>
    <w:div w:id="1761027444">
      <w:bodyDiv w:val="1"/>
      <w:marLeft w:val="0"/>
      <w:marRight w:val="0"/>
      <w:marTop w:val="0"/>
      <w:marBottom w:val="0"/>
      <w:divBdr>
        <w:top w:val="none" w:sz="0" w:space="0" w:color="auto"/>
        <w:left w:val="none" w:sz="0" w:space="0" w:color="auto"/>
        <w:bottom w:val="none" w:sz="0" w:space="0" w:color="auto"/>
        <w:right w:val="none" w:sz="0" w:space="0" w:color="auto"/>
      </w:divBdr>
    </w:div>
    <w:div w:id="1819879487">
      <w:bodyDiv w:val="1"/>
      <w:marLeft w:val="0"/>
      <w:marRight w:val="0"/>
      <w:marTop w:val="0"/>
      <w:marBottom w:val="0"/>
      <w:divBdr>
        <w:top w:val="none" w:sz="0" w:space="0" w:color="auto"/>
        <w:left w:val="none" w:sz="0" w:space="0" w:color="auto"/>
        <w:bottom w:val="none" w:sz="0" w:space="0" w:color="auto"/>
        <w:right w:val="none" w:sz="0" w:space="0" w:color="auto"/>
      </w:divBdr>
    </w:div>
    <w:div w:id="1837957382">
      <w:bodyDiv w:val="1"/>
      <w:marLeft w:val="0"/>
      <w:marRight w:val="0"/>
      <w:marTop w:val="0"/>
      <w:marBottom w:val="0"/>
      <w:divBdr>
        <w:top w:val="none" w:sz="0" w:space="0" w:color="auto"/>
        <w:left w:val="none" w:sz="0" w:space="0" w:color="auto"/>
        <w:bottom w:val="none" w:sz="0" w:space="0" w:color="auto"/>
        <w:right w:val="none" w:sz="0" w:space="0" w:color="auto"/>
      </w:divBdr>
    </w:div>
    <w:div w:id="1856650063">
      <w:bodyDiv w:val="1"/>
      <w:marLeft w:val="0"/>
      <w:marRight w:val="0"/>
      <w:marTop w:val="0"/>
      <w:marBottom w:val="0"/>
      <w:divBdr>
        <w:top w:val="none" w:sz="0" w:space="0" w:color="auto"/>
        <w:left w:val="none" w:sz="0" w:space="0" w:color="auto"/>
        <w:bottom w:val="none" w:sz="0" w:space="0" w:color="auto"/>
        <w:right w:val="none" w:sz="0" w:space="0" w:color="auto"/>
      </w:divBdr>
    </w:div>
    <w:div w:id="1863014548">
      <w:bodyDiv w:val="1"/>
      <w:marLeft w:val="0"/>
      <w:marRight w:val="0"/>
      <w:marTop w:val="0"/>
      <w:marBottom w:val="0"/>
      <w:divBdr>
        <w:top w:val="none" w:sz="0" w:space="0" w:color="auto"/>
        <w:left w:val="none" w:sz="0" w:space="0" w:color="auto"/>
        <w:bottom w:val="none" w:sz="0" w:space="0" w:color="auto"/>
        <w:right w:val="none" w:sz="0" w:space="0" w:color="auto"/>
      </w:divBdr>
    </w:div>
    <w:div w:id="1976056174">
      <w:bodyDiv w:val="1"/>
      <w:marLeft w:val="0"/>
      <w:marRight w:val="0"/>
      <w:marTop w:val="0"/>
      <w:marBottom w:val="0"/>
      <w:divBdr>
        <w:top w:val="none" w:sz="0" w:space="0" w:color="auto"/>
        <w:left w:val="none" w:sz="0" w:space="0" w:color="auto"/>
        <w:bottom w:val="none" w:sz="0" w:space="0" w:color="auto"/>
        <w:right w:val="none" w:sz="0" w:space="0" w:color="auto"/>
      </w:divBdr>
    </w:div>
    <w:div w:id="2001814126">
      <w:bodyDiv w:val="1"/>
      <w:marLeft w:val="0"/>
      <w:marRight w:val="0"/>
      <w:marTop w:val="0"/>
      <w:marBottom w:val="0"/>
      <w:divBdr>
        <w:top w:val="none" w:sz="0" w:space="0" w:color="auto"/>
        <w:left w:val="none" w:sz="0" w:space="0" w:color="auto"/>
        <w:bottom w:val="none" w:sz="0" w:space="0" w:color="auto"/>
        <w:right w:val="none" w:sz="0" w:space="0" w:color="auto"/>
      </w:divBdr>
    </w:div>
    <w:div w:id="214330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7c8e73-1a92-43ae-87b4-1041e4b5416f">
      <UserInfo>
        <DisplayName>Kingsley Thomas</DisplayName>
        <AccountId>22</AccountId>
        <AccountType/>
      </UserInfo>
    </SharedWithUsers>
    <Retention xmlns="ddc97c0f-92d3-40cc-8a88-afbef9d2f0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EA303-1C12-4744-BD0F-24DAA46DCD47}">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59efbd73-5937-4885-a7ac-8ae5c6ee11b7"/>
    <ds:schemaRef ds:uri="http://schemas.microsoft.com/office/infopath/2007/PartnerControls"/>
    <ds:schemaRef ds:uri="http://schemas.openxmlformats.org/package/2006/metadata/core-properties"/>
    <ds:schemaRef ds:uri="3704ac3b-17c7-4ff4-af57-3e3636930402"/>
    <ds:schemaRef ds:uri="http://purl.org/dc/terms/"/>
    <ds:schemaRef ds:uri="f77c8e73-1a92-43ae-87b4-1041e4b5416f"/>
    <ds:schemaRef ds:uri="ddc97c0f-92d3-40cc-8a88-afbef9d2f083"/>
  </ds:schemaRefs>
</ds:datastoreItem>
</file>

<file path=customXml/itemProps2.xml><?xml version="1.0" encoding="utf-8"?>
<ds:datastoreItem xmlns:ds="http://schemas.openxmlformats.org/officeDocument/2006/customXml" ds:itemID="{A7B5258D-2117-4453-8AC7-84FF1012E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2FE82-32AE-4040-8831-62E444526C62}">
  <ds:schemaRefs>
    <ds:schemaRef ds:uri="http://schemas.microsoft.com/sharepoint/v3/contenttype/forms"/>
  </ds:schemaRefs>
</ds:datastoreItem>
</file>

<file path=customXml/itemProps4.xml><?xml version="1.0" encoding="utf-8"?>
<ds:datastoreItem xmlns:ds="http://schemas.openxmlformats.org/officeDocument/2006/customXml" ds:itemID="{848CDB12-1572-423A-8FA0-584B2990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Board Report</vt:lpstr>
    </vt:vector>
  </TitlesOfParts>
  <Company>SLAB</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Performance Report May 2024</dc:title>
  <dc:subject>Board papers</dc:subject>
  <dc:creator>Scottish Legal Aid Board</dc:creator>
  <cp:keywords/>
  <dc:description/>
  <cp:lastModifiedBy>Lindsay Corr</cp:lastModifiedBy>
  <cp:revision>2</cp:revision>
  <dcterms:created xsi:type="dcterms:W3CDTF">2024-11-15T13:49:00Z</dcterms:created>
  <dcterms:modified xsi:type="dcterms:W3CDTF">2024-11-15T13:49:00Z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ies>
</file>