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467FA" w14:textId="56FDBB34" w:rsidR="00B26F64" w:rsidRDefault="008F06EB" w:rsidP="008F06EB">
      <w:pPr>
        <w:tabs>
          <w:tab w:val="left" w:pos="7095"/>
        </w:tabs>
        <w:rPr>
          <w:b/>
          <w:bCs/>
          <w:sz w:val="24"/>
          <w:szCs w:val="24"/>
        </w:rPr>
      </w:pPr>
      <w:r w:rsidRPr="008F06EB">
        <w:rPr>
          <w:b/>
          <w:bCs/>
          <w:sz w:val="36"/>
          <w:szCs w:val="36"/>
        </w:rPr>
        <w:t xml:space="preserve">BOARD REPORT </w:t>
      </w:r>
      <w:r>
        <w:rPr>
          <w:b/>
          <w:bCs/>
          <w:sz w:val="36"/>
          <w:szCs w:val="36"/>
        </w:rPr>
        <w:tab/>
      </w:r>
      <w:r w:rsidR="008D07CE">
        <w:rPr>
          <w:b/>
          <w:bCs/>
          <w:sz w:val="36"/>
          <w:szCs w:val="36"/>
        </w:rPr>
        <w:tab/>
      </w:r>
      <w:r w:rsidR="008D07CE">
        <w:rPr>
          <w:b/>
          <w:bCs/>
          <w:sz w:val="36"/>
          <w:szCs w:val="36"/>
        </w:rPr>
        <w:tab/>
      </w:r>
      <w:r>
        <w:rPr>
          <w:b/>
          <w:bCs/>
          <w:sz w:val="24"/>
          <w:szCs w:val="24"/>
        </w:rPr>
        <w:t>Agenda Item: 12</w:t>
      </w:r>
    </w:p>
    <w:p w14:paraId="49F53430" w14:textId="4ECF8FE6" w:rsidR="008F06EB" w:rsidRPr="008F06EB" w:rsidRDefault="00D857A3" w:rsidP="008F06EB">
      <w:pPr>
        <w:tabs>
          <w:tab w:val="left" w:pos="7095"/>
        </w:tabs>
        <w:rPr>
          <w:b/>
          <w:bCs/>
          <w:sz w:val="24"/>
          <w:szCs w:val="24"/>
        </w:rPr>
      </w:pPr>
      <w:r>
        <w:rPr>
          <w:b/>
          <w:bCs/>
          <w:sz w:val="24"/>
          <w:szCs w:val="24"/>
        </w:rPr>
        <w:t xml:space="preserve">                                                                            </w:t>
      </w:r>
      <w:r w:rsidR="008D07CE">
        <w:rPr>
          <w:b/>
          <w:bCs/>
          <w:sz w:val="24"/>
          <w:szCs w:val="24"/>
        </w:rPr>
        <w:t xml:space="preserve">            </w:t>
      </w:r>
      <w:r w:rsidR="008F06EB">
        <w:rPr>
          <w:b/>
          <w:bCs/>
          <w:sz w:val="24"/>
          <w:szCs w:val="24"/>
        </w:rPr>
        <w:t>Report Number: SLAB-2024-</w:t>
      </w:r>
      <w:r>
        <w:rPr>
          <w:b/>
          <w:bCs/>
          <w:sz w:val="24"/>
          <w:szCs w:val="24"/>
        </w:rPr>
        <w:t>24</w:t>
      </w:r>
    </w:p>
    <w:tbl>
      <w:tblPr>
        <w:tblStyle w:val="TableGrid"/>
        <w:tblpPr w:leftFromText="180" w:rightFromText="180" w:vertAnchor="page" w:horzAnchor="margin" w:tblpY="3376"/>
        <w:tblW w:w="10343" w:type="dxa"/>
        <w:tblLayout w:type="fixed"/>
        <w:tblLook w:val="04A0" w:firstRow="1" w:lastRow="0" w:firstColumn="1" w:lastColumn="0" w:noHBand="0" w:noVBand="1"/>
      </w:tblPr>
      <w:tblGrid>
        <w:gridCol w:w="2830"/>
        <w:gridCol w:w="7513"/>
      </w:tblGrid>
      <w:tr w:rsidR="00B26F64" w:rsidRPr="00475014" w14:paraId="5BE207BF" w14:textId="77777777" w:rsidTr="008D07CE">
        <w:tc>
          <w:tcPr>
            <w:tcW w:w="2830" w:type="dxa"/>
            <w:shd w:val="clear" w:color="auto" w:fill="D9D9D9" w:themeFill="background1" w:themeFillShade="D9"/>
          </w:tcPr>
          <w:p w14:paraId="2CE5D177" w14:textId="77777777" w:rsidR="000F7A82" w:rsidRPr="00475014" w:rsidRDefault="00B26F64" w:rsidP="008F06EB">
            <w:pPr>
              <w:rPr>
                <w:b/>
                <w:sz w:val="24"/>
                <w:szCs w:val="24"/>
              </w:rPr>
            </w:pPr>
            <w:r w:rsidRPr="00475014">
              <w:rPr>
                <w:b/>
                <w:sz w:val="24"/>
                <w:szCs w:val="24"/>
              </w:rPr>
              <w:t>Report to:</w:t>
            </w:r>
          </w:p>
        </w:tc>
        <w:sdt>
          <w:sdtPr>
            <w:rPr>
              <w:sz w:val="24"/>
              <w:szCs w:val="24"/>
            </w:rPr>
            <w:alias w:val="Report to"/>
            <w:tag w:val="Report to"/>
            <w:id w:val="-2087455742"/>
            <w:placeholder>
              <w:docPart w:val="68CBA6D5ACB243C5883AC53EF4918A29"/>
            </w:placeholder>
            <w:dropDownList>
              <w:listItem w:value="Choose an item."/>
              <w:listItem w:displayText="The Board" w:value="The Board"/>
              <w:listItem w:displayText="Legal Services Policy Committee" w:value="Legal Services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dropDownList>
          </w:sdtPr>
          <w:sdtEndPr/>
          <w:sdtContent>
            <w:tc>
              <w:tcPr>
                <w:tcW w:w="7513" w:type="dxa"/>
              </w:tcPr>
              <w:p w14:paraId="07A18E70" w14:textId="77777777" w:rsidR="00B26F64" w:rsidRPr="00475014" w:rsidRDefault="00E16CA2" w:rsidP="008F06EB">
                <w:pPr>
                  <w:rPr>
                    <w:sz w:val="24"/>
                    <w:szCs w:val="24"/>
                  </w:rPr>
                </w:pPr>
                <w:r w:rsidRPr="00475014">
                  <w:rPr>
                    <w:sz w:val="24"/>
                    <w:szCs w:val="24"/>
                  </w:rPr>
                  <w:t>The Board</w:t>
                </w:r>
              </w:p>
            </w:tc>
          </w:sdtContent>
        </w:sdt>
      </w:tr>
      <w:tr w:rsidR="00B26F64" w:rsidRPr="00475014" w14:paraId="65F6DA3C" w14:textId="77777777" w:rsidTr="008D07CE">
        <w:tc>
          <w:tcPr>
            <w:tcW w:w="2830" w:type="dxa"/>
            <w:shd w:val="clear" w:color="auto" w:fill="D9D9D9" w:themeFill="background1" w:themeFillShade="D9"/>
          </w:tcPr>
          <w:p w14:paraId="095018E9" w14:textId="77777777" w:rsidR="000F7A82" w:rsidRPr="00475014" w:rsidRDefault="00B26F64" w:rsidP="008F06EB">
            <w:pPr>
              <w:rPr>
                <w:b/>
                <w:sz w:val="24"/>
                <w:szCs w:val="24"/>
              </w:rPr>
            </w:pPr>
            <w:r w:rsidRPr="00475014">
              <w:rPr>
                <w:b/>
                <w:sz w:val="24"/>
                <w:szCs w:val="24"/>
              </w:rPr>
              <w:t>Meeting Date:</w:t>
            </w:r>
          </w:p>
        </w:tc>
        <w:tc>
          <w:tcPr>
            <w:tcW w:w="7513" w:type="dxa"/>
          </w:tcPr>
          <w:p w14:paraId="60D8530C" w14:textId="3097B314" w:rsidR="00B26F64" w:rsidRPr="00475014" w:rsidRDefault="007906F1" w:rsidP="008F06EB">
            <w:pPr>
              <w:rPr>
                <w:sz w:val="24"/>
                <w:szCs w:val="24"/>
              </w:rPr>
            </w:pPr>
            <w:r>
              <w:rPr>
                <w:sz w:val="24"/>
                <w:szCs w:val="24"/>
              </w:rPr>
              <w:t>20</w:t>
            </w:r>
            <w:r w:rsidR="00421BAE" w:rsidRPr="00475014">
              <w:rPr>
                <w:sz w:val="24"/>
                <w:szCs w:val="24"/>
              </w:rPr>
              <w:t xml:space="preserve"> </w:t>
            </w:r>
            <w:r w:rsidR="00D47D96" w:rsidRPr="00475014">
              <w:rPr>
                <w:sz w:val="24"/>
                <w:szCs w:val="24"/>
              </w:rPr>
              <w:t>May 202</w:t>
            </w:r>
            <w:r w:rsidR="00D22021">
              <w:rPr>
                <w:sz w:val="24"/>
                <w:szCs w:val="24"/>
              </w:rPr>
              <w:t>4</w:t>
            </w:r>
          </w:p>
        </w:tc>
      </w:tr>
      <w:tr w:rsidR="00B26F64" w:rsidRPr="00475014" w14:paraId="673698E0" w14:textId="77777777" w:rsidTr="008D07CE">
        <w:trPr>
          <w:trHeight w:val="265"/>
        </w:trPr>
        <w:tc>
          <w:tcPr>
            <w:tcW w:w="2830" w:type="dxa"/>
            <w:shd w:val="clear" w:color="auto" w:fill="D9D9D9" w:themeFill="background1" w:themeFillShade="D9"/>
          </w:tcPr>
          <w:p w14:paraId="4A1F18B2" w14:textId="77777777" w:rsidR="000F7A82" w:rsidRPr="00475014" w:rsidRDefault="00B26F64" w:rsidP="008F06EB">
            <w:pPr>
              <w:rPr>
                <w:b/>
                <w:sz w:val="24"/>
                <w:szCs w:val="24"/>
              </w:rPr>
            </w:pPr>
            <w:r w:rsidRPr="00475014">
              <w:rPr>
                <w:b/>
                <w:sz w:val="24"/>
                <w:szCs w:val="24"/>
              </w:rPr>
              <w:t>Report Title</w:t>
            </w:r>
          </w:p>
        </w:tc>
        <w:tc>
          <w:tcPr>
            <w:tcW w:w="7513" w:type="dxa"/>
          </w:tcPr>
          <w:p w14:paraId="260349E5" w14:textId="39A195BF" w:rsidR="00B26F64" w:rsidRPr="00475014" w:rsidRDefault="00D47D96" w:rsidP="008F06EB">
            <w:pPr>
              <w:spacing w:after="120"/>
              <w:rPr>
                <w:sz w:val="24"/>
                <w:szCs w:val="24"/>
              </w:rPr>
            </w:pPr>
            <w:r w:rsidRPr="00475014">
              <w:rPr>
                <w:sz w:val="24"/>
                <w:szCs w:val="24"/>
              </w:rPr>
              <w:t xml:space="preserve">Annual </w:t>
            </w:r>
            <w:r w:rsidR="008D07CE">
              <w:rPr>
                <w:sz w:val="24"/>
                <w:szCs w:val="24"/>
              </w:rPr>
              <w:t xml:space="preserve">People </w:t>
            </w:r>
            <w:r w:rsidRPr="00475014">
              <w:rPr>
                <w:sz w:val="24"/>
                <w:szCs w:val="24"/>
              </w:rPr>
              <w:t>Report</w:t>
            </w:r>
          </w:p>
        </w:tc>
      </w:tr>
      <w:tr w:rsidR="00B26F64" w:rsidRPr="00475014" w14:paraId="0F401D1B" w14:textId="77777777" w:rsidTr="008D07CE">
        <w:tc>
          <w:tcPr>
            <w:tcW w:w="2830" w:type="dxa"/>
            <w:shd w:val="clear" w:color="auto" w:fill="D9D9D9" w:themeFill="background1" w:themeFillShade="D9"/>
          </w:tcPr>
          <w:p w14:paraId="3493BC8A" w14:textId="77777777" w:rsidR="00F666E1" w:rsidRPr="00475014" w:rsidRDefault="00B86375" w:rsidP="008F06EB">
            <w:pPr>
              <w:rPr>
                <w:b/>
                <w:sz w:val="24"/>
                <w:szCs w:val="24"/>
              </w:rPr>
            </w:pPr>
            <w:r w:rsidRPr="00475014">
              <w:rPr>
                <w:b/>
                <w:sz w:val="24"/>
                <w:szCs w:val="24"/>
              </w:rPr>
              <w:t xml:space="preserve">Report </w:t>
            </w:r>
            <w:r w:rsidR="009D2260" w:rsidRPr="00475014">
              <w:rPr>
                <w:b/>
                <w:sz w:val="24"/>
                <w:szCs w:val="24"/>
              </w:rPr>
              <w:t>Category</w:t>
            </w:r>
          </w:p>
        </w:tc>
        <w:tc>
          <w:tcPr>
            <w:tcW w:w="7513" w:type="dxa"/>
          </w:tcPr>
          <w:sdt>
            <w:sdtPr>
              <w:rPr>
                <w:sz w:val="24"/>
                <w:szCs w:val="24"/>
              </w:rPr>
              <w:id w:val="-488241055"/>
              <w:placeholder>
                <w:docPart w:val="645A5992FB0F48BE90E53186A12B6498"/>
              </w:placeholder>
              <w:dropDownList>
                <w:listItem w:value="Choose an item."/>
                <w:listItem w:displayText="For Information" w:value="For Information"/>
                <w:listItem w:displayText="For Decision" w:value="For Decision"/>
                <w:listItem w:displayText="For Discussion" w:value="For Discussion"/>
              </w:dropDownList>
            </w:sdtPr>
            <w:sdtEndPr/>
            <w:sdtContent>
              <w:p w14:paraId="22B4DAF1" w14:textId="77777777" w:rsidR="00B86375" w:rsidRPr="00475014" w:rsidRDefault="00D47D96" w:rsidP="008F06EB">
                <w:pPr>
                  <w:rPr>
                    <w:sz w:val="24"/>
                    <w:szCs w:val="24"/>
                  </w:rPr>
                </w:pPr>
                <w:r w:rsidRPr="00475014">
                  <w:rPr>
                    <w:sz w:val="24"/>
                    <w:szCs w:val="24"/>
                  </w:rPr>
                  <w:t>For Information</w:t>
                </w:r>
              </w:p>
            </w:sdtContent>
          </w:sdt>
        </w:tc>
      </w:tr>
      <w:tr w:rsidR="00246439" w:rsidRPr="00475014" w14:paraId="734CC94C" w14:textId="77777777" w:rsidTr="008D07CE">
        <w:trPr>
          <w:trHeight w:val="271"/>
        </w:trPr>
        <w:tc>
          <w:tcPr>
            <w:tcW w:w="2830" w:type="dxa"/>
            <w:shd w:val="clear" w:color="auto" w:fill="D9D9D9" w:themeFill="background1" w:themeFillShade="D9"/>
          </w:tcPr>
          <w:p w14:paraId="29A94836" w14:textId="77777777" w:rsidR="00246439" w:rsidRPr="00475014" w:rsidRDefault="00246439" w:rsidP="008F06EB">
            <w:pPr>
              <w:rPr>
                <w:b/>
                <w:sz w:val="24"/>
                <w:szCs w:val="24"/>
              </w:rPr>
            </w:pPr>
            <w:r w:rsidRPr="00475014">
              <w:rPr>
                <w:b/>
                <w:sz w:val="24"/>
                <w:szCs w:val="24"/>
              </w:rPr>
              <w:t>Issue status:</w:t>
            </w:r>
          </w:p>
        </w:tc>
        <w:sdt>
          <w:sdtPr>
            <w:rPr>
              <w:sz w:val="24"/>
              <w:szCs w:val="24"/>
            </w:rPr>
            <w:id w:val="540716937"/>
            <w:placeholder>
              <w:docPart w:val="ABD345D267BA412DB9FD676C473BD746"/>
            </w:placeholder>
            <w:dropDownList>
              <w:listItem w:value="Choose an item."/>
              <w:listItem w:displayText="Business as usual" w:value="Business as usual"/>
              <w:listItem w:displayText="Business from a project" w:value="Business from a project"/>
              <w:listItem w:displayText="Directorate project" w:value="Directorate project"/>
            </w:dropDownList>
          </w:sdtPr>
          <w:sdtEndPr/>
          <w:sdtContent>
            <w:tc>
              <w:tcPr>
                <w:tcW w:w="7513" w:type="dxa"/>
              </w:tcPr>
              <w:p w14:paraId="5E440A52" w14:textId="77777777" w:rsidR="00EC63B9" w:rsidRPr="00475014" w:rsidRDefault="00205332" w:rsidP="008F06EB">
                <w:pPr>
                  <w:rPr>
                    <w:sz w:val="24"/>
                    <w:szCs w:val="24"/>
                  </w:rPr>
                </w:pPr>
                <w:r w:rsidRPr="00475014" w:rsidDel="00521EF4">
                  <w:rPr>
                    <w:sz w:val="24"/>
                    <w:szCs w:val="24"/>
                  </w:rPr>
                  <w:t>Business as usual</w:t>
                </w:r>
              </w:p>
            </w:tc>
          </w:sdtContent>
        </w:sdt>
      </w:tr>
    </w:tbl>
    <w:tbl>
      <w:tblPr>
        <w:tblStyle w:val="TableGrid"/>
        <w:tblW w:w="10343" w:type="dxa"/>
        <w:tblInd w:w="-5" w:type="dxa"/>
        <w:tblLook w:val="04A0" w:firstRow="1" w:lastRow="0" w:firstColumn="1" w:lastColumn="0" w:noHBand="0" w:noVBand="1"/>
      </w:tblPr>
      <w:tblGrid>
        <w:gridCol w:w="2835"/>
        <w:gridCol w:w="7508"/>
      </w:tblGrid>
      <w:tr w:rsidR="00B26F64" w:rsidRPr="00475014" w14:paraId="2264198E" w14:textId="77777777" w:rsidTr="008D07CE">
        <w:trPr>
          <w:trHeight w:val="270"/>
        </w:trPr>
        <w:tc>
          <w:tcPr>
            <w:tcW w:w="2835" w:type="dxa"/>
            <w:shd w:val="clear" w:color="auto" w:fill="D9D9D9" w:themeFill="background1" w:themeFillShade="D9"/>
          </w:tcPr>
          <w:p w14:paraId="63D35CD2" w14:textId="77777777" w:rsidR="000F7A82" w:rsidRPr="00475014" w:rsidRDefault="00B86375" w:rsidP="00B86375">
            <w:pPr>
              <w:rPr>
                <w:b/>
                <w:sz w:val="24"/>
                <w:szCs w:val="24"/>
              </w:rPr>
            </w:pPr>
            <w:r w:rsidRPr="00475014">
              <w:rPr>
                <w:b/>
                <w:sz w:val="24"/>
                <w:szCs w:val="24"/>
              </w:rPr>
              <w:t>Written</w:t>
            </w:r>
            <w:r w:rsidR="00B26F64" w:rsidRPr="00475014">
              <w:rPr>
                <w:b/>
                <w:sz w:val="24"/>
                <w:szCs w:val="24"/>
              </w:rPr>
              <w:t xml:space="preserve"> by:</w:t>
            </w:r>
          </w:p>
        </w:tc>
        <w:tc>
          <w:tcPr>
            <w:tcW w:w="7508" w:type="dxa"/>
          </w:tcPr>
          <w:p w14:paraId="3E9CDA00" w14:textId="1297DDA9" w:rsidR="00B26F64" w:rsidRPr="00475014" w:rsidRDefault="00D47D96" w:rsidP="00B27D38">
            <w:pPr>
              <w:rPr>
                <w:sz w:val="24"/>
                <w:szCs w:val="24"/>
              </w:rPr>
            </w:pPr>
            <w:r w:rsidRPr="00475014">
              <w:rPr>
                <w:sz w:val="24"/>
                <w:szCs w:val="24"/>
              </w:rPr>
              <w:t xml:space="preserve">Sarah Halliday, </w:t>
            </w:r>
            <w:r w:rsidR="008A4FC2">
              <w:rPr>
                <w:sz w:val="24"/>
                <w:szCs w:val="24"/>
              </w:rPr>
              <w:t>People &amp; OD</w:t>
            </w:r>
          </w:p>
        </w:tc>
      </w:tr>
      <w:tr w:rsidR="00B26F64" w:rsidRPr="00475014" w14:paraId="5D23C3E7" w14:textId="77777777" w:rsidTr="008D07CE">
        <w:trPr>
          <w:trHeight w:val="223"/>
        </w:trPr>
        <w:tc>
          <w:tcPr>
            <w:tcW w:w="2835" w:type="dxa"/>
            <w:shd w:val="clear" w:color="auto" w:fill="D9D9D9" w:themeFill="background1" w:themeFillShade="D9"/>
          </w:tcPr>
          <w:p w14:paraId="7535111C" w14:textId="77777777" w:rsidR="000F7A82" w:rsidRPr="00475014" w:rsidRDefault="00B86375" w:rsidP="00B86375">
            <w:pPr>
              <w:rPr>
                <w:b/>
                <w:sz w:val="24"/>
                <w:szCs w:val="24"/>
              </w:rPr>
            </w:pPr>
            <w:r w:rsidRPr="00475014">
              <w:rPr>
                <w:b/>
                <w:sz w:val="24"/>
                <w:szCs w:val="24"/>
              </w:rPr>
              <w:t>Director responsible</w:t>
            </w:r>
            <w:r w:rsidR="00B26F64" w:rsidRPr="00475014">
              <w:rPr>
                <w:b/>
                <w:sz w:val="24"/>
                <w:szCs w:val="24"/>
              </w:rPr>
              <w:t>:</w:t>
            </w:r>
          </w:p>
        </w:tc>
        <w:tc>
          <w:tcPr>
            <w:tcW w:w="7508" w:type="dxa"/>
          </w:tcPr>
          <w:p w14:paraId="0FDE45AD" w14:textId="77777777" w:rsidR="00B26F64" w:rsidRPr="00475014" w:rsidRDefault="00481A25" w:rsidP="00B86375">
            <w:pPr>
              <w:rPr>
                <w:sz w:val="24"/>
                <w:szCs w:val="24"/>
              </w:rPr>
            </w:pPr>
            <w:r w:rsidRPr="00475014">
              <w:rPr>
                <w:sz w:val="24"/>
                <w:szCs w:val="24"/>
              </w:rPr>
              <w:t>Linda Ross</w:t>
            </w:r>
          </w:p>
        </w:tc>
      </w:tr>
      <w:tr w:rsidR="00B26F64" w:rsidRPr="00475014" w14:paraId="47BF3C82" w14:textId="77777777" w:rsidTr="008D07CE">
        <w:trPr>
          <w:trHeight w:val="270"/>
        </w:trPr>
        <w:tc>
          <w:tcPr>
            <w:tcW w:w="2835" w:type="dxa"/>
            <w:shd w:val="clear" w:color="auto" w:fill="D9D9D9" w:themeFill="background1" w:themeFillShade="D9"/>
          </w:tcPr>
          <w:p w14:paraId="401F6EC0" w14:textId="77777777" w:rsidR="000F7A82" w:rsidRPr="00475014" w:rsidRDefault="00B26F64" w:rsidP="00B86375">
            <w:pPr>
              <w:rPr>
                <w:b/>
                <w:sz w:val="24"/>
                <w:szCs w:val="24"/>
              </w:rPr>
            </w:pPr>
            <w:r w:rsidRPr="00475014">
              <w:rPr>
                <w:b/>
                <w:sz w:val="24"/>
                <w:szCs w:val="24"/>
              </w:rPr>
              <w:t>Presented by:</w:t>
            </w:r>
          </w:p>
        </w:tc>
        <w:tc>
          <w:tcPr>
            <w:tcW w:w="7508" w:type="dxa"/>
          </w:tcPr>
          <w:p w14:paraId="10E8A2EE" w14:textId="77777777" w:rsidR="00B26F64" w:rsidRPr="00475014" w:rsidRDefault="00481A25" w:rsidP="00205332">
            <w:pPr>
              <w:rPr>
                <w:sz w:val="24"/>
                <w:szCs w:val="24"/>
              </w:rPr>
            </w:pPr>
            <w:r w:rsidRPr="00475014">
              <w:rPr>
                <w:sz w:val="24"/>
                <w:szCs w:val="24"/>
              </w:rPr>
              <w:t>Linda Ross</w:t>
            </w:r>
          </w:p>
        </w:tc>
      </w:tr>
      <w:tr w:rsidR="00BB64D3" w:rsidRPr="00475014" w14:paraId="449BEFA8" w14:textId="77777777" w:rsidTr="008D07CE">
        <w:trPr>
          <w:trHeight w:val="270"/>
        </w:trPr>
        <w:tc>
          <w:tcPr>
            <w:tcW w:w="2835" w:type="dxa"/>
            <w:shd w:val="clear" w:color="auto" w:fill="D9D9D9" w:themeFill="background1" w:themeFillShade="D9"/>
          </w:tcPr>
          <w:p w14:paraId="0E811BF9" w14:textId="77777777" w:rsidR="00BB64D3" w:rsidRPr="00475014" w:rsidRDefault="009D2260" w:rsidP="00B86375">
            <w:pPr>
              <w:rPr>
                <w:b/>
                <w:sz w:val="24"/>
                <w:szCs w:val="24"/>
              </w:rPr>
            </w:pPr>
            <w:r w:rsidRPr="00475014">
              <w:rPr>
                <w:b/>
                <w:sz w:val="24"/>
                <w:szCs w:val="24"/>
              </w:rPr>
              <w:t>Contact details</w:t>
            </w:r>
            <w:r w:rsidR="00BB64D3" w:rsidRPr="00475014">
              <w:rPr>
                <w:b/>
                <w:sz w:val="24"/>
                <w:szCs w:val="24"/>
              </w:rPr>
              <w:t>:</w:t>
            </w:r>
          </w:p>
        </w:tc>
        <w:tc>
          <w:tcPr>
            <w:tcW w:w="7508" w:type="dxa"/>
          </w:tcPr>
          <w:p w14:paraId="0A1AE3A5" w14:textId="77777777" w:rsidR="00576202" w:rsidRPr="00475014" w:rsidRDefault="00481A25" w:rsidP="00205332">
            <w:pPr>
              <w:rPr>
                <w:sz w:val="24"/>
                <w:szCs w:val="24"/>
              </w:rPr>
            </w:pPr>
            <w:r w:rsidRPr="00475014">
              <w:rPr>
                <w:sz w:val="24"/>
                <w:szCs w:val="24"/>
              </w:rPr>
              <w:t>rossli</w:t>
            </w:r>
            <w:r w:rsidR="00205332" w:rsidRPr="00475014">
              <w:rPr>
                <w:sz w:val="24"/>
                <w:szCs w:val="24"/>
              </w:rPr>
              <w:t>@slab.org.uk</w:t>
            </w:r>
          </w:p>
        </w:tc>
      </w:tr>
    </w:tbl>
    <w:p w14:paraId="2D45DB25" w14:textId="77777777" w:rsidR="00B26F64" w:rsidRDefault="00B26F64" w:rsidP="00B26F64">
      <w:pPr>
        <w:rPr>
          <w:sz w:val="24"/>
          <w:szCs w:val="24"/>
        </w:rPr>
      </w:pPr>
    </w:p>
    <w:p w14:paraId="4A4E81B7" w14:textId="001E7DDD" w:rsidR="008D07CE" w:rsidRDefault="008D07CE" w:rsidP="00B26F64">
      <w:pPr>
        <w:rPr>
          <w:i/>
          <w:iCs/>
          <w:sz w:val="24"/>
          <w:szCs w:val="24"/>
        </w:rPr>
      </w:pPr>
      <w:r w:rsidRPr="00475014">
        <w:rPr>
          <w:b/>
          <w:sz w:val="24"/>
          <w:szCs w:val="24"/>
        </w:rPr>
        <w:t>Delivery of Strategic Objectives</w:t>
      </w:r>
      <w:r>
        <w:rPr>
          <w:b/>
          <w:sz w:val="24"/>
          <w:szCs w:val="24"/>
        </w:rPr>
        <w:br/>
      </w:r>
      <w:r w:rsidRPr="008D07CE">
        <w:rPr>
          <w:i/>
          <w:iCs/>
          <w:sz w:val="24"/>
          <w:szCs w:val="24"/>
        </w:rPr>
        <w:t>Select the Strategic Objective(s) relevant to the issues</w:t>
      </w:r>
      <w:r w:rsidRPr="008D07CE">
        <w:rPr>
          <w:i/>
          <w:iCs/>
          <w:sz w:val="24"/>
          <w:szCs w:val="24"/>
        </w:rPr>
        <w:t>.</w:t>
      </w:r>
    </w:p>
    <w:p w14:paraId="377C2EE6" w14:textId="77777777" w:rsidR="008D07CE" w:rsidRPr="008D07CE" w:rsidRDefault="008D07CE" w:rsidP="008D07CE">
      <w:pPr>
        <w:pStyle w:val="ListParagraph"/>
        <w:numPr>
          <w:ilvl w:val="0"/>
          <w:numId w:val="43"/>
        </w:numPr>
        <w:ind w:left="360"/>
        <w:rPr>
          <w:sz w:val="24"/>
          <w:szCs w:val="24"/>
        </w:rPr>
      </w:pPr>
      <w:r w:rsidRPr="008D07CE">
        <w:rPr>
          <w:sz w:val="24"/>
          <w:szCs w:val="24"/>
        </w:rPr>
        <w:t>Our timely, clear and consistent decisions on legal aid applications and accounts deliver a positive customer experience.</w:t>
      </w:r>
    </w:p>
    <w:p w14:paraId="3DE93AA9" w14:textId="77777777" w:rsidR="008D07CE" w:rsidRPr="008D07CE" w:rsidRDefault="008D07CE" w:rsidP="00B26F64">
      <w:pPr>
        <w:rPr>
          <w:i/>
          <w:iCs/>
          <w:sz w:val="24"/>
          <w:szCs w:val="24"/>
        </w:rPr>
      </w:pPr>
    </w:p>
    <w:tbl>
      <w:tblPr>
        <w:tblStyle w:val="TableGrid"/>
        <w:tblW w:w="10343" w:type="dxa"/>
        <w:tblLook w:val="04A0" w:firstRow="1" w:lastRow="0" w:firstColumn="1" w:lastColumn="0" w:noHBand="0" w:noVBand="1"/>
      </w:tblPr>
      <w:tblGrid>
        <w:gridCol w:w="10343"/>
      </w:tblGrid>
      <w:tr w:rsidR="009019A2" w:rsidRPr="00475014" w14:paraId="053012D4" w14:textId="77777777" w:rsidTr="002C5A50">
        <w:tc>
          <w:tcPr>
            <w:tcW w:w="10343" w:type="dxa"/>
            <w:shd w:val="clear" w:color="auto" w:fill="D9D9D9" w:themeFill="background1" w:themeFillShade="D9"/>
          </w:tcPr>
          <w:p w14:paraId="454BBA1F" w14:textId="77777777" w:rsidR="009019A2" w:rsidRPr="00475014" w:rsidRDefault="00567BAA" w:rsidP="00567BAA">
            <w:pPr>
              <w:rPr>
                <w:b/>
                <w:sz w:val="24"/>
                <w:szCs w:val="24"/>
              </w:rPr>
            </w:pPr>
            <w:r w:rsidRPr="00475014">
              <w:rPr>
                <w:b/>
                <w:sz w:val="24"/>
                <w:szCs w:val="24"/>
              </w:rPr>
              <w:t xml:space="preserve">Link to Board </w:t>
            </w:r>
            <w:r w:rsidR="009019A2" w:rsidRPr="00475014">
              <w:rPr>
                <w:b/>
                <w:sz w:val="24"/>
                <w:szCs w:val="24"/>
              </w:rPr>
              <w:t>or Committee Remit</w:t>
            </w:r>
          </w:p>
        </w:tc>
      </w:tr>
      <w:tr w:rsidR="009019A2" w:rsidRPr="00475014" w14:paraId="11EBAFC7" w14:textId="77777777" w:rsidTr="002C5A50">
        <w:tc>
          <w:tcPr>
            <w:tcW w:w="10343" w:type="dxa"/>
          </w:tcPr>
          <w:p w14:paraId="204F0125" w14:textId="77777777" w:rsidR="00777096" w:rsidRPr="00475014" w:rsidRDefault="004A2996" w:rsidP="0080200F">
            <w:pPr>
              <w:spacing w:before="120" w:after="120"/>
              <w:rPr>
                <w:sz w:val="24"/>
                <w:szCs w:val="24"/>
              </w:rPr>
            </w:pPr>
            <w:r w:rsidRPr="00475014">
              <w:rPr>
                <w:sz w:val="24"/>
                <w:szCs w:val="24"/>
              </w:rPr>
              <w:t xml:space="preserve">This is linked to the Board’s </w:t>
            </w:r>
            <w:r w:rsidR="0080200F" w:rsidRPr="00475014">
              <w:rPr>
                <w:sz w:val="24"/>
                <w:szCs w:val="24"/>
              </w:rPr>
              <w:t>role in monitoring SLAB’s performance</w:t>
            </w:r>
            <w:r w:rsidR="00576202" w:rsidRPr="00475014">
              <w:rPr>
                <w:sz w:val="24"/>
                <w:szCs w:val="24"/>
              </w:rPr>
              <w:t>.</w:t>
            </w:r>
          </w:p>
        </w:tc>
      </w:tr>
    </w:tbl>
    <w:p w14:paraId="19C315C6" w14:textId="77777777" w:rsidR="009019A2" w:rsidRPr="00475014" w:rsidRDefault="009019A2" w:rsidP="00B26F64">
      <w:pPr>
        <w:rPr>
          <w:sz w:val="24"/>
          <w:szCs w:val="24"/>
        </w:rPr>
      </w:pPr>
    </w:p>
    <w:tbl>
      <w:tblPr>
        <w:tblStyle w:val="TableGrid"/>
        <w:tblW w:w="10343" w:type="dxa"/>
        <w:tblLook w:val="04A0" w:firstRow="1" w:lastRow="0" w:firstColumn="1" w:lastColumn="0" w:noHBand="0" w:noVBand="1"/>
      </w:tblPr>
      <w:tblGrid>
        <w:gridCol w:w="10343"/>
      </w:tblGrid>
      <w:tr w:rsidR="00365B58" w:rsidRPr="00475014" w14:paraId="3246E4ED" w14:textId="77777777" w:rsidTr="002C5A50">
        <w:tc>
          <w:tcPr>
            <w:tcW w:w="10343" w:type="dxa"/>
            <w:shd w:val="clear" w:color="auto" w:fill="D9D9D9" w:themeFill="background1" w:themeFillShade="D9"/>
          </w:tcPr>
          <w:p w14:paraId="6C271469" w14:textId="77777777" w:rsidR="00365B58" w:rsidRPr="00475014" w:rsidRDefault="00365B58" w:rsidP="00246439">
            <w:pPr>
              <w:rPr>
                <w:b/>
                <w:sz w:val="24"/>
                <w:szCs w:val="24"/>
              </w:rPr>
            </w:pPr>
            <w:r w:rsidRPr="00475014">
              <w:rPr>
                <w:b/>
                <w:sz w:val="24"/>
                <w:szCs w:val="24"/>
              </w:rPr>
              <w:t>Publication of the Paper</w:t>
            </w:r>
          </w:p>
        </w:tc>
      </w:tr>
      <w:tr w:rsidR="00365B58" w:rsidRPr="00475014" w14:paraId="119403A5" w14:textId="77777777" w:rsidTr="002C5A50">
        <w:tc>
          <w:tcPr>
            <w:tcW w:w="10343" w:type="dxa"/>
          </w:tcPr>
          <w:p w14:paraId="64C91769" w14:textId="77777777" w:rsidR="00777096" w:rsidRPr="00475014" w:rsidRDefault="0080200F" w:rsidP="00576202">
            <w:pPr>
              <w:spacing w:before="120" w:after="120"/>
              <w:jc w:val="both"/>
              <w:rPr>
                <w:i/>
                <w:sz w:val="24"/>
                <w:szCs w:val="24"/>
              </w:rPr>
            </w:pPr>
            <w:r w:rsidRPr="00475014">
              <w:rPr>
                <w:sz w:val="24"/>
                <w:szCs w:val="24"/>
              </w:rPr>
              <w:t>We consider this paper is suitable for publication</w:t>
            </w:r>
            <w:r w:rsidR="00576202" w:rsidRPr="00475014">
              <w:rPr>
                <w:sz w:val="24"/>
                <w:szCs w:val="24"/>
              </w:rPr>
              <w:t>.</w:t>
            </w:r>
          </w:p>
        </w:tc>
      </w:tr>
    </w:tbl>
    <w:p w14:paraId="765C8503" w14:textId="77777777" w:rsidR="00365B58" w:rsidRPr="00475014" w:rsidRDefault="00365B58" w:rsidP="00B26F64">
      <w:pPr>
        <w:rPr>
          <w:sz w:val="24"/>
          <w:szCs w:val="24"/>
          <w:highlight w:val="yellow"/>
        </w:rPr>
      </w:pPr>
    </w:p>
    <w:tbl>
      <w:tblPr>
        <w:tblStyle w:val="TableGrid"/>
        <w:tblW w:w="10343" w:type="dxa"/>
        <w:tblBorders>
          <w:left w:val="single" w:sz="4" w:space="0" w:color="000000"/>
        </w:tblBorders>
        <w:shd w:val="pct15" w:color="auto" w:fill="auto"/>
        <w:tblLook w:val="04A0" w:firstRow="1" w:lastRow="0" w:firstColumn="1" w:lastColumn="0" w:noHBand="0" w:noVBand="1"/>
      </w:tblPr>
      <w:tblGrid>
        <w:gridCol w:w="10343"/>
      </w:tblGrid>
      <w:tr w:rsidR="00B668B4" w:rsidRPr="00475014" w14:paraId="6743D329" w14:textId="77777777" w:rsidTr="006D626A">
        <w:tc>
          <w:tcPr>
            <w:tcW w:w="10343" w:type="dxa"/>
            <w:tcBorders>
              <w:bottom w:val="single" w:sz="4" w:space="0" w:color="auto"/>
            </w:tcBorders>
            <w:shd w:val="clear" w:color="auto" w:fill="D9D9D9" w:themeFill="background1" w:themeFillShade="D9"/>
          </w:tcPr>
          <w:p w14:paraId="5667CD82" w14:textId="77777777" w:rsidR="00B668B4" w:rsidRPr="00475014" w:rsidRDefault="00B668B4" w:rsidP="00B86375">
            <w:pPr>
              <w:rPr>
                <w:b/>
                <w:sz w:val="24"/>
                <w:szCs w:val="24"/>
                <w:highlight w:val="yellow"/>
              </w:rPr>
            </w:pPr>
            <w:r w:rsidRPr="00475014">
              <w:rPr>
                <w:b/>
                <w:sz w:val="24"/>
                <w:szCs w:val="24"/>
              </w:rPr>
              <w:t>Executive Summary</w:t>
            </w:r>
          </w:p>
        </w:tc>
      </w:tr>
      <w:tr w:rsidR="00B668B4" w:rsidRPr="00475014" w14:paraId="74239953" w14:textId="77777777" w:rsidTr="002C5A50">
        <w:tc>
          <w:tcPr>
            <w:tcW w:w="10343" w:type="dxa"/>
            <w:shd w:val="clear" w:color="auto" w:fill="auto"/>
          </w:tcPr>
          <w:p w14:paraId="3008AB0E" w14:textId="77777777" w:rsidR="003C69CD" w:rsidRDefault="003C69CD" w:rsidP="008D07CE">
            <w:pPr>
              <w:pStyle w:val="Default"/>
              <w:spacing w:after="120"/>
              <w:rPr>
                <w:rFonts w:ascii="Trebuchet MS" w:hAnsi="Trebuchet MS"/>
                <w:color w:val="auto"/>
              </w:rPr>
            </w:pPr>
            <w:r>
              <w:rPr>
                <w:rFonts w:ascii="Trebuchet MS" w:hAnsi="Trebuchet MS"/>
                <w:color w:val="auto"/>
              </w:rPr>
              <w:t>This report is written to update Board on key statistics that provide insight on the wellbeing, performance and culture of SLAB.</w:t>
            </w:r>
          </w:p>
          <w:p w14:paraId="6362286C" w14:textId="3CE1A3B0" w:rsidR="00F5069D" w:rsidRPr="00F5069D" w:rsidRDefault="00F5069D" w:rsidP="008D07CE">
            <w:pPr>
              <w:pStyle w:val="Default"/>
              <w:spacing w:after="120"/>
              <w:rPr>
                <w:rFonts w:ascii="Trebuchet MS" w:hAnsi="Trebuchet MS"/>
                <w:color w:val="auto"/>
              </w:rPr>
            </w:pPr>
            <w:r w:rsidRPr="00F5069D">
              <w:rPr>
                <w:rFonts w:ascii="Trebuchet MS" w:hAnsi="Trebuchet MS"/>
                <w:color w:val="auto"/>
              </w:rPr>
              <w:t xml:space="preserve">The data shows there would appear to be some contradiction as staff have long tenure, disciplinary cases are very low for the size of SLAB, there is a low staff turnover and staff report high levels of wellbeing. </w:t>
            </w:r>
            <w:r>
              <w:rPr>
                <w:rFonts w:ascii="Trebuchet MS" w:hAnsi="Trebuchet MS"/>
                <w:color w:val="auto"/>
              </w:rPr>
              <w:t>However,</w:t>
            </w:r>
            <w:r w:rsidRPr="00F5069D">
              <w:rPr>
                <w:rFonts w:ascii="Trebuchet MS" w:hAnsi="Trebuchet MS"/>
                <w:color w:val="auto"/>
              </w:rPr>
              <w:t xml:space="preserve"> absence is increasing and higher than national comparators. The People &amp; OD team have developed new policies and ways of working which have resulted in changes for managers and staff. While these policies will have a positive impact the process of change can present challenges and there can be a delay from implementation to impact</w:t>
            </w:r>
            <w:r w:rsidR="007906F1">
              <w:rPr>
                <w:rFonts w:ascii="Trebuchet MS" w:hAnsi="Trebuchet MS"/>
                <w:color w:val="auto"/>
              </w:rPr>
              <w:t>, therefore this pattern</w:t>
            </w:r>
            <w:r w:rsidR="005D19BF">
              <w:rPr>
                <w:rFonts w:ascii="Trebuchet MS" w:hAnsi="Trebuchet MS"/>
                <w:color w:val="auto"/>
              </w:rPr>
              <w:t>, particularly in absence,</w:t>
            </w:r>
            <w:r w:rsidR="007906F1">
              <w:rPr>
                <w:rFonts w:ascii="Trebuchet MS" w:hAnsi="Trebuchet MS"/>
                <w:color w:val="auto"/>
              </w:rPr>
              <w:t xml:space="preserve"> is not unexpected</w:t>
            </w:r>
            <w:r>
              <w:rPr>
                <w:rFonts w:ascii="Trebuchet MS" w:hAnsi="Trebuchet MS"/>
                <w:color w:val="auto"/>
              </w:rPr>
              <w:t>.</w:t>
            </w:r>
            <w:r w:rsidRPr="00F5069D">
              <w:rPr>
                <w:rFonts w:ascii="Trebuchet MS" w:hAnsi="Trebuchet MS"/>
                <w:color w:val="auto"/>
              </w:rPr>
              <w:t xml:space="preserve"> We have made very positive steps this year, and we will continue to monitor their impact.</w:t>
            </w:r>
          </w:p>
          <w:p w14:paraId="7CB22206" w14:textId="70858F85" w:rsidR="00F5069D" w:rsidRDefault="00967478" w:rsidP="008D07CE">
            <w:pPr>
              <w:pStyle w:val="Default"/>
              <w:spacing w:after="120"/>
              <w:rPr>
                <w:rFonts w:ascii="Trebuchet MS" w:hAnsi="Trebuchet MS"/>
                <w:color w:val="auto"/>
              </w:rPr>
            </w:pPr>
            <w:r>
              <w:rPr>
                <w:rFonts w:ascii="Trebuchet MS" w:hAnsi="Trebuchet MS"/>
                <w:color w:val="auto"/>
              </w:rPr>
              <w:t xml:space="preserve">In 2023-24 we delivered the pay and grade review through the Job Evaluation project.  Ensuring job descriptions were up to date for every role and every role was evaluated.  Following a salary benchmarking exercise, a revised grade structure and salary values was implemented effective 1 April 2024.  </w:t>
            </w:r>
          </w:p>
          <w:p w14:paraId="2868D07B" w14:textId="6FF6F11D" w:rsidR="00CC453C" w:rsidRPr="00634616" w:rsidRDefault="00967478" w:rsidP="008D07CE">
            <w:pPr>
              <w:pStyle w:val="Default"/>
              <w:spacing w:after="120"/>
              <w:rPr>
                <w:rFonts w:ascii="Trebuchet MS" w:hAnsi="Trebuchet MS"/>
                <w:color w:val="auto"/>
              </w:rPr>
            </w:pPr>
            <w:r>
              <w:rPr>
                <w:rFonts w:ascii="Trebuchet MS" w:hAnsi="Trebuchet MS"/>
                <w:color w:val="auto"/>
              </w:rPr>
              <w:t xml:space="preserve">In addition, a </w:t>
            </w:r>
            <w:r w:rsidR="008D07CE">
              <w:rPr>
                <w:rFonts w:ascii="Trebuchet MS" w:hAnsi="Trebuchet MS"/>
                <w:color w:val="auto"/>
              </w:rPr>
              <w:t>12-month</w:t>
            </w:r>
            <w:r>
              <w:rPr>
                <w:rFonts w:ascii="Trebuchet MS" w:hAnsi="Trebuchet MS"/>
                <w:color w:val="auto"/>
              </w:rPr>
              <w:t xml:space="preserve"> leadership development programme for senior managers was launched.</w:t>
            </w:r>
            <w:r w:rsidR="00CC453C">
              <w:rPr>
                <w:rFonts w:ascii="Trebuchet MS" w:hAnsi="Trebuchet MS"/>
                <w:color w:val="auto"/>
              </w:rPr>
              <w:t xml:space="preserve"> This </w:t>
            </w:r>
            <w:r w:rsidR="005218C6">
              <w:rPr>
                <w:rFonts w:ascii="Trebuchet MS" w:hAnsi="Trebuchet MS"/>
                <w:color w:val="auto"/>
              </w:rPr>
              <w:t>training</w:t>
            </w:r>
            <w:r w:rsidR="00CC453C" w:rsidRPr="00634616">
              <w:rPr>
                <w:rFonts w:ascii="Trebuchet MS" w:hAnsi="Trebuchet MS"/>
                <w:color w:val="auto"/>
              </w:rPr>
              <w:t xml:space="preserve"> will look to achieve greater confidence in leaders and managers to respond to people related topics</w:t>
            </w:r>
            <w:r w:rsidR="00CC453C">
              <w:rPr>
                <w:rFonts w:ascii="Trebuchet MS" w:hAnsi="Trebuchet MS"/>
                <w:color w:val="auto"/>
              </w:rPr>
              <w:t xml:space="preserve"> and manage the business</w:t>
            </w:r>
            <w:r w:rsidR="00CC453C" w:rsidRPr="00634616">
              <w:rPr>
                <w:rFonts w:ascii="Trebuchet MS" w:hAnsi="Trebuchet MS"/>
                <w:color w:val="auto"/>
              </w:rPr>
              <w:t xml:space="preserve">. </w:t>
            </w:r>
          </w:p>
          <w:p w14:paraId="53D196B6" w14:textId="37D9EB6D" w:rsidR="00967478" w:rsidRDefault="00967478" w:rsidP="008D07CE">
            <w:pPr>
              <w:pStyle w:val="Default"/>
              <w:spacing w:after="120"/>
              <w:rPr>
                <w:rFonts w:ascii="Trebuchet MS" w:hAnsi="Trebuchet MS"/>
                <w:color w:val="auto"/>
              </w:rPr>
            </w:pPr>
            <w:r>
              <w:rPr>
                <w:rFonts w:ascii="Trebuchet MS" w:hAnsi="Trebuchet MS"/>
                <w:color w:val="auto"/>
              </w:rPr>
              <w:lastRenderedPageBreak/>
              <w:t>A programme for policy review was put in place with the consultation and launch of 6 new People policies.</w:t>
            </w:r>
          </w:p>
          <w:p w14:paraId="4C941E27" w14:textId="77777777" w:rsidR="002B2481" w:rsidRDefault="003C69CD" w:rsidP="008D07CE">
            <w:pPr>
              <w:pStyle w:val="Default"/>
              <w:spacing w:after="120"/>
              <w:rPr>
                <w:rFonts w:ascii="Trebuchet MS" w:hAnsi="Trebuchet MS"/>
                <w:color w:val="auto"/>
              </w:rPr>
            </w:pPr>
            <w:r w:rsidRPr="00634616">
              <w:rPr>
                <w:rFonts w:ascii="Trebuchet MS" w:hAnsi="Trebuchet MS"/>
                <w:color w:val="auto"/>
              </w:rPr>
              <w:t xml:space="preserve">In addition the work on the pay and grade review and the development of policies </w:t>
            </w:r>
            <w:r w:rsidR="00D05086">
              <w:rPr>
                <w:rFonts w:ascii="Trebuchet MS" w:hAnsi="Trebuchet MS"/>
                <w:color w:val="auto"/>
              </w:rPr>
              <w:t>will give</w:t>
            </w:r>
            <w:r w:rsidRPr="00634616">
              <w:rPr>
                <w:rFonts w:ascii="Trebuchet MS" w:hAnsi="Trebuchet MS"/>
                <w:color w:val="auto"/>
              </w:rPr>
              <w:t xml:space="preserve"> clarity and transparency to staff and managers </w:t>
            </w:r>
            <w:r w:rsidR="00D05086">
              <w:rPr>
                <w:rFonts w:ascii="Trebuchet MS" w:hAnsi="Trebuchet MS"/>
                <w:color w:val="auto"/>
              </w:rPr>
              <w:t>and</w:t>
            </w:r>
            <w:r w:rsidRPr="00634616">
              <w:rPr>
                <w:rFonts w:ascii="Trebuchet MS" w:hAnsi="Trebuchet MS"/>
                <w:color w:val="auto"/>
              </w:rPr>
              <w:t xml:space="preserve"> support with </w:t>
            </w:r>
            <w:r>
              <w:rPr>
                <w:rFonts w:ascii="Trebuchet MS" w:hAnsi="Trebuchet MS"/>
                <w:color w:val="auto"/>
              </w:rPr>
              <w:t xml:space="preserve">reducing the number of grievances relating to </w:t>
            </w:r>
            <w:r w:rsidR="00D05086">
              <w:rPr>
                <w:rFonts w:ascii="Trebuchet MS" w:hAnsi="Trebuchet MS"/>
                <w:color w:val="auto"/>
              </w:rPr>
              <w:t>pay and grade</w:t>
            </w:r>
            <w:r>
              <w:rPr>
                <w:rFonts w:ascii="Trebuchet MS" w:hAnsi="Trebuchet MS"/>
                <w:color w:val="auto"/>
              </w:rPr>
              <w:t>.</w:t>
            </w:r>
          </w:p>
          <w:p w14:paraId="1CDA93B1" w14:textId="77777777" w:rsidR="00CC453C" w:rsidRDefault="00CC453C" w:rsidP="008D07CE">
            <w:pPr>
              <w:pStyle w:val="Default"/>
              <w:spacing w:after="120"/>
              <w:rPr>
                <w:rFonts w:ascii="Trebuchet MS" w:hAnsi="Trebuchet MS"/>
                <w:color w:val="auto"/>
              </w:rPr>
            </w:pPr>
            <w:r>
              <w:rPr>
                <w:rFonts w:ascii="Trebuchet MS" w:hAnsi="Trebuchet MS"/>
                <w:color w:val="auto"/>
              </w:rPr>
              <w:t>The following key priorities will be delivered in 2024-25:</w:t>
            </w:r>
          </w:p>
          <w:p w14:paraId="08609BC3" w14:textId="77777777" w:rsidR="00CC453C" w:rsidRPr="007537AE" w:rsidRDefault="00CC453C" w:rsidP="00CC453C">
            <w:pPr>
              <w:pStyle w:val="ListParagraph"/>
              <w:numPr>
                <w:ilvl w:val="0"/>
                <w:numId w:val="34"/>
              </w:numPr>
              <w:spacing w:after="160" w:line="259" w:lineRule="auto"/>
              <w:rPr>
                <w:sz w:val="24"/>
                <w:szCs w:val="24"/>
              </w:rPr>
            </w:pPr>
            <w:r w:rsidRPr="007537AE">
              <w:rPr>
                <w:sz w:val="24"/>
                <w:szCs w:val="24"/>
              </w:rPr>
              <w:t>Investigation of value/purpose/desire to be trauma informed organisation</w:t>
            </w:r>
          </w:p>
          <w:p w14:paraId="7D442CA0" w14:textId="05941C6B" w:rsidR="00CC453C" w:rsidRPr="007537AE" w:rsidRDefault="00CC453C" w:rsidP="00CC453C">
            <w:pPr>
              <w:pStyle w:val="ListParagraph"/>
              <w:numPr>
                <w:ilvl w:val="0"/>
                <w:numId w:val="34"/>
              </w:numPr>
              <w:spacing w:after="160" w:line="259" w:lineRule="auto"/>
              <w:rPr>
                <w:sz w:val="24"/>
                <w:szCs w:val="24"/>
              </w:rPr>
            </w:pPr>
            <w:r w:rsidRPr="007537AE">
              <w:rPr>
                <w:sz w:val="24"/>
                <w:szCs w:val="24"/>
              </w:rPr>
              <w:t xml:space="preserve">Leadership and </w:t>
            </w:r>
            <w:r w:rsidR="008D07CE">
              <w:rPr>
                <w:sz w:val="24"/>
                <w:szCs w:val="24"/>
              </w:rPr>
              <w:t>d</w:t>
            </w:r>
            <w:r w:rsidRPr="007537AE">
              <w:rPr>
                <w:sz w:val="24"/>
                <w:szCs w:val="24"/>
              </w:rPr>
              <w:t>evelopment programme to next tier</w:t>
            </w:r>
          </w:p>
          <w:p w14:paraId="3B70FD72" w14:textId="55EFB56F" w:rsidR="00CC453C" w:rsidRPr="007537AE" w:rsidRDefault="00CC453C" w:rsidP="00CC453C">
            <w:pPr>
              <w:pStyle w:val="ListParagraph"/>
              <w:numPr>
                <w:ilvl w:val="0"/>
                <w:numId w:val="34"/>
              </w:numPr>
              <w:spacing w:after="160" w:line="259" w:lineRule="auto"/>
              <w:rPr>
                <w:sz w:val="24"/>
                <w:szCs w:val="24"/>
              </w:rPr>
            </w:pPr>
            <w:r w:rsidRPr="007537AE">
              <w:rPr>
                <w:sz w:val="24"/>
                <w:szCs w:val="24"/>
              </w:rPr>
              <w:t xml:space="preserve">Corporate </w:t>
            </w:r>
            <w:r w:rsidR="008D07CE">
              <w:rPr>
                <w:sz w:val="24"/>
                <w:szCs w:val="24"/>
              </w:rPr>
              <w:t>p</w:t>
            </w:r>
            <w:r>
              <w:rPr>
                <w:sz w:val="24"/>
                <w:szCs w:val="24"/>
              </w:rPr>
              <w:t>eople plan in place</w:t>
            </w:r>
          </w:p>
          <w:p w14:paraId="78B7DA0C" w14:textId="77777777" w:rsidR="00CC453C" w:rsidRPr="007537AE" w:rsidRDefault="00CC453C" w:rsidP="00CC453C">
            <w:pPr>
              <w:pStyle w:val="ListParagraph"/>
              <w:numPr>
                <w:ilvl w:val="0"/>
                <w:numId w:val="34"/>
              </w:numPr>
              <w:spacing w:after="160" w:line="259" w:lineRule="auto"/>
              <w:rPr>
                <w:sz w:val="24"/>
                <w:szCs w:val="24"/>
              </w:rPr>
            </w:pPr>
            <w:r w:rsidRPr="007537AE">
              <w:rPr>
                <w:sz w:val="24"/>
                <w:szCs w:val="24"/>
              </w:rPr>
              <w:t>Oracle functionality – recruitment and performance management (if appropriate)</w:t>
            </w:r>
          </w:p>
          <w:p w14:paraId="4035042E" w14:textId="44D2142A" w:rsidR="00CC453C" w:rsidRPr="007537AE" w:rsidRDefault="00CC453C" w:rsidP="00CC453C">
            <w:pPr>
              <w:pStyle w:val="ListParagraph"/>
              <w:numPr>
                <w:ilvl w:val="0"/>
                <w:numId w:val="34"/>
              </w:numPr>
              <w:spacing w:after="160" w:line="259" w:lineRule="auto"/>
              <w:rPr>
                <w:sz w:val="24"/>
                <w:szCs w:val="24"/>
              </w:rPr>
            </w:pPr>
            <w:r w:rsidRPr="007537AE">
              <w:rPr>
                <w:sz w:val="24"/>
                <w:szCs w:val="24"/>
              </w:rPr>
              <w:t>Policy review</w:t>
            </w:r>
            <w:r w:rsidR="008D07CE">
              <w:rPr>
                <w:sz w:val="24"/>
                <w:szCs w:val="24"/>
              </w:rPr>
              <w:t xml:space="preserve"> of </w:t>
            </w:r>
            <w:r w:rsidRPr="007537AE">
              <w:rPr>
                <w:sz w:val="24"/>
                <w:szCs w:val="24"/>
              </w:rPr>
              <w:t>Performance/Domestic Abuse/Learning and Development</w:t>
            </w:r>
            <w:r w:rsidR="008D07CE">
              <w:rPr>
                <w:sz w:val="24"/>
                <w:szCs w:val="24"/>
              </w:rPr>
              <w:t>/</w:t>
            </w:r>
            <w:r w:rsidRPr="007537AE">
              <w:rPr>
                <w:sz w:val="24"/>
                <w:szCs w:val="24"/>
              </w:rPr>
              <w:t>Retirement/ Annual Leave/Discipline &amp; Grievance</w:t>
            </w:r>
          </w:p>
          <w:p w14:paraId="5EA4D245" w14:textId="472F3CF7" w:rsidR="00CC453C" w:rsidRPr="008D07CE" w:rsidRDefault="00CC453C" w:rsidP="008D07CE">
            <w:pPr>
              <w:pStyle w:val="ListParagraph"/>
              <w:numPr>
                <w:ilvl w:val="0"/>
                <w:numId w:val="34"/>
              </w:numPr>
              <w:spacing w:after="160" w:line="259" w:lineRule="auto"/>
              <w:rPr>
                <w:sz w:val="24"/>
                <w:szCs w:val="24"/>
              </w:rPr>
            </w:pPr>
            <w:r w:rsidRPr="007537AE">
              <w:rPr>
                <w:sz w:val="24"/>
                <w:szCs w:val="24"/>
              </w:rPr>
              <w:t>Review of staff benefits package</w:t>
            </w:r>
            <w:r w:rsidR="008D07CE">
              <w:rPr>
                <w:sz w:val="24"/>
                <w:szCs w:val="24"/>
              </w:rPr>
              <w:t xml:space="preserve"> and </w:t>
            </w:r>
            <w:r w:rsidRPr="007537AE">
              <w:rPr>
                <w:sz w:val="24"/>
                <w:szCs w:val="24"/>
              </w:rPr>
              <w:t xml:space="preserve">total value </w:t>
            </w:r>
            <w:r w:rsidR="005218C6" w:rsidRPr="007537AE">
              <w:rPr>
                <w:sz w:val="24"/>
                <w:szCs w:val="24"/>
              </w:rPr>
              <w:t>proposition.</w:t>
            </w:r>
          </w:p>
        </w:tc>
      </w:tr>
    </w:tbl>
    <w:p w14:paraId="14BDF373" w14:textId="77777777" w:rsidR="00BB64D3" w:rsidRDefault="00BB64D3" w:rsidP="00B26F64">
      <w:pPr>
        <w:tabs>
          <w:tab w:val="left" w:pos="2340"/>
        </w:tabs>
        <w:rPr>
          <w:sz w:val="24"/>
          <w:szCs w:val="24"/>
          <w:highlight w:val="yellow"/>
        </w:rPr>
      </w:pPr>
    </w:p>
    <w:p w14:paraId="7834C52C" w14:textId="2AC317A0" w:rsidR="008D07CE" w:rsidRPr="008D07CE" w:rsidRDefault="008D07CE" w:rsidP="00B26F64">
      <w:pPr>
        <w:tabs>
          <w:tab w:val="left" w:pos="2340"/>
        </w:tabs>
        <w:rPr>
          <w:b/>
          <w:bCs/>
          <w:sz w:val="24"/>
          <w:szCs w:val="24"/>
          <w:highlight w:val="yellow"/>
        </w:rPr>
      </w:pPr>
      <w:r w:rsidRPr="008D07CE">
        <w:rPr>
          <w:b/>
          <w:bCs/>
          <w:sz w:val="24"/>
          <w:szCs w:val="24"/>
        </w:rPr>
        <w:t>Previous Consideration</w:t>
      </w:r>
    </w:p>
    <w:tbl>
      <w:tblPr>
        <w:tblStyle w:val="TableGrid"/>
        <w:tblW w:w="10350" w:type="dxa"/>
        <w:tblLook w:val="04A0" w:firstRow="1" w:lastRow="0" w:firstColumn="1" w:lastColumn="0" w:noHBand="0" w:noVBand="1"/>
      </w:tblPr>
      <w:tblGrid>
        <w:gridCol w:w="1413"/>
        <w:gridCol w:w="8937"/>
      </w:tblGrid>
      <w:tr w:rsidR="00B668B4" w:rsidRPr="00475014" w14:paraId="4497479D" w14:textId="77777777" w:rsidTr="008D07CE">
        <w:tc>
          <w:tcPr>
            <w:tcW w:w="1413" w:type="dxa"/>
            <w:tcBorders>
              <w:left w:val="single" w:sz="4" w:space="0" w:color="000000"/>
            </w:tcBorders>
            <w:shd w:val="clear" w:color="auto" w:fill="D9D9D9" w:themeFill="background1" w:themeFillShade="D9"/>
          </w:tcPr>
          <w:p w14:paraId="4BD48DEA" w14:textId="77777777" w:rsidR="00B668B4" w:rsidRPr="00475014" w:rsidRDefault="00B668B4" w:rsidP="00D664C5">
            <w:pPr>
              <w:rPr>
                <w:b/>
                <w:sz w:val="24"/>
                <w:szCs w:val="24"/>
              </w:rPr>
            </w:pPr>
            <w:r w:rsidRPr="00475014">
              <w:rPr>
                <w:b/>
                <w:sz w:val="24"/>
                <w:szCs w:val="24"/>
              </w:rPr>
              <w:t>Meeting</w:t>
            </w:r>
          </w:p>
        </w:tc>
        <w:tc>
          <w:tcPr>
            <w:tcW w:w="8937" w:type="dxa"/>
            <w:tcBorders>
              <w:left w:val="single" w:sz="4" w:space="0" w:color="000000"/>
            </w:tcBorders>
            <w:shd w:val="clear" w:color="auto" w:fill="D9D9D9" w:themeFill="background1" w:themeFillShade="D9"/>
          </w:tcPr>
          <w:p w14:paraId="345539CD" w14:textId="77777777" w:rsidR="00B668B4" w:rsidRPr="00475014" w:rsidRDefault="00B668B4" w:rsidP="00D664C5">
            <w:pPr>
              <w:rPr>
                <w:b/>
                <w:sz w:val="24"/>
                <w:szCs w:val="24"/>
              </w:rPr>
            </w:pPr>
            <w:r w:rsidRPr="00475014">
              <w:rPr>
                <w:b/>
                <w:sz w:val="24"/>
                <w:szCs w:val="24"/>
              </w:rPr>
              <w:t>Detail</w:t>
            </w:r>
          </w:p>
        </w:tc>
      </w:tr>
      <w:tr w:rsidR="00D82F86" w:rsidRPr="00475014" w14:paraId="70F9610C" w14:textId="77777777" w:rsidTr="008D07CE">
        <w:trPr>
          <w:trHeight w:val="515"/>
        </w:trPr>
        <w:tc>
          <w:tcPr>
            <w:tcW w:w="1413" w:type="dxa"/>
            <w:tcBorders>
              <w:left w:val="single" w:sz="4" w:space="0" w:color="000000"/>
            </w:tcBorders>
          </w:tcPr>
          <w:p w14:paraId="7AA31937" w14:textId="3F3EB470" w:rsidR="00D82F86" w:rsidRPr="00475014" w:rsidRDefault="00DC7D6E" w:rsidP="0080200F">
            <w:pPr>
              <w:spacing w:before="120" w:after="120"/>
              <w:rPr>
                <w:sz w:val="24"/>
                <w:szCs w:val="24"/>
              </w:rPr>
            </w:pPr>
            <w:r>
              <w:rPr>
                <w:sz w:val="24"/>
                <w:szCs w:val="24"/>
              </w:rPr>
              <w:t>May 2023</w:t>
            </w:r>
          </w:p>
        </w:tc>
        <w:tc>
          <w:tcPr>
            <w:tcW w:w="8937" w:type="dxa"/>
            <w:tcBorders>
              <w:left w:val="single" w:sz="4" w:space="0" w:color="000000"/>
            </w:tcBorders>
          </w:tcPr>
          <w:p w14:paraId="5E0B423F" w14:textId="3AC51B41" w:rsidR="00F41C80" w:rsidRPr="00475014" w:rsidRDefault="00DC7D6E" w:rsidP="00122258">
            <w:pPr>
              <w:spacing w:before="120" w:after="120"/>
              <w:jc w:val="both"/>
              <w:rPr>
                <w:sz w:val="24"/>
                <w:szCs w:val="24"/>
              </w:rPr>
            </w:pPr>
            <w:r>
              <w:rPr>
                <w:sz w:val="24"/>
                <w:szCs w:val="24"/>
              </w:rPr>
              <w:t>The first annual people plan was considered by Board.</w:t>
            </w:r>
          </w:p>
        </w:tc>
      </w:tr>
    </w:tbl>
    <w:p w14:paraId="2A0CF45C" w14:textId="77777777" w:rsidR="00305C77" w:rsidRPr="00475014" w:rsidRDefault="00305C77" w:rsidP="00780145">
      <w:pPr>
        <w:spacing w:after="120"/>
        <w:ind w:left="431" w:hanging="431"/>
        <w:outlineLvl w:val="0"/>
        <w:rPr>
          <w:b/>
          <w:bCs/>
          <w:sz w:val="24"/>
          <w:szCs w:val="24"/>
          <w:highlight w:val="yellow"/>
        </w:rPr>
      </w:pPr>
    </w:p>
    <w:p w14:paraId="4E072F95" w14:textId="4E6BF05F" w:rsidR="00027B5C" w:rsidRPr="00DC7D6E" w:rsidRDefault="00027B5C" w:rsidP="008D07CE">
      <w:pPr>
        <w:pStyle w:val="ListParagraph"/>
        <w:numPr>
          <w:ilvl w:val="0"/>
          <w:numId w:val="39"/>
        </w:numPr>
        <w:spacing w:after="120"/>
        <w:ind w:left="709" w:hanging="709"/>
        <w:rPr>
          <w:b/>
          <w:sz w:val="24"/>
          <w:szCs w:val="24"/>
        </w:rPr>
      </w:pPr>
      <w:r w:rsidRPr="00DC7D6E">
        <w:rPr>
          <w:b/>
          <w:sz w:val="24"/>
          <w:szCs w:val="24"/>
        </w:rPr>
        <w:t>BACKGROUND</w:t>
      </w:r>
    </w:p>
    <w:p w14:paraId="6FD61167" w14:textId="380A9D6A" w:rsidR="008B55E9" w:rsidRDefault="008B55E9" w:rsidP="008D07CE">
      <w:pPr>
        <w:pStyle w:val="Default"/>
        <w:spacing w:after="120"/>
        <w:ind w:left="709" w:hanging="709"/>
        <w:rPr>
          <w:rFonts w:ascii="Trebuchet MS" w:hAnsi="Trebuchet MS"/>
        </w:rPr>
      </w:pPr>
      <w:r>
        <w:rPr>
          <w:rFonts w:ascii="Trebuchet MS" w:hAnsi="Trebuchet MS"/>
        </w:rPr>
        <w:t xml:space="preserve">1.1 </w:t>
      </w:r>
      <w:r w:rsidR="00DC7D6E">
        <w:rPr>
          <w:rFonts w:ascii="Trebuchet MS" w:hAnsi="Trebuchet MS"/>
        </w:rPr>
        <w:tab/>
      </w:r>
      <w:r w:rsidR="0080200F" w:rsidRPr="00475014">
        <w:rPr>
          <w:rFonts w:ascii="Trebuchet MS" w:hAnsi="Trebuchet MS"/>
        </w:rPr>
        <w:t>The purpose of this report is to update Board on the key activities that support the wellbeing of SLAB from a people perspective.</w:t>
      </w:r>
      <w:r w:rsidR="008D07CE">
        <w:rPr>
          <w:rFonts w:ascii="Trebuchet MS" w:hAnsi="Trebuchet MS"/>
        </w:rPr>
        <w:t xml:space="preserve"> </w:t>
      </w:r>
      <w:r w:rsidR="0080200F" w:rsidRPr="00475014">
        <w:rPr>
          <w:rFonts w:ascii="Trebuchet MS" w:hAnsi="Trebuchet MS"/>
        </w:rPr>
        <w:t xml:space="preserve">The report shows the key indicators that inform wellbeing and engagement across SLAB alongside the key activities </w:t>
      </w:r>
      <w:r w:rsidR="005936C8">
        <w:rPr>
          <w:rFonts w:ascii="Trebuchet MS" w:hAnsi="Trebuchet MS"/>
        </w:rPr>
        <w:t xml:space="preserve">that have taken place over the last year and those </w:t>
      </w:r>
      <w:r w:rsidR="0080200F" w:rsidRPr="00475014">
        <w:rPr>
          <w:rFonts w:ascii="Trebuchet MS" w:hAnsi="Trebuchet MS"/>
        </w:rPr>
        <w:t xml:space="preserve">that will be led by the </w:t>
      </w:r>
      <w:r w:rsidR="00D22021">
        <w:rPr>
          <w:rFonts w:ascii="Trebuchet MS" w:hAnsi="Trebuchet MS"/>
        </w:rPr>
        <w:t>People &amp; OD</w:t>
      </w:r>
      <w:r w:rsidR="007537AE">
        <w:rPr>
          <w:rFonts w:ascii="Trebuchet MS" w:hAnsi="Trebuchet MS"/>
        </w:rPr>
        <w:t xml:space="preserve"> </w:t>
      </w:r>
      <w:r w:rsidR="0080200F" w:rsidRPr="00475014">
        <w:rPr>
          <w:rFonts w:ascii="Trebuchet MS" w:hAnsi="Trebuchet MS"/>
        </w:rPr>
        <w:t>team</w:t>
      </w:r>
      <w:r w:rsidR="00D05086">
        <w:rPr>
          <w:rFonts w:ascii="Trebuchet MS" w:hAnsi="Trebuchet MS"/>
        </w:rPr>
        <w:t xml:space="preserve"> in the coming year</w:t>
      </w:r>
      <w:r w:rsidR="0080200F" w:rsidRPr="00475014">
        <w:rPr>
          <w:rFonts w:ascii="Trebuchet MS" w:hAnsi="Trebuchet MS"/>
        </w:rPr>
        <w:t>.</w:t>
      </w:r>
    </w:p>
    <w:p w14:paraId="543A4207" w14:textId="102747B4" w:rsidR="00475014" w:rsidRDefault="008B55E9" w:rsidP="008D07CE">
      <w:pPr>
        <w:pStyle w:val="Default"/>
        <w:spacing w:after="120"/>
        <w:ind w:left="709" w:hanging="709"/>
        <w:rPr>
          <w:rFonts w:ascii="Trebuchet MS" w:hAnsi="Trebuchet MS"/>
        </w:rPr>
      </w:pPr>
      <w:r>
        <w:rPr>
          <w:rFonts w:ascii="Trebuchet MS" w:hAnsi="Trebuchet MS"/>
        </w:rPr>
        <w:t xml:space="preserve">1.2 </w:t>
      </w:r>
      <w:r w:rsidR="00DC7D6E">
        <w:rPr>
          <w:rFonts w:ascii="Trebuchet MS" w:hAnsi="Trebuchet MS"/>
        </w:rPr>
        <w:tab/>
      </w:r>
      <w:r w:rsidR="009557CE">
        <w:rPr>
          <w:rFonts w:ascii="Trebuchet MS" w:hAnsi="Trebuchet MS"/>
        </w:rPr>
        <w:t xml:space="preserve">The people who work for SLAB are key to the delivery of our corporate objectives and as a result the Key indicators in this report highlight the culture and engagement of the staff which has a direct impact on our ability to deliver a </w:t>
      </w:r>
      <w:r w:rsidR="00D22021">
        <w:rPr>
          <w:rFonts w:ascii="Trebuchet MS" w:hAnsi="Trebuchet MS"/>
        </w:rPr>
        <w:t>high-quality</w:t>
      </w:r>
      <w:r w:rsidR="009557CE">
        <w:rPr>
          <w:rFonts w:ascii="Trebuchet MS" w:hAnsi="Trebuchet MS"/>
        </w:rPr>
        <w:t xml:space="preserve"> service. </w:t>
      </w:r>
    </w:p>
    <w:p w14:paraId="5A03F7D5" w14:textId="73F3F55C" w:rsidR="00027B5C" w:rsidRPr="00475014" w:rsidRDefault="00475014" w:rsidP="008D07CE">
      <w:pPr>
        <w:pStyle w:val="Default"/>
        <w:numPr>
          <w:ilvl w:val="0"/>
          <w:numId w:val="40"/>
        </w:numPr>
        <w:spacing w:after="120"/>
        <w:ind w:left="709" w:hanging="709"/>
        <w:rPr>
          <w:rFonts w:ascii="Trebuchet MS" w:hAnsi="Trebuchet MS"/>
          <w:b/>
        </w:rPr>
      </w:pPr>
      <w:r w:rsidRPr="00475014">
        <w:rPr>
          <w:rFonts w:ascii="Trebuchet MS" w:hAnsi="Trebuchet MS"/>
          <w:b/>
        </w:rPr>
        <w:t>KEY INDICATORS</w:t>
      </w:r>
      <w:r w:rsidR="00027B5C" w:rsidRPr="00475014">
        <w:rPr>
          <w:rFonts w:ascii="Trebuchet MS" w:hAnsi="Trebuchet MS"/>
          <w:b/>
        </w:rPr>
        <w:t xml:space="preserve"> </w:t>
      </w:r>
    </w:p>
    <w:p w14:paraId="06BD8B9A" w14:textId="1B2ED7D5" w:rsidR="00475014" w:rsidRPr="008D07CE" w:rsidRDefault="008B55E9" w:rsidP="008D07CE">
      <w:pPr>
        <w:pStyle w:val="Default"/>
        <w:spacing w:after="120"/>
        <w:ind w:left="709" w:hanging="709"/>
        <w:rPr>
          <w:rFonts w:ascii="Trebuchet MS" w:hAnsi="Trebuchet MS"/>
        </w:rPr>
      </w:pPr>
      <w:r>
        <w:rPr>
          <w:rFonts w:ascii="Trebuchet MS" w:hAnsi="Trebuchet MS"/>
        </w:rPr>
        <w:t>2.</w:t>
      </w:r>
      <w:r w:rsidR="007C515E">
        <w:rPr>
          <w:rFonts w:ascii="Trebuchet MS" w:hAnsi="Trebuchet MS"/>
        </w:rPr>
        <w:t>0.1</w:t>
      </w:r>
      <w:r>
        <w:rPr>
          <w:rFonts w:ascii="Trebuchet MS" w:hAnsi="Trebuchet MS"/>
        </w:rPr>
        <w:t xml:space="preserve"> </w:t>
      </w:r>
      <w:r>
        <w:rPr>
          <w:rFonts w:ascii="Trebuchet MS" w:hAnsi="Trebuchet MS"/>
        </w:rPr>
        <w:tab/>
      </w:r>
      <w:r w:rsidR="008D07CE" w:rsidRPr="001E03A7">
        <w:rPr>
          <w:rFonts w:ascii="Trebuchet MS" w:hAnsi="Trebuchet MS"/>
        </w:rPr>
        <w:t>Several</w:t>
      </w:r>
      <w:r w:rsidR="001E03A7" w:rsidRPr="001E03A7">
        <w:rPr>
          <w:rFonts w:ascii="Trebuchet MS" w:hAnsi="Trebuchet MS"/>
        </w:rPr>
        <w:t xml:space="preserve"> indica</w:t>
      </w:r>
      <w:r w:rsidR="00B51CC6">
        <w:rPr>
          <w:rFonts w:ascii="Trebuchet MS" w:hAnsi="Trebuchet MS"/>
        </w:rPr>
        <w:t>tors are monitored to show the health and wellbeing</w:t>
      </w:r>
      <w:r w:rsidR="001E03A7" w:rsidRPr="001E03A7">
        <w:rPr>
          <w:rFonts w:ascii="Trebuchet MS" w:hAnsi="Trebuchet MS"/>
        </w:rPr>
        <w:t xml:space="preserve"> of SLAB in terms of </w:t>
      </w:r>
      <w:r w:rsidR="00B51CC6">
        <w:rPr>
          <w:rFonts w:ascii="Trebuchet MS" w:hAnsi="Trebuchet MS"/>
        </w:rPr>
        <w:t xml:space="preserve">their staff </w:t>
      </w:r>
      <w:r w:rsidR="0068059F">
        <w:rPr>
          <w:rFonts w:ascii="Trebuchet MS" w:hAnsi="Trebuchet MS"/>
        </w:rPr>
        <w:t>engagement,</w:t>
      </w:r>
      <w:r w:rsidR="0068059F" w:rsidRPr="001E03A7">
        <w:rPr>
          <w:rFonts w:ascii="Trebuchet MS" w:hAnsi="Trebuchet MS"/>
        </w:rPr>
        <w:t xml:space="preserve"> performance</w:t>
      </w:r>
      <w:r w:rsidR="0068059F">
        <w:rPr>
          <w:rFonts w:ascii="Trebuchet MS" w:hAnsi="Trebuchet MS"/>
        </w:rPr>
        <w:t xml:space="preserve"> and culture</w:t>
      </w:r>
      <w:r w:rsidR="00475014" w:rsidRPr="001E03A7">
        <w:rPr>
          <w:rFonts w:ascii="Trebuchet MS" w:hAnsi="Trebuchet MS"/>
        </w:rPr>
        <w:t>.</w:t>
      </w:r>
      <w:r w:rsidR="001E03A7" w:rsidRPr="001E03A7">
        <w:rPr>
          <w:rFonts w:ascii="Trebuchet MS" w:hAnsi="Trebuchet MS"/>
        </w:rPr>
        <w:t xml:space="preserve"> The purpose of monitoring is shown in the table with performance discussed below.</w:t>
      </w:r>
    </w:p>
    <w:tbl>
      <w:tblPr>
        <w:tblStyle w:val="TableGrid"/>
        <w:tblW w:w="0" w:type="auto"/>
        <w:tblInd w:w="-5" w:type="dxa"/>
        <w:tblLook w:val="04A0" w:firstRow="1" w:lastRow="0" w:firstColumn="1" w:lastColumn="0" w:noHBand="0" w:noVBand="1"/>
      </w:tblPr>
      <w:tblGrid>
        <w:gridCol w:w="3544"/>
        <w:gridCol w:w="6513"/>
      </w:tblGrid>
      <w:tr w:rsidR="001E03A7" w:rsidRPr="001E03A7" w14:paraId="755E7572" w14:textId="77777777" w:rsidTr="008D07CE">
        <w:tc>
          <w:tcPr>
            <w:tcW w:w="3544" w:type="dxa"/>
          </w:tcPr>
          <w:p w14:paraId="30A13CFB" w14:textId="77777777" w:rsidR="001E03A7" w:rsidRPr="001E03A7" w:rsidRDefault="001E03A7" w:rsidP="00475014">
            <w:pPr>
              <w:pStyle w:val="ListParagraph"/>
              <w:ind w:left="0"/>
              <w:rPr>
                <w:b/>
                <w:sz w:val="24"/>
                <w:szCs w:val="24"/>
              </w:rPr>
            </w:pPr>
            <w:r w:rsidRPr="001E03A7">
              <w:rPr>
                <w:b/>
                <w:sz w:val="24"/>
                <w:szCs w:val="24"/>
              </w:rPr>
              <w:t>Data</w:t>
            </w:r>
          </w:p>
        </w:tc>
        <w:tc>
          <w:tcPr>
            <w:tcW w:w="6513" w:type="dxa"/>
          </w:tcPr>
          <w:p w14:paraId="34AD3F34" w14:textId="77777777" w:rsidR="001E03A7" w:rsidRPr="001E03A7" w:rsidRDefault="001E03A7" w:rsidP="00475014">
            <w:pPr>
              <w:pStyle w:val="ListParagraph"/>
              <w:ind w:left="0"/>
              <w:rPr>
                <w:b/>
                <w:sz w:val="24"/>
                <w:szCs w:val="24"/>
              </w:rPr>
            </w:pPr>
            <w:r w:rsidRPr="001E03A7">
              <w:rPr>
                <w:b/>
                <w:sz w:val="24"/>
                <w:szCs w:val="24"/>
              </w:rPr>
              <w:t>Purpose</w:t>
            </w:r>
            <w:r w:rsidR="003C3BFE">
              <w:rPr>
                <w:b/>
                <w:sz w:val="24"/>
                <w:szCs w:val="24"/>
              </w:rPr>
              <w:t xml:space="preserve">  </w:t>
            </w:r>
          </w:p>
        </w:tc>
      </w:tr>
      <w:tr w:rsidR="001E03A7" w:rsidRPr="001E03A7" w14:paraId="35FAA26E" w14:textId="77777777" w:rsidTr="008D07CE">
        <w:tc>
          <w:tcPr>
            <w:tcW w:w="3544" w:type="dxa"/>
          </w:tcPr>
          <w:p w14:paraId="43CC8229" w14:textId="4B95F488" w:rsidR="001E03A7" w:rsidRDefault="008B55E9" w:rsidP="00475014">
            <w:pPr>
              <w:pStyle w:val="ListParagraph"/>
              <w:ind w:left="0"/>
              <w:rPr>
                <w:sz w:val="24"/>
                <w:szCs w:val="24"/>
              </w:rPr>
            </w:pPr>
            <w:r>
              <w:rPr>
                <w:sz w:val="24"/>
                <w:szCs w:val="24"/>
              </w:rPr>
              <w:t xml:space="preserve">2.2 </w:t>
            </w:r>
            <w:r w:rsidR="001E03A7">
              <w:rPr>
                <w:sz w:val="24"/>
                <w:szCs w:val="24"/>
              </w:rPr>
              <w:t>Staff Profile</w:t>
            </w:r>
          </w:p>
        </w:tc>
        <w:tc>
          <w:tcPr>
            <w:tcW w:w="6513" w:type="dxa"/>
          </w:tcPr>
          <w:p w14:paraId="633CE91C" w14:textId="03E2CA19" w:rsidR="001E03A7" w:rsidRDefault="001E03A7" w:rsidP="00475014">
            <w:pPr>
              <w:pStyle w:val="ListParagraph"/>
              <w:ind w:left="0"/>
              <w:rPr>
                <w:sz w:val="24"/>
                <w:szCs w:val="24"/>
              </w:rPr>
            </w:pPr>
            <w:r>
              <w:rPr>
                <w:sz w:val="24"/>
                <w:szCs w:val="24"/>
              </w:rPr>
              <w:t>Showing the demographics of our staff</w:t>
            </w:r>
            <w:r w:rsidR="008D07CE">
              <w:rPr>
                <w:sz w:val="24"/>
                <w:szCs w:val="24"/>
              </w:rPr>
              <w:t xml:space="preserve"> i</w:t>
            </w:r>
            <w:r>
              <w:rPr>
                <w:sz w:val="24"/>
                <w:szCs w:val="24"/>
              </w:rPr>
              <w:t xml:space="preserve">nforms succession </w:t>
            </w:r>
            <w:r w:rsidR="007537AE">
              <w:rPr>
                <w:sz w:val="24"/>
                <w:szCs w:val="24"/>
              </w:rPr>
              <w:t>planning</w:t>
            </w:r>
            <w:r w:rsidR="008D07CE">
              <w:rPr>
                <w:sz w:val="24"/>
                <w:szCs w:val="24"/>
              </w:rPr>
              <w:t xml:space="preserve">, monitors our </w:t>
            </w:r>
            <w:r>
              <w:rPr>
                <w:sz w:val="24"/>
                <w:szCs w:val="24"/>
              </w:rPr>
              <w:t>equalities and diversity</w:t>
            </w:r>
            <w:r w:rsidR="008D07CE">
              <w:rPr>
                <w:sz w:val="24"/>
                <w:szCs w:val="24"/>
              </w:rPr>
              <w:t xml:space="preserve">, and </w:t>
            </w:r>
          </w:p>
          <w:p w14:paraId="32C7CC70" w14:textId="4C6B7C19" w:rsidR="001E03A7" w:rsidRPr="001E03A7" w:rsidRDefault="008D07CE" w:rsidP="00475014">
            <w:pPr>
              <w:pStyle w:val="ListParagraph"/>
              <w:ind w:left="0"/>
              <w:rPr>
                <w:sz w:val="24"/>
                <w:szCs w:val="24"/>
              </w:rPr>
            </w:pPr>
            <w:r>
              <w:rPr>
                <w:sz w:val="24"/>
                <w:szCs w:val="24"/>
              </w:rPr>
              <w:t>p</w:t>
            </w:r>
            <w:r w:rsidR="0068059F">
              <w:rPr>
                <w:sz w:val="24"/>
                <w:szCs w:val="24"/>
              </w:rPr>
              <w:t>rovides recruitment insight</w:t>
            </w:r>
            <w:r>
              <w:rPr>
                <w:sz w:val="24"/>
                <w:szCs w:val="24"/>
              </w:rPr>
              <w:t>.</w:t>
            </w:r>
          </w:p>
        </w:tc>
      </w:tr>
      <w:tr w:rsidR="001E03A7" w:rsidRPr="001E03A7" w14:paraId="777379E9" w14:textId="77777777" w:rsidTr="008D07CE">
        <w:tc>
          <w:tcPr>
            <w:tcW w:w="3544" w:type="dxa"/>
          </w:tcPr>
          <w:p w14:paraId="6B362336" w14:textId="1BB9EA49" w:rsidR="001E03A7" w:rsidRPr="001E03A7" w:rsidRDefault="008B55E9" w:rsidP="00475014">
            <w:pPr>
              <w:pStyle w:val="ListParagraph"/>
              <w:ind w:left="0"/>
              <w:rPr>
                <w:sz w:val="24"/>
                <w:szCs w:val="24"/>
              </w:rPr>
            </w:pPr>
            <w:r>
              <w:rPr>
                <w:sz w:val="24"/>
                <w:szCs w:val="24"/>
              </w:rPr>
              <w:t xml:space="preserve">2.3 </w:t>
            </w:r>
            <w:r w:rsidR="001E03A7">
              <w:rPr>
                <w:sz w:val="24"/>
                <w:szCs w:val="24"/>
              </w:rPr>
              <w:t>Staff Turnover</w:t>
            </w:r>
          </w:p>
        </w:tc>
        <w:tc>
          <w:tcPr>
            <w:tcW w:w="6513" w:type="dxa"/>
          </w:tcPr>
          <w:p w14:paraId="0FEC4DDB" w14:textId="5284B76D" w:rsidR="003C3BFE" w:rsidRPr="001E03A7" w:rsidRDefault="001E03A7" w:rsidP="008D07CE">
            <w:pPr>
              <w:pStyle w:val="ListParagraph"/>
              <w:ind w:left="0"/>
              <w:rPr>
                <w:sz w:val="24"/>
                <w:szCs w:val="24"/>
              </w:rPr>
            </w:pPr>
            <w:r>
              <w:rPr>
                <w:sz w:val="24"/>
                <w:szCs w:val="24"/>
              </w:rPr>
              <w:t xml:space="preserve">An indicator of staff </w:t>
            </w:r>
            <w:r w:rsidR="0068059F">
              <w:rPr>
                <w:sz w:val="24"/>
                <w:szCs w:val="24"/>
              </w:rPr>
              <w:t>retention (split retire/leaver)</w:t>
            </w:r>
            <w:r w:rsidR="008D07CE">
              <w:rPr>
                <w:sz w:val="24"/>
                <w:szCs w:val="24"/>
              </w:rPr>
              <w:t xml:space="preserve"> with i</w:t>
            </w:r>
            <w:r w:rsidR="003C3BFE">
              <w:rPr>
                <w:sz w:val="24"/>
                <w:szCs w:val="24"/>
              </w:rPr>
              <w:t>nsights to patterns</w:t>
            </w:r>
            <w:r w:rsidR="008D07CE">
              <w:rPr>
                <w:sz w:val="24"/>
                <w:szCs w:val="24"/>
              </w:rPr>
              <w:t xml:space="preserve"> (n</w:t>
            </w:r>
            <w:r w:rsidR="003C3BFE">
              <w:rPr>
                <w:sz w:val="24"/>
                <w:szCs w:val="24"/>
              </w:rPr>
              <w:t xml:space="preserve">either high nor low good for </w:t>
            </w:r>
            <w:r w:rsidR="00AC5246">
              <w:rPr>
                <w:sz w:val="24"/>
                <w:szCs w:val="24"/>
              </w:rPr>
              <w:t>SLAB</w:t>
            </w:r>
            <w:r w:rsidR="008D07CE">
              <w:rPr>
                <w:sz w:val="24"/>
                <w:szCs w:val="24"/>
              </w:rPr>
              <w:t>) and r</w:t>
            </w:r>
            <w:r w:rsidR="003C3BFE">
              <w:rPr>
                <w:sz w:val="24"/>
                <w:szCs w:val="24"/>
              </w:rPr>
              <w:t>ecruitment and training is expensive</w:t>
            </w:r>
            <w:r w:rsidR="008D07CE">
              <w:rPr>
                <w:sz w:val="24"/>
                <w:szCs w:val="24"/>
              </w:rPr>
              <w:t>.</w:t>
            </w:r>
          </w:p>
        </w:tc>
      </w:tr>
      <w:tr w:rsidR="001E03A7" w:rsidRPr="001E03A7" w14:paraId="2C482FC3" w14:textId="77777777" w:rsidTr="008D07CE">
        <w:tc>
          <w:tcPr>
            <w:tcW w:w="3544" w:type="dxa"/>
          </w:tcPr>
          <w:p w14:paraId="2418D80E" w14:textId="772033BF" w:rsidR="001E03A7" w:rsidRPr="001E03A7" w:rsidRDefault="008B55E9" w:rsidP="00475014">
            <w:pPr>
              <w:pStyle w:val="ListParagraph"/>
              <w:ind w:left="0"/>
              <w:rPr>
                <w:sz w:val="24"/>
                <w:szCs w:val="24"/>
              </w:rPr>
            </w:pPr>
            <w:r>
              <w:rPr>
                <w:sz w:val="24"/>
                <w:szCs w:val="24"/>
              </w:rPr>
              <w:t xml:space="preserve">2.4 </w:t>
            </w:r>
            <w:r w:rsidR="001E03A7">
              <w:rPr>
                <w:sz w:val="24"/>
                <w:szCs w:val="24"/>
              </w:rPr>
              <w:t>Staff Sickness</w:t>
            </w:r>
          </w:p>
        </w:tc>
        <w:tc>
          <w:tcPr>
            <w:tcW w:w="6513" w:type="dxa"/>
          </w:tcPr>
          <w:p w14:paraId="68256707" w14:textId="57829BD4" w:rsidR="001E03A7" w:rsidRDefault="003C3BFE" w:rsidP="00475014">
            <w:pPr>
              <w:pStyle w:val="ListParagraph"/>
              <w:ind w:left="0"/>
              <w:rPr>
                <w:sz w:val="24"/>
                <w:szCs w:val="24"/>
              </w:rPr>
            </w:pPr>
            <w:r>
              <w:rPr>
                <w:sz w:val="24"/>
                <w:szCs w:val="24"/>
              </w:rPr>
              <w:t>Understand the patterns and cost to absence</w:t>
            </w:r>
            <w:r w:rsidR="008D07CE">
              <w:rPr>
                <w:sz w:val="24"/>
                <w:szCs w:val="24"/>
              </w:rPr>
              <w:t xml:space="preserve"> and trace</w:t>
            </w:r>
          </w:p>
          <w:p w14:paraId="3CABF7A4" w14:textId="487DC376" w:rsidR="003C3BFE" w:rsidRPr="001E03A7" w:rsidRDefault="008D07CE" w:rsidP="00475014">
            <w:pPr>
              <w:pStyle w:val="ListParagraph"/>
              <w:ind w:left="0"/>
              <w:rPr>
                <w:sz w:val="24"/>
                <w:szCs w:val="24"/>
              </w:rPr>
            </w:pPr>
            <w:r>
              <w:rPr>
                <w:sz w:val="24"/>
                <w:szCs w:val="24"/>
              </w:rPr>
              <w:t>to i</w:t>
            </w:r>
            <w:r w:rsidR="003C3BFE">
              <w:rPr>
                <w:sz w:val="24"/>
                <w:szCs w:val="24"/>
              </w:rPr>
              <w:t>nform productivity, engagement and leadership effectiveness</w:t>
            </w:r>
            <w:r>
              <w:rPr>
                <w:sz w:val="24"/>
                <w:szCs w:val="24"/>
              </w:rPr>
              <w:t>.</w:t>
            </w:r>
          </w:p>
        </w:tc>
      </w:tr>
      <w:tr w:rsidR="001E03A7" w:rsidRPr="001E03A7" w14:paraId="23F2CD38" w14:textId="77777777" w:rsidTr="008D07CE">
        <w:tc>
          <w:tcPr>
            <w:tcW w:w="3544" w:type="dxa"/>
          </w:tcPr>
          <w:p w14:paraId="685D15DE" w14:textId="75A9B382" w:rsidR="001E03A7" w:rsidRPr="001E03A7" w:rsidRDefault="008B55E9" w:rsidP="00475014">
            <w:pPr>
              <w:pStyle w:val="ListParagraph"/>
              <w:ind w:left="0"/>
              <w:rPr>
                <w:sz w:val="24"/>
                <w:szCs w:val="24"/>
              </w:rPr>
            </w:pPr>
            <w:r>
              <w:rPr>
                <w:sz w:val="24"/>
                <w:szCs w:val="24"/>
              </w:rPr>
              <w:lastRenderedPageBreak/>
              <w:t xml:space="preserve">2.5 </w:t>
            </w:r>
            <w:r w:rsidR="001E03A7">
              <w:rPr>
                <w:sz w:val="24"/>
                <w:szCs w:val="24"/>
              </w:rPr>
              <w:t>Number of discipline/</w:t>
            </w:r>
            <w:r w:rsidR="008D07CE">
              <w:rPr>
                <w:sz w:val="24"/>
                <w:szCs w:val="24"/>
              </w:rPr>
              <w:t xml:space="preserve"> </w:t>
            </w:r>
            <w:r w:rsidR="001E03A7">
              <w:rPr>
                <w:sz w:val="24"/>
                <w:szCs w:val="24"/>
              </w:rPr>
              <w:t>Grievance cases</w:t>
            </w:r>
          </w:p>
        </w:tc>
        <w:tc>
          <w:tcPr>
            <w:tcW w:w="6513" w:type="dxa"/>
          </w:tcPr>
          <w:p w14:paraId="2A915190" w14:textId="09A9B95A" w:rsidR="003C3BFE" w:rsidRPr="001E03A7" w:rsidRDefault="003C3BFE" w:rsidP="008D07CE">
            <w:pPr>
              <w:pStyle w:val="ListParagraph"/>
              <w:ind w:left="0"/>
              <w:rPr>
                <w:sz w:val="24"/>
                <w:szCs w:val="24"/>
              </w:rPr>
            </w:pPr>
            <w:r>
              <w:rPr>
                <w:sz w:val="24"/>
                <w:szCs w:val="24"/>
              </w:rPr>
              <w:t xml:space="preserve">Informs level of engagement and leadership </w:t>
            </w:r>
            <w:r w:rsidR="008D07CE">
              <w:rPr>
                <w:sz w:val="24"/>
                <w:szCs w:val="24"/>
              </w:rPr>
              <w:t>effectiveness and i</w:t>
            </w:r>
            <w:r>
              <w:rPr>
                <w:sz w:val="24"/>
                <w:szCs w:val="24"/>
              </w:rPr>
              <w:t>dentifies patterns</w:t>
            </w:r>
            <w:r w:rsidR="008D07CE">
              <w:rPr>
                <w:sz w:val="24"/>
                <w:szCs w:val="24"/>
              </w:rPr>
              <w:t>.</w:t>
            </w:r>
          </w:p>
        </w:tc>
      </w:tr>
      <w:tr w:rsidR="00D22021" w:rsidRPr="001E03A7" w14:paraId="0F0CFEFF" w14:textId="77777777" w:rsidTr="008D07CE">
        <w:tc>
          <w:tcPr>
            <w:tcW w:w="3544" w:type="dxa"/>
          </w:tcPr>
          <w:p w14:paraId="4A172126" w14:textId="1ACC2C37" w:rsidR="00D22021" w:rsidRDefault="008B55E9" w:rsidP="00475014">
            <w:pPr>
              <w:pStyle w:val="ListParagraph"/>
              <w:ind w:left="0"/>
              <w:rPr>
                <w:sz w:val="24"/>
                <w:szCs w:val="24"/>
              </w:rPr>
            </w:pPr>
            <w:r>
              <w:rPr>
                <w:sz w:val="24"/>
                <w:szCs w:val="24"/>
              </w:rPr>
              <w:t xml:space="preserve">2.6 </w:t>
            </w:r>
            <w:r w:rsidR="00D22021">
              <w:rPr>
                <w:sz w:val="24"/>
                <w:szCs w:val="24"/>
              </w:rPr>
              <w:t>Recruitment time to hire and number of vacancies</w:t>
            </w:r>
          </w:p>
        </w:tc>
        <w:tc>
          <w:tcPr>
            <w:tcW w:w="6513" w:type="dxa"/>
          </w:tcPr>
          <w:p w14:paraId="745F820C" w14:textId="47EE3167" w:rsidR="00D22021" w:rsidRDefault="00D22021" w:rsidP="00475014">
            <w:pPr>
              <w:pStyle w:val="ListParagraph"/>
              <w:ind w:left="0"/>
              <w:rPr>
                <w:sz w:val="24"/>
                <w:szCs w:val="24"/>
              </w:rPr>
            </w:pPr>
            <w:r>
              <w:rPr>
                <w:sz w:val="24"/>
                <w:szCs w:val="24"/>
              </w:rPr>
              <w:t>Provides insight into how effectively we attract new talent</w:t>
            </w:r>
            <w:r w:rsidR="008D07CE">
              <w:rPr>
                <w:sz w:val="24"/>
                <w:szCs w:val="24"/>
              </w:rPr>
              <w:t>.</w:t>
            </w:r>
            <w:r>
              <w:rPr>
                <w:sz w:val="24"/>
                <w:szCs w:val="24"/>
              </w:rPr>
              <w:t xml:space="preserve"> </w:t>
            </w:r>
          </w:p>
        </w:tc>
      </w:tr>
      <w:tr w:rsidR="001E03A7" w:rsidRPr="001E03A7" w14:paraId="7F496FE7" w14:textId="77777777" w:rsidTr="008D07CE">
        <w:tc>
          <w:tcPr>
            <w:tcW w:w="3544" w:type="dxa"/>
          </w:tcPr>
          <w:p w14:paraId="34B790E5" w14:textId="63F512D5" w:rsidR="001E03A7" w:rsidRPr="001E03A7" w:rsidRDefault="008B55E9" w:rsidP="00475014">
            <w:pPr>
              <w:pStyle w:val="ListParagraph"/>
              <w:ind w:left="0"/>
              <w:rPr>
                <w:sz w:val="24"/>
                <w:szCs w:val="24"/>
              </w:rPr>
            </w:pPr>
            <w:r>
              <w:rPr>
                <w:sz w:val="24"/>
                <w:szCs w:val="24"/>
              </w:rPr>
              <w:t xml:space="preserve">2.7 </w:t>
            </w:r>
            <w:r w:rsidR="001E03A7">
              <w:rPr>
                <w:sz w:val="24"/>
                <w:szCs w:val="24"/>
              </w:rPr>
              <w:t>Number of formal training days (recorded)</w:t>
            </w:r>
          </w:p>
        </w:tc>
        <w:tc>
          <w:tcPr>
            <w:tcW w:w="6513" w:type="dxa"/>
          </w:tcPr>
          <w:p w14:paraId="013E79D6" w14:textId="48C0B955" w:rsidR="001E03A7" w:rsidRDefault="003C3BFE" w:rsidP="00475014">
            <w:pPr>
              <w:pStyle w:val="ListParagraph"/>
              <w:ind w:left="0"/>
              <w:rPr>
                <w:sz w:val="24"/>
                <w:szCs w:val="24"/>
              </w:rPr>
            </w:pPr>
            <w:r>
              <w:rPr>
                <w:sz w:val="24"/>
                <w:szCs w:val="24"/>
              </w:rPr>
              <w:t xml:space="preserve">Training is key to enhancing </w:t>
            </w:r>
            <w:r w:rsidR="00675137">
              <w:rPr>
                <w:sz w:val="24"/>
                <w:szCs w:val="24"/>
              </w:rPr>
              <w:t>performance</w:t>
            </w:r>
            <w:r w:rsidR="008D07CE">
              <w:rPr>
                <w:sz w:val="24"/>
                <w:szCs w:val="24"/>
              </w:rPr>
              <w:t xml:space="preserve"> and investment </w:t>
            </w:r>
          </w:p>
          <w:p w14:paraId="54D4B5A5" w14:textId="295DA2D7" w:rsidR="003C3BFE" w:rsidRPr="001E03A7" w:rsidRDefault="003C3BFE" w:rsidP="00475014">
            <w:pPr>
              <w:pStyle w:val="ListParagraph"/>
              <w:ind w:left="0"/>
              <w:rPr>
                <w:sz w:val="24"/>
                <w:szCs w:val="24"/>
              </w:rPr>
            </w:pPr>
            <w:r>
              <w:rPr>
                <w:sz w:val="24"/>
                <w:szCs w:val="24"/>
              </w:rPr>
              <w:t>in staff</w:t>
            </w:r>
            <w:r w:rsidR="008D07CE">
              <w:rPr>
                <w:sz w:val="24"/>
                <w:szCs w:val="24"/>
              </w:rPr>
              <w:t>.</w:t>
            </w:r>
          </w:p>
        </w:tc>
      </w:tr>
      <w:tr w:rsidR="00226EF9" w:rsidRPr="001E03A7" w14:paraId="5079F607" w14:textId="77777777" w:rsidTr="008D07CE">
        <w:tc>
          <w:tcPr>
            <w:tcW w:w="3544" w:type="dxa"/>
          </w:tcPr>
          <w:p w14:paraId="3F56EAFA" w14:textId="72656366" w:rsidR="00226EF9" w:rsidRDefault="008B55E9" w:rsidP="00475014">
            <w:pPr>
              <w:pStyle w:val="ListParagraph"/>
              <w:ind w:left="0"/>
              <w:rPr>
                <w:sz w:val="24"/>
                <w:szCs w:val="24"/>
              </w:rPr>
            </w:pPr>
            <w:r>
              <w:rPr>
                <w:sz w:val="24"/>
                <w:szCs w:val="24"/>
              </w:rPr>
              <w:t xml:space="preserve">2.8 </w:t>
            </w:r>
            <w:r w:rsidR="00226EF9">
              <w:rPr>
                <w:sz w:val="24"/>
                <w:szCs w:val="24"/>
              </w:rPr>
              <w:t>Gender Pay Gap</w:t>
            </w:r>
          </w:p>
        </w:tc>
        <w:tc>
          <w:tcPr>
            <w:tcW w:w="6513" w:type="dxa"/>
          </w:tcPr>
          <w:p w14:paraId="0FA1E279" w14:textId="4067795B" w:rsidR="00226EF9" w:rsidRDefault="00226EF9" w:rsidP="008D07CE">
            <w:pPr>
              <w:pStyle w:val="ListParagraph"/>
              <w:ind w:left="0"/>
              <w:rPr>
                <w:sz w:val="24"/>
                <w:szCs w:val="24"/>
              </w:rPr>
            </w:pPr>
            <w:r>
              <w:rPr>
                <w:sz w:val="24"/>
                <w:szCs w:val="24"/>
              </w:rPr>
              <w:t>Statutory requirement</w:t>
            </w:r>
            <w:r w:rsidR="008D07CE">
              <w:rPr>
                <w:sz w:val="24"/>
                <w:szCs w:val="24"/>
              </w:rPr>
              <w:t xml:space="preserve"> which s</w:t>
            </w:r>
            <w:r>
              <w:rPr>
                <w:sz w:val="24"/>
                <w:szCs w:val="24"/>
              </w:rPr>
              <w:t>hows the mean</w:t>
            </w:r>
            <w:r w:rsidR="00D05086">
              <w:rPr>
                <w:sz w:val="24"/>
                <w:szCs w:val="24"/>
              </w:rPr>
              <w:t xml:space="preserve"> and median gender g</w:t>
            </w:r>
            <w:r>
              <w:rPr>
                <w:sz w:val="24"/>
                <w:szCs w:val="24"/>
              </w:rPr>
              <w:t>ap</w:t>
            </w:r>
            <w:r w:rsidR="00D05086">
              <w:rPr>
                <w:sz w:val="24"/>
                <w:szCs w:val="24"/>
              </w:rPr>
              <w:t xml:space="preserve"> for hourly pay</w:t>
            </w:r>
            <w:r w:rsidR="008D07CE">
              <w:rPr>
                <w:sz w:val="24"/>
                <w:szCs w:val="24"/>
              </w:rPr>
              <w:t>, which i</w:t>
            </w:r>
            <w:r>
              <w:rPr>
                <w:sz w:val="24"/>
                <w:szCs w:val="24"/>
              </w:rPr>
              <w:t>nforms policies and practices when seeking to attract and retain a diverse workforce</w:t>
            </w:r>
            <w:r w:rsidR="008D07CE">
              <w:rPr>
                <w:sz w:val="24"/>
                <w:szCs w:val="24"/>
              </w:rPr>
              <w:t>.</w:t>
            </w:r>
          </w:p>
        </w:tc>
      </w:tr>
    </w:tbl>
    <w:p w14:paraId="71E03B9D" w14:textId="77777777" w:rsidR="001E03A7" w:rsidRDefault="001E03A7" w:rsidP="00475014">
      <w:pPr>
        <w:pStyle w:val="ListParagraph"/>
        <w:rPr>
          <w:sz w:val="24"/>
          <w:szCs w:val="24"/>
        </w:rPr>
      </w:pPr>
    </w:p>
    <w:p w14:paraId="4037DA5B" w14:textId="39C0AAED" w:rsidR="007C515E" w:rsidRPr="00DC7D6E" w:rsidRDefault="007C515E" w:rsidP="008D07CE">
      <w:pPr>
        <w:pStyle w:val="Default"/>
        <w:numPr>
          <w:ilvl w:val="1"/>
          <w:numId w:val="40"/>
        </w:numPr>
        <w:spacing w:after="120"/>
        <w:ind w:left="709" w:hanging="709"/>
        <w:rPr>
          <w:rFonts w:ascii="Trebuchet MS" w:hAnsi="Trebuchet MS"/>
          <w:b/>
          <w:bCs/>
          <w:color w:val="auto"/>
        </w:rPr>
      </w:pPr>
      <w:r w:rsidRPr="00DC7D6E">
        <w:rPr>
          <w:rFonts w:ascii="Trebuchet MS" w:hAnsi="Trebuchet MS"/>
          <w:b/>
          <w:bCs/>
          <w:color w:val="auto"/>
        </w:rPr>
        <w:t>Summary</w:t>
      </w:r>
    </w:p>
    <w:p w14:paraId="49C618C0" w14:textId="1970AAAA" w:rsidR="007C515E" w:rsidRPr="008D07CE" w:rsidRDefault="007C515E" w:rsidP="008D07CE">
      <w:pPr>
        <w:pStyle w:val="Default"/>
        <w:numPr>
          <w:ilvl w:val="2"/>
          <w:numId w:val="40"/>
        </w:numPr>
        <w:spacing w:after="120"/>
        <w:ind w:left="709" w:hanging="709"/>
        <w:rPr>
          <w:rFonts w:ascii="Trebuchet MS" w:hAnsi="Trebuchet MS"/>
          <w:color w:val="auto"/>
        </w:rPr>
      </w:pPr>
      <w:r w:rsidRPr="00F5069D">
        <w:rPr>
          <w:rFonts w:ascii="Trebuchet MS" w:hAnsi="Trebuchet MS"/>
          <w:color w:val="auto"/>
        </w:rPr>
        <w:t xml:space="preserve">The data shows there would appear to be some contradiction as staff have long tenure, disciplinary cases are very low for the size of SLAB, there is a low staff turnover and staff report high levels of wellbeing. </w:t>
      </w:r>
      <w:r>
        <w:rPr>
          <w:rFonts w:ascii="Trebuchet MS" w:hAnsi="Trebuchet MS"/>
          <w:color w:val="auto"/>
        </w:rPr>
        <w:t>However,</w:t>
      </w:r>
      <w:r w:rsidRPr="00F5069D">
        <w:rPr>
          <w:rFonts w:ascii="Trebuchet MS" w:hAnsi="Trebuchet MS"/>
          <w:color w:val="auto"/>
        </w:rPr>
        <w:t xml:space="preserve"> absence is increasing and higher than national comparators. The People &amp; OD team have developed new policies and ways of working which have resulted in changes for managers and staff. While these policies will have a positive impact the process of change can present challenges to colleagues and there can be a delay from implementation to impact. We have made very positive steps this year, and we will continue to monitor their impact.</w:t>
      </w:r>
    </w:p>
    <w:p w14:paraId="27F38C6D" w14:textId="6995E5E0" w:rsidR="00105DF4" w:rsidRDefault="008B55E9" w:rsidP="008D07CE">
      <w:pPr>
        <w:pStyle w:val="ListParagraph"/>
        <w:ind w:left="0"/>
        <w:rPr>
          <w:b/>
          <w:bCs/>
          <w:sz w:val="24"/>
          <w:szCs w:val="24"/>
        </w:rPr>
      </w:pPr>
      <w:r>
        <w:rPr>
          <w:b/>
          <w:bCs/>
          <w:sz w:val="24"/>
          <w:szCs w:val="24"/>
        </w:rPr>
        <w:t xml:space="preserve">2.2 </w:t>
      </w:r>
      <w:r w:rsidR="00412D54">
        <w:rPr>
          <w:b/>
          <w:bCs/>
          <w:sz w:val="24"/>
          <w:szCs w:val="24"/>
        </w:rPr>
        <w:tab/>
      </w:r>
      <w:r w:rsidR="005E3CA2" w:rsidRPr="005E3CA2">
        <w:rPr>
          <w:b/>
          <w:bCs/>
          <w:sz w:val="24"/>
          <w:szCs w:val="24"/>
        </w:rPr>
        <w:t>Staff Profile</w:t>
      </w:r>
    </w:p>
    <w:p w14:paraId="53E4C5E7" w14:textId="77777777" w:rsidR="008D07CE" w:rsidRPr="008D07CE" w:rsidRDefault="008D07CE" w:rsidP="008D07CE">
      <w:pPr>
        <w:pStyle w:val="ListParagraph"/>
        <w:ind w:left="0"/>
        <w:rPr>
          <w:b/>
          <w:bCs/>
          <w:sz w:val="24"/>
          <w:szCs w:val="24"/>
        </w:rPr>
      </w:pPr>
    </w:p>
    <w:p w14:paraId="4CB8E320" w14:textId="77777777" w:rsidR="008D07CE" w:rsidRDefault="00247131" w:rsidP="00247131">
      <w:pPr>
        <w:pStyle w:val="ListParagraph"/>
        <w:ind w:left="357"/>
        <w:rPr>
          <w:sz w:val="24"/>
          <w:szCs w:val="24"/>
        </w:rPr>
      </w:pPr>
      <w:r>
        <w:rPr>
          <w:sz w:val="24"/>
          <w:szCs w:val="24"/>
        </w:rPr>
        <w:t>Figure 1.</w:t>
      </w:r>
      <w:r w:rsidR="00A331D2">
        <w:rPr>
          <w:sz w:val="24"/>
          <w:szCs w:val="24"/>
        </w:rPr>
        <w:tab/>
      </w:r>
      <w:r w:rsidR="00A331D2">
        <w:rPr>
          <w:sz w:val="24"/>
          <w:szCs w:val="24"/>
        </w:rPr>
        <w:tab/>
      </w:r>
    </w:p>
    <w:p w14:paraId="75DC7BDA" w14:textId="77777777" w:rsidR="008D07CE" w:rsidRDefault="008D07CE" w:rsidP="008D07CE">
      <w:pPr>
        <w:pStyle w:val="ListParagraph"/>
        <w:ind w:left="357"/>
        <w:rPr>
          <w:sz w:val="24"/>
          <w:szCs w:val="24"/>
        </w:rPr>
      </w:pPr>
      <w:r>
        <w:rPr>
          <w:noProof/>
          <w:lang w:eastAsia="en-GB"/>
        </w:rPr>
        <w:drawing>
          <wp:inline distT="0" distB="0" distL="0" distR="0" wp14:anchorId="279060DF" wp14:editId="048506D7">
            <wp:extent cx="2590800" cy="1905000"/>
            <wp:effectExtent l="0" t="0" r="0" b="0"/>
            <wp:docPr id="1956137732" name="Chart 1" descr="Age profile of SLAB staff. 3% under 25 years old. 27% aged 25-39. 45% aged 40-55. 25% aged over 55 years old.">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331D2">
        <w:rPr>
          <w:sz w:val="24"/>
          <w:szCs w:val="24"/>
        </w:rPr>
        <w:tab/>
      </w:r>
      <w:r w:rsidR="00A331D2">
        <w:rPr>
          <w:sz w:val="24"/>
          <w:szCs w:val="24"/>
        </w:rPr>
        <w:tab/>
      </w:r>
      <w:r w:rsidR="00A331D2">
        <w:rPr>
          <w:sz w:val="24"/>
          <w:szCs w:val="24"/>
        </w:rPr>
        <w:tab/>
      </w:r>
    </w:p>
    <w:p w14:paraId="6742A0E5" w14:textId="01F3825B" w:rsidR="00247131" w:rsidRPr="008D07CE" w:rsidRDefault="00A331D2" w:rsidP="008D07CE">
      <w:pPr>
        <w:pStyle w:val="ListParagraph"/>
        <w:ind w:left="357"/>
        <w:rPr>
          <w:sz w:val="24"/>
          <w:szCs w:val="24"/>
        </w:rPr>
      </w:pPr>
      <w:r w:rsidRPr="008D07CE">
        <w:rPr>
          <w:sz w:val="24"/>
          <w:szCs w:val="24"/>
        </w:rPr>
        <w:t>Figure 2.</w:t>
      </w:r>
    </w:p>
    <w:p w14:paraId="254090EE" w14:textId="1F24E593" w:rsidR="00247131" w:rsidRPr="00E552FB" w:rsidRDefault="00F428C2" w:rsidP="00DC7D6E">
      <w:pPr>
        <w:pStyle w:val="ListParagraph"/>
        <w:tabs>
          <w:tab w:val="left" w:pos="4820"/>
        </w:tabs>
        <w:ind w:left="357"/>
        <w:rPr>
          <w:sz w:val="24"/>
          <w:szCs w:val="24"/>
        </w:rPr>
      </w:pPr>
      <w:r w:rsidRPr="00F428C2">
        <w:rPr>
          <w:noProof/>
        </w:rPr>
        <w:t xml:space="preserve"> </w:t>
      </w:r>
      <w:r w:rsidR="00A331D2">
        <w:rPr>
          <w:noProof/>
          <w:lang w:eastAsia="en-GB"/>
        </w:rPr>
        <w:drawing>
          <wp:inline distT="0" distB="0" distL="0" distR="0" wp14:anchorId="58740057" wp14:editId="6779CA8B">
            <wp:extent cx="2559050" cy="2146300"/>
            <wp:effectExtent l="0" t="0" r="12700" b="6350"/>
            <wp:docPr id="919918624" name="Chart 1" descr="Length of service of SLAB staff. 4% less than one year. 28% 1 to 5 years. 12% 6 to 10 years. 56% 11 years and more.">
              <a:extLst xmlns:a="http://schemas.openxmlformats.org/drawingml/2006/main">
                <a:ext uri="{FF2B5EF4-FFF2-40B4-BE49-F238E27FC236}">
                  <a16:creationId xmlns:a16="http://schemas.microsoft.com/office/drawing/2014/main" id="{3B8A54BD-97FF-CB48-2785-E0FCB95649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585B1C" w14:textId="6B9352E7" w:rsidR="00FB2275" w:rsidRDefault="00FB2275" w:rsidP="00475014">
      <w:pPr>
        <w:pStyle w:val="ListParagraph"/>
        <w:rPr>
          <w:sz w:val="24"/>
          <w:szCs w:val="24"/>
        </w:rPr>
      </w:pPr>
    </w:p>
    <w:p w14:paraId="606E3DDE" w14:textId="1EFFD26C" w:rsidR="00D05086" w:rsidRPr="008D07CE" w:rsidRDefault="00D05086" w:rsidP="008D07CE">
      <w:pPr>
        <w:ind w:left="567"/>
        <w:rPr>
          <w:rFonts w:eastAsia="Times New Roman" w:cs="Bookman Old Style"/>
          <w:sz w:val="24"/>
          <w:szCs w:val="24"/>
          <w:lang w:val="en-US"/>
        </w:rPr>
      </w:pPr>
      <w:r w:rsidRPr="008D07CE">
        <w:rPr>
          <w:sz w:val="24"/>
          <w:szCs w:val="24"/>
        </w:rPr>
        <w:lastRenderedPageBreak/>
        <w:t xml:space="preserve">Figure 3: Employee </w:t>
      </w:r>
      <w:r w:rsidR="008D07CE">
        <w:rPr>
          <w:sz w:val="24"/>
          <w:szCs w:val="24"/>
        </w:rPr>
        <w:t>a</w:t>
      </w:r>
      <w:r w:rsidRPr="008D07CE">
        <w:rPr>
          <w:sz w:val="24"/>
          <w:szCs w:val="24"/>
        </w:rPr>
        <w:t xml:space="preserve">ge and </w:t>
      </w:r>
      <w:r w:rsidR="008D07CE">
        <w:rPr>
          <w:sz w:val="24"/>
          <w:szCs w:val="24"/>
        </w:rPr>
        <w:t>g</w:t>
      </w:r>
      <w:r w:rsidRPr="008D07CE">
        <w:rPr>
          <w:sz w:val="24"/>
          <w:szCs w:val="24"/>
        </w:rPr>
        <w:t>rade</w:t>
      </w:r>
      <w:r w:rsidR="00D461DB" w:rsidRPr="008D07CE">
        <w:rPr>
          <w:sz w:val="24"/>
          <w:szCs w:val="24"/>
        </w:rPr>
        <w:t xml:space="preserve"> </w:t>
      </w:r>
    </w:p>
    <w:p w14:paraId="004860AB" w14:textId="20782146" w:rsidR="00D05086" w:rsidRDefault="00D80D93" w:rsidP="00D303E2">
      <w:pPr>
        <w:pStyle w:val="Default"/>
        <w:spacing w:after="120"/>
        <w:ind w:left="567"/>
        <w:jc w:val="both"/>
      </w:pPr>
      <w:r>
        <w:rPr>
          <w:noProof/>
          <w:lang w:val="en-GB" w:eastAsia="en-GB"/>
        </w:rPr>
        <w:drawing>
          <wp:inline distT="0" distB="0" distL="0" distR="0" wp14:anchorId="7D9E0940" wp14:editId="6C898BC2">
            <wp:extent cx="5771531" cy="2695575"/>
            <wp:effectExtent l="0" t="0" r="635" b="0"/>
            <wp:docPr id="1" name="Picture 1" descr="A breakdown of the age brackets a) of less than 25, b) 25 to 39, c) 40 to 55, and d) 55 or over in Grade 2, Grade 3, Grade 4, Grade 5, Grade 6 and Grade 7 roles. 40-55 years old is the highest in all grades except Grade 3, where 55 or over is hi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eakdown of the age brackets a) of less than 25, b) 25 to 39, c) 40 to 55, and d) 55 or over in Grade 2, Grade 3, Grade 4, Grade 5, Grade 6 and Grade 7 roles. 40-55 years old is the highest in all grades except Grade 3, where 55 or over is hig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2375" cy="2700640"/>
                    </a:xfrm>
                    <a:prstGeom prst="rect">
                      <a:avLst/>
                    </a:prstGeom>
                    <a:noFill/>
                  </pic:spPr>
                </pic:pic>
              </a:graphicData>
            </a:graphic>
          </wp:inline>
        </w:drawing>
      </w:r>
    </w:p>
    <w:p w14:paraId="73B12CA0" w14:textId="2245E636" w:rsidR="00D461DB" w:rsidRPr="008D07CE" w:rsidRDefault="008D07CE" w:rsidP="008D07CE">
      <w:pPr>
        <w:ind w:left="567"/>
        <w:rPr>
          <w:rFonts w:eastAsia="Times New Roman" w:cs="Bookman Old Style"/>
          <w:sz w:val="24"/>
          <w:szCs w:val="24"/>
          <w:lang w:val="en-US"/>
        </w:rPr>
      </w:pPr>
      <w:r w:rsidRPr="008D07CE">
        <w:rPr>
          <w:b/>
          <w:bCs/>
          <w:sz w:val="24"/>
          <w:szCs w:val="24"/>
        </w:rPr>
        <w:t>Note:</w:t>
      </w:r>
      <w:r>
        <w:rPr>
          <w:sz w:val="24"/>
          <w:szCs w:val="24"/>
        </w:rPr>
        <w:t xml:space="preserve"> G</w:t>
      </w:r>
      <w:r w:rsidRPr="008D07CE">
        <w:rPr>
          <w:sz w:val="24"/>
          <w:szCs w:val="24"/>
        </w:rPr>
        <w:t>rades 1, 8, 9 and 10 are not represented due to the small numbers of staff.</w:t>
      </w:r>
      <w:r>
        <w:rPr>
          <w:sz w:val="24"/>
          <w:szCs w:val="24"/>
        </w:rPr>
        <w:br/>
      </w:r>
    </w:p>
    <w:p w14:paraId="2FF13408" w14:textId="6E9D744A" w:rsidR="008B55E9" w:rsidRDefault="008B55E9" w:rsidP="008D07CE">
      <w:pPr>
        <w:pStyle w:val="Default"/>
        <w:spacing w:after="120"/>
        <w:ind w:left="709" w:hanging="709"/>
        <w:rPr>
          <w:rFonts w:ascii="Trebuchet MS" w:hAnsi="Trebuchet MS"/>
          <w:color w:val="auto"/>
        </w:rPr>
      </w:pPr>
      <w:r>
        <w:rPr>
          <w:rFonts w:ascii="Trebuchet MS" w:hAnsi="Trebuchet MS"/>
          <w:color w:val="auto"/>
        </w:rPr>
        <w:t xml:space="preserve">2.2.1 </w:t>
      </w:r>
      <w:r>
        <w:rPr>
          <w:rFonts w:ascii="Trebuchet MS" w:hAnsi="Trebuchet MS"/>
          <w:color w:val="auto"/>
        </w:rPr>
        <w:tab/>
      </w:r>
      <w:r w:rsidR="009E1402">
        <w:rPr>
          <w:rFonts w:ascii="Trebuchet MS" w:hAnsi="Trebuchet MS"/>
          <w:color w:val="auto"/>
        </w:rPr>
        <w:t xml:space="preserve">Looking at Age Profile of staff in SLAB </w:t>
      </w:r>
      <w:r w:rsidR="00247131">
        <w:rPr>
          <w:rFonts w:ascii="Trebuchet MS" w:hAnsi="Trebuchet MS"/>
          <w:color w:val="auto"/>
        </w:rPr>
        <w:t>70</w:t>
      </w:r>
      <w:r w:rsidR="009E1402">
        <w:rPr>
          <w:rFonts w:ascii="Trebuchet MS" w:hAnsi="Trebuchet MS"/>
          <w:color w:val="auto"/>
        </w:rPr>
        <w:t xml:space="preserve">% of staff </w:t>
      </w:r>
      <w:r w:rsidR="00D05086">
        <w:rPr>
          <w:rFonts w:ascii="Trebuchet MS" w:hAnsi="Trebuchet MS"/>
          <w:color w:val="auto"/>
        </w:rPr>
        <w:t xml:space="preserve">are </w:t>
      </w:r>
      <w:r w:rsidR="00E97A57">
        <w:rPr>
          <w:rFonts w:ascii="Trebuchet MS" w:hAnsi="Trebuchet MS"/>
          <w:color w:val="auto"/>
        </w:rPr>
        <w:t xml:space="preserve">over the age of 40 and only </w:t>
      </w:r>
      <w:r w:rsidR="00D80D93">
        <w:rPr>
          <w:rFonts w:ascii="Trebuchet MS" w:hAnsi="Trebuchet MS"/>
          <w:color w:val="auto"/>
        </w:rPr>
        <w:t>13</w:t>
      </w:r>
      <w:r w:rsidR="00E97A57">
        <w:rPr>
          <w:rFonts w:ascii="Trebuchet MS" w:hAnsi="Trebuchet MS"/>
          <w:color w:val="auto"/>
        </w:rPr>
        <w:t xml:space="preserve"> </w:t>
      </w:r>
      <w:r w:rsidR="00073F1F">
        <w:rPr>
          <w:rFonts w:ascii="Trebuchet MS" w:hAnsi="Trebuchet MS"/>
          <w:color w:val="auto"/>
        </w:rPr>
        <w:t xml:space="preserve">(3%) </w:t>
      </w:r>
      <w:r w:rsidR="00E97A57">
        <w:rPr>
          <w:rFonts w:ascii="Trebuchet MS" w:hAnsi="Trebuchet MS"/>
          <w:color w:val="auto"/>
        </w:rPr>
        <w:t>of</w:t>
      </w:r>
      <w:r w:rsidR="00C8061F">
        <w:rPr>
          <w:rFonts w:ascii="Trebuchet MS" w:hAnsi="Trebuchet MS"/>
          <w:color w:val="auto"/>
        </w:rPr>
        <w:t xml:space="preserve"> our</w:t>
      </w:r>
      <w:r w:rsidR="00E97A57">
        <w:rPr>
          <w:rFonts w:ascii="Trebuchet MS" w:hAnsi="Trebuchet MS"/>
          <w:color w:val="auto"/>
        </w:rPr>
        <w:t xml:space="preserve"> staff </w:t>
      </w:r>
      <w:r w:rsidR="00D05086">
        <w:rPr>
          <w:rFonts w:ascii="Trebuchet MS" w:hAnsi="Trebuchet MS"/>
          <w:color w:val="auto"/>
        </w:rPr>
        <w:t>are in the</w:t>
      </w:r>
      <w:r w:rsidR="00E97A57">
        <w:rPr>
          <w:rFonts w:ascii="Trebuchet MS" w:hAnsi="Trebuchet MS"/>
          <w:color w:val="auto"/>
        </w:rPr>
        <w:t xml:space="preserve"> under 25 age bracket.</w:t>
      </w:r>
      <w:r w:rsidR="008E79E9">
        <w:rPr>
          <w:rFonts w:ascii="Trebuchet MS" w:hAnsi="Trebuchet MS"/>
          <w:color w:val="auto"/>
        </w:rPr>
        <w:t xml:space="preserve"> This is a continuation of the pattern we saw last year.</w:t>
      </w:r>
      <w:r w:rsidR="00E97A57">
        <w:rPr>
          <w:rFonts w:ascii="Trebuchet MS" w:hAnsi="Trebuchet MS"/>
          <w:color w:val="auto"/>
        </w:rPr>
        <w:t xml:space="preserve"> When we also compare this to our length of service where we have 56% of our staff with over 11 years’ service</w:t>
      </w:r>
      <w:r w:rsidR="00D05086">
        <w:rPr>
          <w:rFonts w:ascii="Trebuchet MS" w:hAnsi="Trebuchet MS"/>
          <w:color w:val="auto"/>
        </w:rPr>
        <w:t xml:space="preserve"> t</w:t>
      </w:r>
      <w:r w:rsidR="00E97A57">
        <w:rPr>
          <w:rFonts w:ascii="Trebuchet MS" w:hAnsi="Trebuchet MS"/>
          <w:color w:val="auto"/>
        </w:rPr>
        <w:t>his suggests that we need to look at how we recruit and attract younger individuals into SLAB</w:t>
      </w:r>
      <w:r w:rsidR="00073F1F">
        <w:rPr>
          <w:rFonts w:ascii="Trebuchet MS" w:hAnsi="Trebuchet MS"/>
          <w:color w:val="auto"/>
        </w:rPr>
        <w:t xml:space="preserve"> and consider our approach to skills sharing and succession planning</w:t>
      </w:r>
      <w:r w:rsidR="00E97A57">
        <w:rPr>
          <w:rFonts w:ascii="Trebuchet MS" w:hAnsi="Trebuchet MS"/>
          <w:color w:val="auto"/>
        </w:rPr>
        <w:t>.</w:t>
      </w:r>
      <w:r w:rsidR="008E79E9" w:rsidRPr="008E79E9">
        <w:rPr>
          <w:rFonts w:ascii="Trebuchet MS" w:hAnsi="Trebuchet MS"/>
          <w:color w:val="auto"/>
        </w:rPr>
        <w:t xml:space="preserve"> </w:t>
      </w:r>
      <w:r w:rsidR="008E79E9">
        <w:rPr>
          <w:rFonts w:ascii="Trebuchet MS" w:hAnsi="Trebuchet MS"/>
          <w:color w:val="auto"/>
        </w:rPr>
        <w:t>We will look to explore this further through workforce planning to ensure that we do have entry level jobs and development opportunities available to support a younger workforce. Client legal Services have started trials into internships, which may be something that can be explored in other areas of SLAB.</w:t>
      </w:r>
      <w:r w:rsidR="00696BC7">
        <w:rPr>
          <w:rFonts w:ascii="Trebuchet MS" w:hAnsi="Trebuchet MS"/>
          <w:color w:val="auto"/>
        </w:rPr>
        <w:t xml:space="preserve"> </w:t>
      </w:r>
    </w:p>
    <w:p w14:paraId="320C7523" w14:textId="48198B07" w:rsidR="00105DF4" w:rsidRPr="00A14B5C" w:rsidRDefault="008B55E9" w:rsidP="008D07CE">
      <w:pPr>
        <w:pStyle w:val="Default"/>
        <w:spacing w:after="120"/>
        <w:ind w:left="709" w:hanging="709"/>
        <w:rPr>
          <w:rFonts w:ascii="Trebuchet MS" w:hAnsi="Trebuchet MS"/>
          <w:color w:val="FF0000"/>
        </w:rPr>
      </w:pPr>
      <w:r>
        <w:rPr>
          <w:rFonts w:ascii="Trebuchet MS" w:hAnsi="Trebuchet MS"/>
          <w:color w:val="auto"/>
        </w:rPr>
        <w:t xml:space="preserve">2.2.2 </w:t>
      </w:r>
      <w:r>
        <w:rPr>
          <w:rFonts w:ascii="Trebuchet MS" w:hAnsi="Trebuchet MS"/>
          <w:color w:val="auto"/>
        </w:rPr>
        <w:tab/>
      </w:r>
      <w:r w:rsidR="00C8061F">
        <w:rPr>
          <w:rFonts w:ascii="Trebuchet MS" w:hAnsi="Trebuchet MS"/>
          <w:color w:val="auto"/>
        </w:rPr>
        <w:t>F</w:t>
      </w:r>
      <w:r w:rsidR="00A331D2">
        <w:rPr>
          <w:rFonts w:ascii="Trebuchet MS" w:hAnsi="Trebuchet MS"/>
          <w:color w:val="auto"/>
        </w:rPr>
        <w:t xml:space="preserve">igure 2 shows that 56% of staff have over 11 </w:t>
      </w:r>
      <w:r w:rsidR="008D07CE">
        <w:rPr>
          <w:rFonts w:ascii="Trebuchet MS" w:hAnsi="Trebuchet MS"/>
          <w:color w:val="auto"/>
        </w:rPr>
        <w:t>years’ service</w:t>
      </w:r>
      <w:r w:rsidR="00A331D2">
        <w:rPr>
          <w:rFonts w:ascii="Trebuchet MS" w:hAnsi="Trebuchet MS"/>
          <w:color w:val="auto"/>
        </w:rPr>
        <w:t>. On further analysis over 34</w:t>
      </w:r>
      <w:r w:rsidR="00C8061F">
        <w:rPr>
          <w:rFonts w:ascii="Trebuchet MS" w:hAnsi="Trebuchet MS"/>
          <w:color w:val="auto"/>
        </w:rPr>
        <w:t>% of</w:t>
      </w:r>
      <w:r w:rsidR="00A331D2">
        <w:rPr>
          <w:rFonts w:ascii="Trebuchet MS" w:hAnsi="Trebuchet MS"/>
          <w:color w:val="auto"/>
        </w:rPr>
        <w:t xml:space="preserve"> our staff have over 21 </w:t>
      </w:r>
      <w:r w:rsidR="008D07CE">
        <w:rPr>
          <w:rFonts w:ascii="Trebuchet MS" w:hAnsi="Trebuchet MS"/>
          <w:color w:val="auto"/>
        </w:rPr>
        <w:t>years’ service</w:t>
      </w:r>
      <w:r w:rsidR="00C8061F">
        <w:rPr>
          <w:rFonts w:ascii="Trebuchet MS" w:hAnsi="Trebuchet MS"/>
          <w:color w:val="auto"/>
        </w:rPr>
        <w:t>.</w:t>
      </w:r>
      <w:r w:rsidR="00073F1F">
        <w:rPr>
          <w:rFonts w:ascii="Trebuchet MS" w:hAnsi="Trebuchet MS"/>
          <w:color w:val="auto"/>
        </w:rPr>
        <w:t xml:space="preserve"> </w:t>
      </w:r>
      <w:r w:rsidR="00E97A57">
        <w:rPr>
          <w:rFonts w:ascii="Trebuchet MS" w:hAnsi="Trebuchet MS"/>
          <w:color w:val="auto"/>
        </w:rPr>
        <w:t xml:space="preserve">This suggests </w:t>
      </w:r>
      <w:r w:rsidR="00AC5246">
        <w:rPr>
          <w:rFonts w:ascii="Trebuchet MS" w:hAnsi="Trebuchet MS"/>
          <w:color w:val="auto"/>
        </w:rPr>
        <w:t>that staff stay with the SLAB</w:t>
      </w:r>
      <w:r w:rsidR="00E97A57">
        <w:rPr>
          <w:rFonts w:ascii="Trebuchet MS" w:hAnsi="Trebuchet MS"/>
          <w:color w:val="auto"/>
        </w:rPr>
        <w:t xml:space="preserve"> for the length of their career.</w:t>
      </w:r>
      <w:r w:rsidR="00A331D2">
        <w:rPr>
          <w:rFonts w:ascii="Trebuchet MS" w:hAnsi="Trebuchet MS"/>
          <w:color w:val="auto"/>
        </w:rPr>
        <w:t xml:space="preserve"> This could be to do with the niche </w:t>
      </w:r>
      <w:r w:rsidR="00CA217E">
        <w:rPr>
          <w:rFonts w:ascii="Trebuchet MS" w:hAnsi="Trebuchet MS"/>
          <w:color w:val="auto"/>
        </w:rPr>
        <w:t>legal aid</w:t>
      </w:r>
      <w:r w:rsidR="00A331D2">
        <w:rPr>
          <w:rFonts w:ascii="Trebuchet MS" w:hAnsi="Trebuchet MS"/>
          <w:color w:val="auto"/>
        </w:rPr>
        <w:t xml:space="preserve"> skills and knowledge that staff develop working for SLAB</w:t>
      </w:r>
      <w:r w:rsidR="00C8061F">
        <w:rPr>
          <w:rFonts w:ascii="Trebuchet MS" w:hAnsi="Trebuchet MS"/>
          <w:color w:val="auto"/>
        </w:rPr>
        <w:t xml:space="preserve"> and</w:t>
      </w:r>
      <w:r w:rsidR="00F5069D">
        <w:rPr>
          <w:rFonts w:ascii="Trebuchet MS" w:hAnsi="Trebuchet MS"/>
          <w:color w:val="auto"/>
        </w:rPr>
        <w:t xml:space="preserve"> </w:t>
      </w:r>
      <w:r w:rsidR="00675137">
        <w:rPr>
          <w:rFonts w:ascii="Trebuchet MS" w:hAnsi="Trebuchet MS"/>
          <w:color w:val="auto"/>
        </w:rPr>
        <w:t>can be</w:t>
      </w:r>
      <w:r w:rsidR="0003007E">
        <w:rPr>
          <w:rFonts w:ascii="Trebuchet MS" w:hAnsi="Trebuchet MS"/>
          <w:color w:val="auto"/>
        </w:rPr>
        <w:t xml:space="preserve"> positive </w:t>
      </w:r>
      <w:r w:rsidR="00C8061F">
        <w:rPr>
          <w:rFonts w:ascii="Trebuchet MS" w:hAnsi="Trebuchet MS"/>
          <w:color w:val="auto"/>
        </w:rPr>
        <w:t>as</w:t>
      </w:r>
      <w:r w:rsidR="00F5069D">
        <w:rPr>
          <w:rFonts w:ascii="Trebuchet MS" w:hAnsi="Trebuchet MS"/>
          <w:color w:val="auto"/>
        </w:rPr>
        <w:t xml:space="preserve"> </w:t>
      </w:r>
      <w:r w:rsidR="0003007E">
        <w:rPr>
          <w:rFonts w:ascii="Trebuchet MS" w:hAnsi="Trebuchet MS"/>
          <w:color w:val="auto"/>
        </w:rPr>
        <w:t xml:space="preserve">there is a lot of knowledge and expertise held within </w:t>
      </w:r>
      <w:r w:rsidR="00AC5246">
        <w:rPr>
          <w:rFonts w:ascii="Trebuchet MS" w:hAnsi="Trebuchet MS"/>
          <w:color w:val="auto"/>
        </w:rPr>
        <w:t>SLAB</w:t>
      </w:r>
      <w:r w:rsidR="0003007E">
        <w:rPr>
          <w:rFonts w:ascii="Trebuchet MS" w:hAnsi="Trebuchet MS"/>
          <w:color w:val="auto"/>
        </w:rPr>
        <w:t xml:space="preserve">. The negative of long tenure is that it can make change more challenging as people use passed experience as a predictor of the future. It also </w:t>
      </w:r>
      <w:r w:rsidR="00613989">
        <w:rPr>
          <w:rFonts w:ascii="Trebuchet MS" w:hAnsi="Trebuchet MS"/>
          <w:color w:val="auto"/>
        </w:rPr>
        <w:t xml:space="preserve">leads to </w:t>
      </w:r>
      <w:r w:rsidR="0003007E">
        <w:rPr>
          <w:rFonts w:ascii="Trebuchet MS" w:hAnsi="Trebuchet MS"/>
          <w:color w:val="auto"/>
        </w:rPr>
        <w:t>certain pockets of expertise</w:t>
      </w:r>
      <w:r w:rsidR="00750FDC">
        <w:rPr>
          <w:rFonts w:ascii="Trebuchet MS" w:hAnsi="Trebuchet MS"/>
          <w:color w:val="auto"/>
        </w:rPr>
        <w:t>,</w:t>
      </w:r>
      <w:r w:rsidR="0003007E">
        <w:rPr>
          <w:rFonts w:ascii="Trebuchet MS" w:hAnsi="Trebuchet MS"/>
          <w:color w:val="auto"/>
        </w:rPr>
        <w:t xml:space="preserve"> that may be difficult to replace because of the knowledge held by an individual</w:t>
      </w:r>
      <w:r w:rsidR="00750FDC">
        <w:rPr>
          <w:rFonts w:ascii="Trebuchet MS" w:hAnsi="Trebuchet MS"/>
          <w:color w:val="auto"/>
        </w:rPr>
        <w:t>(s)</w:t>
      </w:r>
      <w:r w:rsidR="0003007E">
        <w:rPr>
          <w:rFonts w:ascii="Trebuchet MS" w:hAnsi="Trebuchet MS"/>
          <w:color w:val="auto"/>
        </w:rPr>
        <w:t xml:space="preserve">. </w:t>
      </w:r>
      <w:r w:rsidR="00A331D2">
        <w:rPr>
          <w:rFonts w:ascii="Trebuchet MS" w:hAnsi="Trebuchet MS"/>
          <w:color w:val="auto"/>
        </w:rPr>
        <w:t>Therefore,</w:t>
      </w:r>
      <w:r w:rsidR="0003007E">
        <w:rPr>
          <w:rFonts w:ascii="Trebuchet MS" w:hAnsi="Trebuchet MS"/>
          <w:color w:val="auto"/>
        </w:rPr>
        <w:t xml:space="preserve"> succession planning will be important as we embark on workforce planning. </w:t>
      </w:r>
    </w:p>
    <w:p w14:paraId="22F6883F" w14:textId="0F0D46E5" w:rsidR="00027B5C" w:rsidRPr="005E3CA2" w:rsidRDefault="008B55E9" w:rsidP="008D07CE">
      <w:pPr>
        <w:pStyle w:val="Default"/>
        <w:spacing w:after="120"/>
        <w:ind w:left="709" w:hanging="709"/>
        <w:rPr>
          <w:rFonts w:ascii="Trebuchet MS" w:hAnsi="Trebuchet MS"/>
          <w:b/>
          <w:bCs/>
          <w:color w:val="auto"/>
        </w:rPr>
      </w:pPr>
      <w:r>
        <w:rPr>
          <w:rFonts w:ascii="Trebuchet MS" w:hAnsi="Trebuchet MS"/>
          <w:b/>
          <w:bCs/>
          <w:color w:val="auto"/>
        </w:rPr>
        <w:t xml:space="preserve">2.3 </w:t>
      </w:r>
      <w:r>
        <w:rPr>
          <w:rFonts w:ascii="Trebuchet MS" w:hAnsi="Trebuchet MS"/>
          <w:b/>
          <w:bCs/>
          <w:color w:val="auto"/>
        </w:rPr>
        <w:tab/>
      </w:r>
      <w:r w:rsidR="005E3CA2" w:rsidRPr="005E3CA2">
        <w:rPr>
          <w:rFonts w:ascii="Trebuchet MS" w:hAnsi="Trebuchet MS"/>
          <w:b/>
          <w:bCs/>
          <w:color w:val="auto"/>
        </w:rPr>
        <w:t xml:space="preserve">Staff </w:t>
      </w:r>
      <w:r w:rsidR="00FB2275" w:rsidRPr="005E3CA2">
        <w:rPr>
          <w:rFonts w:ascii="Trebuchet MS" w:hAnsi="Trebuchet MS"/>
          <w:b/>
          <w:bCs/>
          <w:color w:val="auto"/>
        </w:rPr>
        <w:t>Turnover</w:t>
      </w:r>
    </w:p>
    <w:p w14:paraId="66D5AC21" w14:textId="6E87D937" w:rsidR="00804684" w:rsidRDefault="008B55E9" w:rsidP="008D07CE">
      <w:pPr>
        <w:pStyle w:val="Default"/>
        <w:spacing w:after="120"/>
        <w:ind w:left="709" w:hanging="709"/>
        <w:rPr>
          <w:rFonts w:ascii="Trebuchet MS" w:hAnsi="Trebuchet MS"/>
          <w:color w:val="auto"/>
        </w:rPr>
      </w:pPr>
      <w:r>
        <w:rPr>
          <w:rFonts w:ascii="Trebuchet MS" w:hAnsi="Trebuchet MS"/>
          <w:color w:val="auto"/>
        </w:rPr>
        <w:t>2.3.1</w:t>
      </w:r>
      <w:r>
        <w:rPr>
          <w:rFonts w:ascii="Trebuchet MS" w:hAnsi="Trebuchet MS"/>
          <w:color w:val="auto"/>
        </w:rPr>
        <w:tab/>
      </w:r>
      <w:r w:rsidR="002E376D" w:rsidRPr="00634616">
        <w:rPr>
          <w:rFonts w:ascii="Trebuchet MS" w:hAnsi="Trebuchet MS"/>
          <w:color w:val="auto"/>
        </w:rPr>
        <w:t xml:space="preserve">Our staff turnover </w:t>
      </w:r>
      <w:r w:rsidR="007147AC">
        <w:rPr>
          <w:rFonts w:ascii="Trebuchet MS" w:hAnsi="Trebuchet MS"/>
          <w:color w:val="auto"/>
        </w:rPr>
        <w:t>has fallen from 10% in 20</w:t>
      </w:r>
      <w:r w:rsidR="008E5B7F">
        <w:rPr>
          <w:rFonts w:ascii="Trebuchet MS" w:hAnsi="Trebuchet MS"/>
          <w:color w:val="auto"/>
        </w:rPr>
        <w:t xml:space="preserve">22-23 to </w:t>
      </w:r>
      <w:r w:rsidR="00503B53">
        <w:rPr>
          <w:rFonts w:ascii="Trebuchet MS" w:hAnsi="Trebuchet MS"/>
          <w:color w:val="auto"/>
        </w:rPr>
        <w:t>6.</w:t>
      </w:r>
      <w:r w:rsidR="009C30B1">
        <w:rPr>
          <w:rFonts w:ascii="Trebuchet MS" w:hAnsi="Trebuchet MS"/>
          <w:color w:val="auto"/>
        </w:rPr>
        <w:t>1</w:t>
      </w:r>
      <w:r w:rsidR="002E376D" w:rsidRPr="00634616">
        <w:rPr>
          <w:rFonts w:ascii="Trebuchet MS" w:hAnsi="Trebuchet MS"/>
          <w:color w:val="auto"/>
        </w:rPr>
        <w:t>%</w:t>
      </w:r>
      <w:r w:rsidR="008E5B7F">
        <w:rPr>
          <w:rFonts w:ascii="Trebuchet MS" w:hAnsi="Trebuchet MS"/>
          <w:color w:val="auto"/>
        </w:rPr>
        <w:t>,</w:t>
      </w:r>
      <w:r w:rsidR="002E376D" w:rsidRPr="00634616">
        <w:rPr>
          <w:rFonts w:ascii="Trebuchet MS" w:hAnsi="Trebuchet MS"/>
          <w:color w:val="auto"/>
        </w:rPr>
        <w:t xml:space="preserve"> made up of </w:t>
      </w:r>
      <w:r w:rsidR="009C30B1">
        <w:rPr>
          <w:rFonts w:ascii="Trebuchet MS" w:hAnsi="Trebuchet MS"/>
          <w:color w:val="auto"/>
        </w:rPr>
        <w:t>4</w:t>
      </w:r>
      <w:r w:rsidR="002E376D" w:rsidRPr="00634616">
        <w:rPr>
          <w:rFonts w:ascii="Trebuchet MS" w:hAnsi="Trebuchet MS"/>
          <w:color w:val="auto"/>
        </w:rPr>
        <w:t>% resignation</w:t>
      </w:r>
      <w:r w:rsidR="008E5B7F">
        <w:rPr>
          <w:rFonts w:ascii="Trebuchet MS" w:hAnsi="Trebuchet MS"/>
          <w:color w:val="auto"/>
        </w:rPr>
        <w:t>,</w:t>
      </w:r>
      <w:r w:rsidR="002E376D" w:rsidRPr="00634616">
        <w:rPr>
          <w:rFonts w:ascii="Trebuchet MS" w:hAnsi="Trebuchet MS"/>
          <w:color w:val="auto"/>
        </w:rPr>
        <w:t xml:space="preserve"> </w:t>
      </w:r>
      <w:r w:rsidR="00503B53">
        <w:rPr>
          <w:rFonts w:ascii="Trebuchet MS" w:hAnsi="Trebuchet MS"/>
          <w:color w:val="auto"/>
        </w:rPr>
        <w:t>1.8</w:t>
      </w:r>
      <w:r w:rsidR="002E376D" w:rsidRPr="00634616">
        <w:rPr>
          <w:rFonts w:ascii="Trebuchet MS" w:hAnsi="Trebuchet MS"/>
          <w:color w:val="auto"/>
        </w:rPr>
        <w:t>% retirement</w:t>
      </w:r>
      <w:r w:rsidR="00503B53">
        <w:rPr>
          <w:rFonts w:ascii="Trebuchet MS" w:hAnsi="Trebuchet MS"/>
          <w:color w:val="auto"/>
        </w:rPr>
        <w:t xml:space="preserve"> </w:t>
      </w:r>
      <w:r w:rsidR="008E5B7F">
        <w:rPr>
          <w:rFonts w:ascii="Trebuchet MS" w:hAnsi="Trebuchet MS"/>
          <w:color w:val="auto"/>
        </w:rPr>
        <w:t xml:space="preserve">and </w:t>
      </w:r>
      <w:r w:rsidR="00503B53">
        <w:rPr>
          <w:rFonts w:ascii="Trebuchet MS" w:hAnsi="Trebuchet MS"/>
          <w:color w:val="auto"/>
        </w:rPr>
        <w:t>0.</w:t>
      </w:r>
      <w:r w:rsidR="009C30B1">
        <w:rPr>
          <w:rFonts w:ascii="Trebuchet MS" w:hAnsi="Trebuchet MS"/>
          <w:color w:val="auto"/>
        </w:rPr>
        <w:t>3</w:t>
      </w:r>
      <w:r w:rsidR="00613989">
        <w:rPr>
          <w:rFonts w:ascii="Trebuchet MS" w:hAnsi="Trebuchet MS"/>
          <w:color w:val="auto"/>
        </w:rPr>
        <w:t>%</w:t>
      </w:r>
      <w:r w:rsidR="00503B53">
        <w:rPr>
          <w:rFonts w:ascii="Trebuchet MS" w:hAnsi="Trebuchet MS"/>
          <w:color w:val="auto"/>
        </w:rPr>
        <w:t xml:space="preserve"> </w:t>
      </w:r>
      <w:r w:rsidR="008D07CE">
        <w:rPr>
          <w:rFonts w:ascii="Trebuchet MS" w:hAnsi="Trebuchet MS"/>
          <w:color w:val="auto"/>
        </w:rPr>
        <w:t>non-voluntary</w:t>
      </w:r>
      <w:r w:rsidR="00750FDC">
        <w:rPr>
          <w:rFonts w:ascii="Trebuchet MS" w:hAnsi="Trebuchet MS"/>
          <w:color w:val="auto"/>
        </w:rPr>
        <w:t xml:space="preserve"> (</w:t>
      </w:r>
      <w:r w:rsidR="00503B53">
        <w:rPr>
          <w:rFonts w:ascii="Trebuchet MS" w:hAnsi="Trebuchet MS"/>
          <w:color w:val="auto"/>
        </w:rPr>
        <w:t>end of fixed term contract or dismissal)</w:t>
      </w:r>
      <w:r w:rsidR="002E376D" w:rsidRPr="00634616">
        <w:rPr>
          <w:rFonts w:ascii="Trebuchet MS" w:hAnsi="Trebuchet MS"/>
          <w:color w:val="auto"/>
        </w:rPr>
        <w:t xml:space="preserve">. </w:t>
      </w:r>
      <w:r w:rsidR="007B5CBF">
        <w:rPr>
          <w:rFonts w:ascii="Trebuchet MS" w:hAnsi="Trebuchet MS"/>
          <w:color w:val="auto"/>
        </w:rPr>
        <w:t>F</w:t>
      </w:r>
      <w:r w:rsidR="002E376D" w:rsidRPr="00634616">
        <w:rPr>
          <w:rFonts w:ascii="Trebuchet MS" w:hAnsi="Trebuchet MS"/>
          <w:color w:val="auto"/>
        </w:rPr>
        <w:t xml:space="preserve">igure </w:t>
      </w:r>
      <w:r w:rsidR="007B5CBF">
        <w:rPr>
          <w:rFonts w:ascii="Trebuchet MS" w:hAnsi="Trebuchet MS"/>
          <w:color w:val="auto"/>
        </w:rPr>
        <w:t xml:space="preserve">4 </w:t>
      </w:r>
      <w:r w:rsidR="002E376D" w:rsidRPr="00634616">
        <w:rPr>
          <w:rFonts w:ascii="Trebuchet MS" w:hAnsi="Trebuchet MS"/>
          <w:color w:val="auto"/>
        </w:rPr>
        <w:t>below shows this turnover by length of service. This suggests that it is those with longer service that we are losing</w:t>
      </w:r>
      <w:r w:rsidR="00613989">
        <w:rPr>
          <w:rFonts w:ascii="Trebuchet MS" w:hAnsi="Trebuchet MS"/>
          <w:color w:val="auto"/>
        </w:rPr>
        <w:t>,</w:t>
      </w:r>
      <w:r w:rsidR="002E376D" w:rsidRPr="00634616">
        <w:rPr>
          <w:rFonts w:ascii="Trebuchet MS" w:hAnsi="Trebuchet MS"/>
          <w:color w:val="auto"/>
        </w:rPr>
        <w:t xml:space="preserve"> this may reflect that the experience they have gained </w:t>
      </w:r>
      <w:r w:rsidR="00804684" w:rsidRPr="00634616">
        <w:rPr>
          <w:rFonts w:ascii="Trebuchet MS" w:hAnsi="Trebuchet MS"/>
          <w:color w:val="auto"/>
        </w:rPr>
        <w:t xml:space="preserve">allows these individuals to move on. </w:t>
      </w:r>
      <w:r w:rsidR="009D5968">
        <w:rPr>
          <w:rFonts w:ascii="Trebuchet MS" w:hAnsi="Trebuchet MS"/>
          <w:color w:val="auto"/>
        </w:rPr>
        <w:t xml:space="preserve">It also </w:t>
      </w:r>
      <w:r w:rsidR="00750FDC">
        <w:rPr>
          <w:rFonts w:ascii="Trebuchet MS" w:hAnsi="Trebuchet MS"/>
          <w:color w:val="auto"/>
        </w:rPr>
        <w:t>suggests</w:t>
      </w:r>
      <w:r w:rsidR="009D5968">
        <w:rPr>
          <w:rFonts w:ascii="Trebuchet MS" w:hAnsi="Trebuchet MS"/>
          <w:color w:val="auto"/>
        </w:rPr>
        <w:t xml:space="preserve"> successful recruitment practice that </w:t>
      </w:r>
      <w:r w:rsidR="008D07CE">
        <w:rPr>
          <w:rFonts w:ascii="Trebuchet MS" w:hAnsi="Trebuchet MS"/>
          <w:color w:val="auto"/>
        </w:rPr>
        <w:t>means we</w:t>
      </w:r>
      <w:r w:rsidR="009D5968">
        <w:rPr>
          <w:rFonts w:ascii="Trebuchet MS" w:hAnsi="Trebuchet MS"/>
          <w:color w:val="auto"/>
        </w:rPr>
        <w:t xml:space="preserve"> are having people join us and stay for </w:t>
      </w:r>
      <w:r w:rsidR="008D07CE">
        <w:rPr>
          <w:rFonts w:ascii="Trebuchet MS" w:hAnsi="Trebuchet MS"/>
          <w:color w:val="auto"/>
        </w:rPr>
        <w:t>several</w:t>
      </w:r>
      <w:r w:rsidR="009D5968">
        <w:rPr>
          <w:rFonts w:ascii="Trebuchet MS" w:hAnsi="Trebuchet MS"/>
          <w:color w:val="auto"/>
        </w:rPr>
        <w:t xml:space="preserve"> years.</w:t>
      </w:r>
    </w:p>
    <w:p w14:paraId="2E3966A0" w14:textId="61E04071" w:rsidR="002E376D" w:rsidRDefault="008B55E9" w:rsidP="008D07CE">
      <w:pPr>
        <w:pStyle w:val="Default"/>
        <w:spacing w:after="120"/>
        <w:ind w:left="709" w:hanging="709"/>
        <w:rPr>
          <w:rFonts w:ascii="Trebuchet MS" w:hAnsi="Trebuchet MS"/>
          <w:color w:val="auto"/>
        </w:rPr>
      </w:pPr>
      <w:r>
        <w:rPr>
          <w:rFonts w:ascii="Trebuchet MS" w:hAnsi="Trebuchet MS"/>
          <w:color w:val="auto"/>
        </w:rPr>
        <w:t xml:space="preserve">2.3.2 </w:t>
      </w:r>
      <w:r>
        <w:rPr>
          <w:rFonts w:ascii="Trebuchet MS" w:hAnsi="Trebuchet MS"/>
          <w:color w:val="auto"/>
        </w:rPr>
        <w:tab/>
      </w:r>
      <w:r w:rsidR="00B01A69">
        <w:rPr>
          <w:rFonts w:ascii="Trebuchet MS" w:hAnsi="Trebuchet MS"/>
          <w:color w:val="auto"/>
        </w:rPr>
        <w:t xml:space="preserve">We </w:t>
      </w:r>
      <w:r w:rsidR="00804684" w:rsidRPr="00634616">
        <w:rPr>
          <w:rFonts w:ascii="Trebuchet MS" w:hAnsi="Trebuchet MS"/>
          <w:color w:val="auto"/>
        </w:rPr>
        <w:t xml:space="preserve">know that we lost </w:t>
      </w:r>
      <w:r w:rsidR="008D07CE" w:rsidRPr="00634616">
        <w:rPr>
          <w:rFonts w:ascii="Trebuchet MS" w:hAnsi="Trebuchet MS"/>
          <w:color w:val="auto"/>
        </w:rPr>
        <w:t>several</w:t>
      </w:r>
      <w:r w:rsidR="00B01A69">
        <w:rPr>
          <w:rFonts w:ascii="Trebuchet MS" w:hAnsi="Trebuchet MS"/>
          <w:color w:val="auto"/>
        </w:rPr>
        <w:t xml:space="preserve"> PDSO</w:t>
      </w:r>
      <w:r w:rsidR="00750FDC">
        <w:rPr>
          <w:rFonts w:ascii="Trebuchet MS" w:hAnsi="Trebuchet MS"/>
          <w:color w:val="auto"/>
        </w:rPr>
        <w:t xml:space="preserve"> solicitors</w:t>
      </w:r>
      <w:r w:rsidR="00B01A69">
        <w:rPr>
          <w:rFonts w:ascii="Trebuchet MS" w:hAnsi="Trebuchet MS"/>
          <w:color w:val="auto"/>
        </w:rPr>
        <w:t xml:space="preserve"> due to a several </w:t>
      </w:r>
      <w:r w:rsidR="00804684" w:rsidRPr="00634616">
        <w:rPr>
          <w:rFonts w:ascii="Trebuchet MS" w:hAnsi="Trebuchet MS"/>
          <w:color w:val="auto"/>
        </w:rPr>
        <w:t>factors within the profession</w:t>
      </w:r>
      <w:r w:rsidR="009D5968">
        <w:rPr>
          <w:rFonts w:ascii="Trebuchet MS" w:hAnsi="Trebuchet MS"/>
          <w:color w:val="auto"/>
        </w:rPr>
        <w:t xml:space="preserve"> in 2022</w:t>
      </w:r>
      <w:r w:rsidR="00804684" w:rsidRPr="00634616">
        <w:rPr>
          <w:rFonts w:ascii="Trebuchet MS" w:hAnsi="Trebuchet MS"/>
          <w:color w:val="auto"/>
        </w:rPr>
        <w:t xml:space="preserve">. The decision was made to apply a recruitment and retention allowance to these roles that has been successful in filling the vacancies created and </w:t>
      </w:r>
      <w:r w:rsidR="00804684" w:rsidRPr="00634616">
        <w:rPr>
          <w:rFonts w:ascii="Trebuchet MS" w:hAnsi="Trebuchet MS"/>
          <w:color w:val="auto"/>
        </w:rPr>
        <w:lastRenderedPageBreak/>
        <w:t>keeping the current staff.</w:t>
      </w:r>
      <w:r w:rsidR="009D5968">
        <w:rPr>
          <w:rFonts w:ascii="Trebuchet MS" w:hAnsi="Trebuchet MS"/>
          <w:color w:val="auto"/>
        </w:rPr>
        <w:t xml:space="preserve"> However, we </w:t>
      </w:r>
      <w:r w:rsidR="00750FDC">
        <w:rPr>
          <w:rFonts w:ascii="Trebuchet MS" w:hAnsi="Trebuchet MS"/>
          <w:color w:val="auto"/>
        </w:rPr>
        <w:t>have</w:t>
      </w:r>
      <w:r w:rsidR="009D5968">
        <w:rPr>
          <w:rFonts w:ascii="Trebuchet MS" w:hAnsi="Trebuchet MS"/>
          <w:color w:val="auto"/>
        </w:rPr>
        <w:t xml:space="preserve"> experience</w:t>
      </w:r>
      <w:r w:rsidR="00750FDC">
        <w:rPr>
          <w:rFonts w:ascii="Trebuchet MS" w:hAnsi="Trebuchet MS"/>
          <w:color w:val="auto"/>
        </w:rPr>
        <w:t>d</w:t>
      </w:r>
      <w:r w:rsidR="009D5968">
        <w:rPr>
          <w:rFonts w:ascii="Trebuchet MS" w:hAnsi="Trebuchet MS"/>
          <w:color w:val="auto"/>
        </w:rPr>
        <w:t xml:space="preserve"> an increased turnover within CLAO. The work done with the Pay and Grading project</w:t>
      </w:r>
      <w:r w:rsidR="00750FDC">
        <w:rPr>
          <w:rFonts w:ascii="Trebuchet MS" w:hAnsi="Trebuchet MS"/>
          <w:color w:val="auto"/>
        </w:rPr>
        <w:t xml:space="preserve"> we hope</w:t>
      </w:r>
      <w:r w:rsidR="009D5968">
        <w:rPr>
          <w:rFonts w:ascii="Trebuchet MS" w:hAnsi="Trebuchet MS"/>
          <w:color w:val="auto"/>
        </w:rPr>
        <w:t xml:space="preserve"> will </w:t>
      </w:r>
      <w:r w:rsidR="00750FDC">
        <w:rPr>
          <w:rFonts w:ascii="Trebuchet MS" w:hAnsi="Trebuchet MS"/>
          <w:color w:val="auto"/>
        </w:rPr>
        <w:t>help</w:t>
      </w:r>
      <w:r w:rsidR="009D5968">
        <w:rPr>
          <w:rFonts w:ascii="Trebuchet MS" w:hAnsi="Trebuchet MS"/>
          <w:color w:val="auto"/>
        </w:rPr>
        <w:t xml:space="preserve"> to resolve </w:t>
      </w:r>
      <w:r w:rsidR="00613989">
        <w:rPr>
          <w:rFonts w:ascii="Trebuchet MS" w:hAnsi="Trebuchet MS"/>
          <w:color w:val="auto"/>
        </w:rPr>
        <w:t>the challenges in these areas</w:t>
      </w:r>
      <w:r w:rsidR="009D5968">
        <w:rPr>
          <w:rFonts w:ascii="Trebuchet MS" w:hAnsi="Trebuchet MS"/>
          <w:color w:val="auto"/>
        </w:rPr>
        <w:t>.</w:t>
      </w:r>
    </w:p>
    <w:p w14:paraId="6B22CC88" w14:textId="4EE5510E" w:rsidR="00B01A69" w:rsidRPr="00634616" w:rsidRDefault="008B55E9" w:rsidP="008D07CE">
      <w:pPr>
        <w:pStyle w:val="Default"/>
        <w:spacing w:after="120"/>
        <w:ind w:left="709" w:hanging="709"/>
        <w:rPr>
          <w:rFonts w:ascii="Trebuchet MS" w:hAnsi="Trebuchet MS"/>
          <w:color w:val="auto"/>
        </w:rPr>
      </w:pPr>
      <w:r>
        <w:rPr>
          <w:rFonts w:ascii="Trebuchet MS" w:hAnsi="Trebuchet MS"/>
          <w:color w:val="auto"/>
        </w:rPr>
        <w:t xml:space="preserve">2.3.3 </w:t>
      </w:r>
      <w:r>
        <w:rPr>
          <w:rFonts w:ascii="Trebuchet MS" w:hAnsi="Trebuchet MS"/>
          <w:color w:val="auto"/>
        </w:rPr>
        <w:tab/>
      </w:r>
      <w:r w:rsidR="00B01A69" w:rsidRPr="00634616">
        <w:rPr>
          <w:rFonts w:ascii="Trebuchet MS" w:hAnsi="Trebuchet MS"/>
          <w:color w:val="auto"/>
        </w:rPr>
        <w:t xml:space="preserve">The </w:t>
      </w:r>
      <w:r w:rsidR="009D5968">
        <w:rPr>
          <w:rFonts w:ascii="Trebuchet MS" w:hAnsi="Trebuchet MS"/>
          <w:color w:val="auto"/>
        </w:rPr>
        <w:t>6</w:t>
      </w:r>
      <w:r w:rsidR="00B01A69" w:rsidRPr="00634616">
        <w:rPr>
          <w:rFonts w:ascii="Trebuchet MS" w:hAnsi="Trebuchet MS"/>
          <w:color w:val="auto"/>
        </w:rPr>
        <w:t>% turnover figure is no</w:t>
      </w:r>
      <w:r w:rsidR="00AC5246">
        <w:rPr>
          <w:rFonts w:ascii="Trebuchet MS" w:hAnsi="Trebuchet MS"/>
          <w:color w:val="auto"/>
        </w:rPr>
        <w:t xml:space="preserve">t a concern as a healthy organization </w:t>
      </w:r>
      <w:r w:rsidR="00B01A69" w:rsidRPr="00634616">
        <w:rPr>
          <w:rFonts w:ascii="Trebuchet MS" w:hAnsi="Trebuchet MS"/>
          <w:color w:val="auto"/>
        </w:rPr>
        <w:t>should always have a level of turnover.</w:t>
      </w:r>
      <w:r w:rsidR="00613989">
        <w:rPr>
          <w:rFonts w:ascii="Trebuchet MS" w:hAnsi="Trebuchet MS"/>
          <w:color w:val="auto"/>
        </w:rPr>
        <w:t xml:space="preserve"> The UK national figure for staff turnover in 2023 is predicted to be as high as 35% (HR review) the rate varies from sector to sector.</w:t>
      </w:r>
      <w:r w:rsidR="00B01A69">
        <w:rPr>
          <w:rFonts w:ascii="Trebuchet MS" w:hAnsi="Trebuchet MS"/>
          <w:color w:val="auto"/>
        </w:rPr>
        <w:t xml:space="preserve"> The low </w:t>
      </w:r>
      <w:r w:rsidR="007147AC">
        <w:rPr>
          <w:rFonts w:ascii="Trebuchet MS" w:hAnsi="Trebuchet MS"/>
          <w:color w:val="auto"/>
        </w:rPr>
        <w:t xml:space="preserve">– and reducing - </w:t>
      </w:r>
      <w:r w:rsidR="00B01A69">
        <w:rPr>
          <w:rFonts w:ascii="Trebuchet MS" w:hAnsi="Trebuchet MS"/>
          <w:color w:val="auto"/>
        </w:rPr>
        <w:t>turnover also s</w:t>
      </w:r>
      <w:r w:rsidR="00AC5246">
        <w:rPr>
          <w:rFonts w:ascii="Trebuchet MS" w:hAnsi="Trebuchet MS"/>
          <w:color w:val="auto"/>
        </w:rPr>
        <w:t>uggests that SLAB</w:t>
      </w:r>
      <w:r w:rsidR="00B01A69">
        <w:rPr>
          <w:rFonts w:ascii="Trebuchet MS" w:hAnsi="Trebuchet MS"/>
          <w:color w:val="auto"/>
        </w:rPr>
        <w:t xml:space="preserve"> has a positive culture where people wish to spend their career. </w:t>
      </w:r>
    </w:p>
    <w:p w14:paraId="6CAA0613" w14:textId="5A817FE3" w:rsidR="002E376D" w:rsidRDefault="007B5CBF" w:rsidP="008D07CE">
      <w:pPr>
        <w:pStyle w:val="Default"/>
        <w:spacing w:after="120"/>
        <w:ind w:firstLine="709"/>
        <w:rPr>
          <w:rFonts w:ascii="Trebuchet MS" w:hAnsi="Trebuchet MS"/>
          <w:color w:val="auto"/>
        </w:rPr>
      </w:pPr>
      <w:r>
        <w:rPr>
          <w:rFonts w:ascii="Trebuchet MS" w:hAnsi="Trebuchet MS"/>
          <w:color w:val="auto"/>
        </w:rPr>
        <w:t>Figure 4</w:t>
      </w:r>
    </w:p>
    <w:p w14:paraId="39E00D44" w14:textId="6B020768" w:rsidR="00D80D93" w:rsidRDefault="00D80D93" w:rsidP="00D80D93">
      <w:pPr>
        <w:pStyle w:val="Default"/>
        <w:spacing w:after="120"/>
        <w:ind w:left="709"/>
        <w:jc w:val="both"/>
        <w:rPr>
          <w:rFonts w:ascii="Trebuchet MS" w:hAnsi="Trebuchet MS"/>
          <w:color w:val="auto"/>
        </w:rPr>
      </w:pPr>
      <w:r>
        <w:rPr>
          <w:rFonts w:ascii="Trebuchet MS" w:hAnsi="Trebuchet MS"/>
          <w:noProof/>
          <w:color w:val="auto"/>
          <w:lang w:val="en-GB" w:eastAsia="en-GB"/>
        </w:rPr>
        <w:drawing>
          <wp:inline distT="0" distB="0" distL="0" distR="0" wp14:anchorId="7B5CB61C" wp14:editId="24663FFE">
            <wp:extent cx="5974715" cy="2524125"/>
            <wp:effectExtent l="0" t="0" r="6985" b="9525"/>
            <wp:docPr id="2" name="Picture 2" descr="Length of service. The turnover of the organisation broken down by voluntary roles, non-voluntary roles and ret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ngth of service. The turnover of the organisation broken down by voluntary roles, non-voluntary roles and retir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4715" cy="2524125"/>
                    </a:xfrm>
                    <a:prstGeom prst="rect">
                      <a:avLst/>
                    </a:prstGeom>
                    <a:noFill/>
                  </pic:spPr>
                </pic:pic>
              </a:graphicData>
            </a:graphic>
          </wp:inline>
        </w:drawing>
      </w:r>
    </w:p>
    <w:p w14:paraId="6DC918E0" w14:textId="12F62BCD" w:rsidR="00EF5003" w:rsidRPr="00C8061F" w:rsidRDefault="008B55E9" w:rsidP="00D303E2">
      <w:pPr>
        <w:pStyle w:val="Default"/>
        <w:spacing w:after="120"/>
        <w:jc w:val="both"/>
        <w:rPr>
          <w:rFonts w:ascii="Trebuchet MS" w:hAnsi="Trebuchet MS"/>
          <w:color w:val="auto"/>
        </w:rPr>
      </w:pPr>
      <w:r>
        <w:rPr>
          <w:rFonts w:ascii="Trebuchet MS" w:hAnsi="Trebuchet MS"/>
          <w:b/>
          <w:bCs/>
          <w:color w:val="auto"/>
        </w:rPr>
        <w:t>2.</w:t>
      </w:r>
      <w:r w:rsidR="007C515E">
        <w:rPr>
          <w:rFonts w:ascii="Trebuchet MS" w:hAnsi="Trebuchet MS"/>
          <w:b/>
          <w:bCs/>
          <w:color w:val="auto"/>
        </w:rPr>
        <w:t>4</w:t>
      </w:r>
      <w:r>
        <w:rPr>
          <w:rFonts w:ascii="Trebuchet MS" w:hAnsi="Trebuchet MS"/>
          <w:b/>
          <w:bCs/>
          <w:color w:val="auto"/>
        </w:rPr>
        <w:t xml:space="preserve"> </w:t>
      </w:r>
      <w:r>
        <w:rPr>
          <w:rFonts w:ascii="Trebuchet MS" w:hAnsi="Trebuchet MS"/>
          <w:b/>
          <w:bCs/>
          <w:color w:val="auto"/>
        </w:rPr>
        <w:tab/>
      </w:r>
      <w:r w:rsidR="0001793B" w:rsidRPr="005E3CA2">
        <w:rPr>
          <w:rFonts w:ascii="Trebuchet MS" w:hAnsi="Trebuchet MS"/>
          <w:b/>
          <w:bCs/>
          <w:color w:val="auto"/>
        </w:rPr>
        <w:t>Staff</w:t>
      </w:r>
      <w:r w:rsidR="00F5069D" w:rsidRPr="005E3CA2">
        <w:rPr>
          <w:rFonts w:ascii="Trebuchet MS" w:hAnsi="Trebuchet MS"/>
          <w:b/>
          <w:bCs/>
          <w:color w:val="auto"/>
        </w:rPr>
        <w:t xml:space="preserve"> </w:t>
      </w:r>
      <w:r w:rsidR="0001793B" w:rsidRPr="005E3CA2">
        <w:rPr>
          <w:rFonts w:ascii="Trebuchet MS" w:hAnsi="Trebuchet MS"/>
          <w:b/>
          <w:bCs/>
          <w:color w:val="auto"/>
        </w:rPr>
        <w:t>Sickness</w:t>
      </w:r>
      <w:r>
        <w:rPr>
          <w:rFonts w:ascii="Trebuchet MS" w:hAnsi="Trebuchet MS"/>
          <w:color w:val="auto"/>
        </w:rPr>
        <w:t xml:space="preserve"> </w:t>
      </w:r>
    </w:p>
    <w:p w14:paraId="15418B2D" w14:textId="08FB10B9" w:rsidR="0001793B" w:rsidRDefault="008B55E9" w:rsidP="008D07CE">
      <w:pPr>
        <w:pStyle w:val="Default"/>
        <w:spacing w:after="120"/>
        <w:ind w:left="851" w:hanging="851"/>
        <w:rPr>
          <w:rFonts w:ascii="Trebuchet MS" w:hAnsi="Trebuchet MS"/>
          <w:color w:val="auto"/>
        </w:rPr>
      </w:pPr>
      <w:r>
        <w:rPr>
          <w:rFonts w:ascii="Trebuchet MS" w:hAnsi="Trebuchet MS"/>
          <w:color w:val="auto"/>
        </w:rPr>
        <w:t>2.</w:t>
      </w:r>
      <w:r w:rsidR="007C515E">
        <w:rPr>
          <w:rFonts w:ascii="Trebuchet MS" w:hAnsi="Trebuchet MS"/>
          <w:color w:val="auto"/>
        </w:rPr>
        <w:t>4</w:t>
      </w:r>
      <w:r>
        <w:rPr>
          <w:rFonts w:ascii="Trebuchet MS" w:hAnsi="Trebuchet MS"/>
          <w:color w:val="auto"/>
        </w:rPr>
        <w:t>.</w:t>
      </w:r>
      <w:r w:rsidR="00CC1458">
        <w:rPr>
          <w:rFonts w:ascii="Trebuchet MS" w:hAnsi="Trebuchet MS"/>
          <w:color w:val="auto"/>
        </w:rPr>
        <w:t xml:space="preserve">1 </w:t>
      </w:r>
      <w:r>
        <w:rPr>
          <w:rFonts w:ascii="Trebuchet MS" w:hAnsi="Trebuchet MS"/>
          <w:color w:val="auto"/>
        </w:rPr>
        <w:tab/>
      </w:r>
      <w:r w:rsidR="00AC5246">
        <w:rPr>
          <w:rFonts w:ascii="Trebuchet MS" w:hAnsi="Trebuchet MS"/>
          <w:color w:val="auto"/>
        </w:rPr>
        <w:t>The absence rate for SLAB</w:t>
      </w:r>
      <w:r w:rsidR="0001793B" w:rsidRPr="00634616">
        <w:rPr>
          <w:rFonts w:ascii="Trebuchet MS" w:hAnsi="Trebuchet MS"/>
          <w:color w:val="auto"/>
        </w:rPr>
        <w:t xml:space="preserve"> is 4.</w:t>
      </w:r>
      <w:r w:rsidR="00DA2B8E">
        <w:rPr>
          <w:rFonts w:ascii="Trebuchet MS" w:hAnsi="Trebuchet MS"/>
          <w:color w:val="auto"/>
        </w:rPr>
        <w:t>8</w:t>
      </w:r>
      <w:r w:rsidR="0001793B" w:rsidRPr="00634616">
        <w:rPr>
          <w:rFonts w:ascii="Trebuchet MS" w:hAnsi="Trebuchet MS"/>
          <w:color w:val="auto"/>
        </w:rPr>
        <w:t>% which equates to 1</w:t>
      </w:r>
      <w:r w:rsidR="00DA2B8E">
        <w:rPr>
          <w:rFonts w:ascii="Trebuchet MS" w:hAnsi="Trebuchet MS"/>
          <w:color w:val="auto"/>
        </w:rPr>
        <w:t>1</w:t>
      </w:r>
      <w:r w:rsidR="007E576A">
        <w:rPr>
          <w:rFonts w:ascii="Trebuchet MS" w:hAnsi="Trebuchet MS"/>
          <w:color w:val="auto"/>
        </w:rPr>
        <w:t>.</w:t>
      </w:r>
      <w:r w:rsidR="00DA2B8E">
        <w:rPr>
          <w:rFonts w:ascii="Trebuchet MS" w:hAnsi="Trebuchet MS"/>
          <w:color w:val="auto"/>
        </w:rPr>
        <w:t>6</w:t>
      </w:r>
      <w:r w:rsidR="0001793B" w:rsidRPr="00634616">
        <w:rPr>
          <w:rFonts w:ascii="Trebuchet MS" w:hAnsi="Trebuchet MS"/>
          <w:color w:val="auto"/>
        </w:rPr>
        <w:t xml:space="preserve"> </w:t>
      </w:r>
      <w:r w:rsidR="00613989">
        <w:rPr>
          <w:rFonts w:ascii="Trebuchet MS" w:hAnsi="Trebuchet MS"/>
          <w:color w:val="auto"/>
        </w:rPr>
        <w:t>d</w:t>
      </w:r>
      <w:r w:rsidR="0001793B" w:rsidRPr="00634616">
        <w:rPr>
          <w:rFonts w:ascii="Trebuchet MS" w:hAnsi="Trebuchet MS"/>
          <w:color w:val="auto"/>
        </w:rPr>
        <w:t xml:space="preserve">ays lost </w:t>
      </w:r>
      <w:r w:rsidR="00750FDC">
        <w:rPr>
          <w:rFonts w:ascii="Trebuchet MS" w:hAnsi="Trebuchet MS"/>
          <w:color w:val="auto"/>
        </w:rPr>
        <w:t>per</w:t>
      </w:r>
      <w:r w:rsidR="0001793B" w:rsidRPr="00634616">
        <w:rPr>
          <w:rFonts w:ascii="Trebuchet MS" w:hAnsi="Trebuchet MS"/>
          <w:color w:val="auto"/>
        </w:rPr>
        <w:t xml:space="preserve"> Whole time Equivalent (WTE). This is an increase in days from </w:t>
      </w:r>
      <w:r w:rsidR="00613989">
        <w:rPr>
          <w:rFonts w:ascii="Trebuchet MS" w:hAnsi="Trebuchet MS"/>
          <w:color w:val="auto"/>
        </w:rPr>
        <w:t>2022-23</w:t>
      </w:r>
      <w:r w:rsidR="0001793B" w:rsidRPr="00634616">
        <w:rPr>
          <w:rFonts w:ascii="Trebuchet MS" w:hAnsi="Trebuchet MS"/>
          <w:color w:val="auto"/>
        </w:rPr>
        <w:t xml:space="preserve"> where we had </w:t>
      </w:r>
      <w:r w:rsidR="00DA2B8E">
        <w:rPr>
          <w:rFonts w:ascii="Trebuchet MS" w:hAnsi="Trebuchet MS"/>
          <w:color w:val="auto"/>
        </w:rPr>
        <w:t>4.3</w:t>
      </w:r>
      <w:r w:rsidR="0011553F">
        <w:rPr>
          <w:rFonts w:ascii="Trebuchet MS" w:hAnsi="Trebuchet MS"/>
          <w:color w:val="auto"/>
        </w:rPr>
        <w:t xml:space="preserve">% </w:t>
      </w:r>
      <w:r w:rsidR="00DA2B8E">
        <w:rPr>
          <w:rFonts w:ascii="Trebuchet MS" w:hAnsi="Trebuchet MS"/>
          <w:color w:val="auto"/>
        </w:rPr>
        <w:t>(10.6</w:t>
      </w:r>
      <w:r w:rsidR="00613989">
        <w:rPr>
          <w:rFonts w:ascii="Trebuchet MS" w:hAnsi="Trebuchet MS"/>
          <w:color w:val="auto"/>
        </w:rPr>
        <w:t xml:space="preserve"> </w:t>
      </w:r>
      <w:r w:rsidR="0001793B" w:rsidRPr="00634616">
        <w:rPr>
          <w:rFonts w:ascii="Trebuchet MS" w:hAnsi="Trebuchet MS"/>
          <w:color w:val="auto"/>
        </w:rPr>
        <w:t>days</w:t>
      </w:r>
      <w:r w:rsidR="0011553F">
        <w:rPr>
          <w:rFonts w:ascii="Trebuchet MS" w:hAnsi="Trebuchet MS"/>
          <w:color w:val="auto"/>
        </w:rPr>
        <w:t>)</w:t>
      </w:r>
      <w:r w:rsidR="0001793B" w:rsidRPr="00634616">
        <w:rPr>
          <w:rFonts w:ascii="Trebuchet MS" w:hAnsi="Trebuchet MS"/>
          <w:color w:val="auto"/>
        </w:rPr>
        <w:t xml:space="preserve"> lost per WTE.</w:t>
      </w:r>
    </w:p>
    <w:p w14:paraId="1D1D6011" w14:textId="4384D8E4" w:rsidR="0017353C" w:rsidRDefault="0017353C" w:rsidP="008D07CE">
      <w:pPr>
        <w:pStyle w:val="Default"/>
        <w:spacing w:after="120"/>
        <w:ind w:left="851"/>
        <w:rPr>
          <w:rFonts w:ascii="Trebuchet MS" w:hAnsi="Trebuchet MS"/>
          <w:color w:val="auto"/>
        </w:rPr>
      </w:pPr>
      <w:r>
        <w:rPr>
          <w:rFonts w:ascii="Trebuchet MS" w:hAnsi="Trebuchet MS"/>
          <w:color w:val="auto"/>
        </w:rPr>
        <w:t xml:space="preserve">Figure </w:t>
      </w:r>
      <w:r w:rsidR="0047363E">
        <w:rPr>
          <w:rFonts w:ascii="Trebuchet MS" w:hAnsi="Trebuchet MS"/>
          <w:color w:val="auto"/>
        </w:rPr>
        <w:t>5</w:t>
      </w:r>
    </w:p>
    <w:p w14:paraId="0AFB3D54" w14:textId="3514183C" w:rsidR="0017353C" w:rsidRDefault="00DE7DEB" w:rsidP="008D07CE">
      <w:pPr>
        <w:pStyle w:val="Default"/>
        <w:spacing w:after="120"/>
        <w:ind w:left="851"/>
        <w:jc w:val="both"/>
        <w:rPr>
          <w:rFonts w:ascii="Trebuchet MS" w:hAnsi="Trebuchet MS"/>
          <w:color w:val="auto"/>
        </w:rPr>
      </w:pPr>
      <w:r>
        <w:rPr>
          <w:noProof/>
          <w:lang w:val="en-GB" w:eastAsia="en-GB"/>
        </w:rPr>
        <w:drawing>
          <wp:inline distT="0" distB="0" distL="0" distR="0" wp14:anchorId="03F64AC0" wp14:editId="62481F9F">
            <wp:extent cx="6136522" cy="2505350"/>
            <wp:effectExtent l="0" t="0" r="17145" b="9525"/>
            <wp:docPr id="1690893031" name="Chart 1" descr="Percentage absence of staff. 1.2% for 5 days or less. 0.7% for 6 to 20 days. 0.8% for 21 to 40 days. 2% for 41 days and over. 0.2% for phased returns. ">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9CF487" w14:textId="2B841B21" w:rsidR="00613989" w:rsidRPr="008D07CE" w:rsidRDefault="008B55E9" w:rsidP="008D07CE">
      <w:pPr>
        <w:ind w:left="709" w:hanging="709"/>
        <w:rPr>
          <w:sz w:val="24"/>
          <w:szCs w:val="24"/>
        </w:rPr>
      </w:pPr>
      <w:r>
        <w:rPr>
          <w:sz w:val="24"/>
          <w:szCs w:val="24"/>
        </w:rPr>
        <w:t>2.</w:t>
      </w:r>
      <w:r w:rsidR="007C515E">
        <w:rPr>
          <w:sz w:val="24"/>
          <w:szCs w:val="24"/>
        </w:rPr>
        <w:t>4</w:t>
      </w:r>
      <w:r>
        <w:rPr>
          <w:sz w:val="24"/>
          <w:szCs w:val="24"/>
        </w:rPr>
        <w:t>.</w:t>
      </w:r>
      <w:r w:rsidR="00CC1458">
        <w:rPr>
          <w:sz w:val="24"/>
          <w:szCs w:val="24"/>
        </w:rPr>
        <w:t>2</w:t>
      </w:r>
      <w:r>
        <w:tab/>
      </w:r>
      <w:r w:rsidR="0040621F" w:rsidRPr="003A249C">
        <w:rPr>
          <w:sz w:val="24"/>
          <w:szCs w:val="24"/>
        </w:rPr>
        <w:t>This year the percentage of short term absence under 21 days has decreased however there has been a r</w:t>
      </w:r>
      <w:r w:rsidR="00675137" w:rsidRPr="003A249C">
        <w:rPr>
          <w:sz w:val="24"/>
          <w:szCs w:val="24"/>
        </w:rPr>
        <w:t>i</w:t>
      </w:r>
      <w:r w:rsidR="0040621F" w:rsidRPr="003A249C">
        <w:rPr>
          <w:sz w:val="24"/>
          <w:szCs w:val="24"/>
        </w:rPr>
        <w:t>se in the over 41 days and absence in general has increased.</w:t>
      </w:r>
      <w:r w:rsidR="003A249C">
        <w:rPr>
          <w:sz w:val="24"/>
          <w:szCs w:val="24"/>
        </w:rPr>
        <w:t xml:space="preserve"> </w:t>
      </w:r>
      <w:r w:rsidR="00A5196C">
        <w:rPr>
          <w:sz w:val="24"/>
          <w:szCs w:val="24"/>
        </w:rPr>
        <w:t>These</w:t>
      </w:r>
      <w:r w:rsidR="009B3BB4">
        <w:rPr>
          <w:sz w:val="24"/>
          <w:szCs w:val="24"/>
        </w:rPr>
        <w:t xml:space="preserve"> longer absences</w:t>
      </w:r>
      <w:r w:rsidR="00A5196C">
        <w:rPr>
          <w:sz w:val="24"/>
          <w:szCs w:val="24"/>
        </w:rPr>
        <w:t xml:space="preserve"> now make up </w:t>
      </w:r>
      <w:r w:rsidR="008E5092">
        <w:rPr>
          <w:sz w:val="24"/>
          <w:szCs w:val="24"/>
        </w:rPr>
        <w:t xml:space="preserve">over 40% of our total absence, compared to </w:t>
      </w:r>
      <w:r w:rsidR="002F0B09">
        <w:rPr>
          <w:sz w:val="24"/>
          <w:szCs w:val="24"/>
        </w:rPr>
        <w:t xml:space="preserve">26% last </w:t>
      </w:r>
      <w:r w:rsidR="002F0B09">
        <w:rPr>
          <w:sz w:val="24"/>
          <w:szCs w:val="24"/>
        </w:rPr>
        <w:lastRenderedPageBreak/>
        <w:t>year.</w:t>
      </w:r>
      <w:r w:rsidR="00A5196C">
        <w:rPr>
          <w:sz w:val="24"/>
          <w:szCs w:val="24"/>
        </w:rPr>
        <w:t xml:space="preserve"> </w:t>
      </w:r>
      <w:r w:rsidR="00AD47BD" w:rsidRPr="003A249C">
        <w:rPr>
          <w:sz w:val="24"/>
          <w:szCs w:val="24"/>
        </w:rPr>
        <w:t xml:space="preserve">Analysis of actual cases suggests we </w:t>
      </w:r>
      <w:r w:rsidR="00E16FD5">
        <w:rPr>
          <w:sz w:val="24"/>
          <w:szCs w:val="24"/>
        </w:rPr>
        <w:t xml:space="preserve">have </w:t>
      </w:r>
      <w:r w:rsidR="008D07CE">
        <w:rPr>
          <w:sz w:val="24"/>
          <w:szCs w:val="24"/>
        </w:rPr>
        <w:t>several</w:t>
      </w:r>
      <w:r w:rsidR="00E16FD5">
        <w:rPr>
          <w:sz w:val="24"/>
          <w:szCs w:val="24"/>
        </w:rPr>
        <w:t xml:space="preserve"> complex cases that would be covered by the Equality Act 2010 in terms of individuals who are living with a disability.</w:t>
      </w:r>
      <w:r w:rsidR="00E16FD5" w:rsidRPr="003A249C">
        <w:rPr>
          <w:sz w:val="24"/>
          <w:szCs w:val="24"/>
        </w:rPr>
        <w:t xml:space="preserve"> </w:t>
      </w:r>
      <w:r w:rsidR="006B3F47">
        <w:rPr>
          <w:sz w:val="24"/>
          <w:szCs w:val="24"/>
        </w:rPr>
        <w:t xml:space="preserve">In terms of cases being managed as long-term absence we </w:t>
      </w:r>
      <w:r w:rsidR="00352826">
        <w:rPr>
          <w:sz w:val="24"/>
          <w:szCs w:val="24"/>
        </w:rPr>
        <w:t xml:space="preserve">currently </w:t>
      </w:r>
      <w:r w:rsidR="006B3F47">
        <w:rPr>
          <w:sz w:val="24"/>
          <w:szCs w:val="24"/>
        </w:rPr>
        <w:t>have 28 individuals being managed through our new managing sickness absence polic</w:t>
      </w:r>
      <w:r w:rsidR="00A17A78">
        <w:rPr>
          <w:sz w:val="24"/>
          <w:szCs w:val="24"/>
        </w:rPr>
        <w:t>y.</w:t>
      </w:r>
    </w:p>
    <w:p w14:paraId="434039D0" w14:textId="6B177813" w:rsidR="005E3CA2" w:rsidRDefault="008B55E9" w:rsidP="008D07CE">
      <w:pPr>
        <w:pStyle w:val="Default"/>
        <w:spacing w:after="120"/>
        <w:ind w:left="709" w:hanging="709"/>
        <w:rPr>
          <w:rFonts w:ascii="Trebuchet MS" w:hAnsi="Trebuchet MS"/>
          <w:color w:val="auto"/>
        </w:rPr>
      </w:pPr>
      <w:r>
        <w:rPr>
          <w:rFonts w:ascii="Trebuchet MS" w:hAnsi="Trebuchet MS"/>
          <w:color w:val="auto"/>
        </w:rPr>
        <w:t>2.</w:t>
      </w:r>
      <w:r w:rsidR="007C515E">
        <w:rPr>
          <w:rFonts w:ascii="Trebuchet MS" w:hAnsi="Trebuchet MS"/>
          <w:color w:val="auto"/>
        </w:rPr>
        <w:t>4</w:t>
      </w:r>
      <w:r>
        <w:rPr>
          <w:rFonts w:ascii="Trebuchet MS" w:hAnsi="Trebuchet MS"/>
          <w:color w:val="auto"/>
        </w:rPr>
        <w:t>.</w:t>
      </w:r>
      <w:r w:rsidR="00782541">
        <w:rPr>
          <w:rFonts w:ascii="Trebuchet MS" w:hAnsi="Trebuchet MS"/>
          <w:color w:val="auto"/>
        </w:rPr>
        <w:t>3</w:t>
      </w:r>
      <w:r>
        <w:rPr>
          <w:rFonts w:ascii="Trebuchet MS" w:hAnsi="Trebuchet MS"/>
          <w:color w:val="auto"/>
        </w:rPr>
        <w:tab/>
      </w:r>
      <w:r w:rsidR="00A27442">
        <w:rPr>
          <w:rFonts w:ascii="Trebuchet MS" w:hAnsi="Trebuchet MS"/>
          <w:color w:val="auto"/>
        </w:rPr>
        <w:t xml:space="preserve">We will continue to monitor the sickness levels within SLAB as while rising sickness levels are being seen across the UK (CIPD), our levels are higher than we would like and are having an impact on some operational areas. </w:t>
      </w:r>
      <w:r w:rsidR="007B5CBF">
        <w:rPr>
          <w:rFonts w:ascii="Trebuchet MS" w:hAnsi="Trebuchet MS"/>
          <w:color w:val="auto"/>
        </w:rPr>
        <w:t xml:space="preserve">Our absence rates are </w:t>
      </w:r>
      <w:r w:rsidR="00A27442">
        <w:rPr>
          <w:rFonts w:ascii="Trebuchet MS" w:hAnsi="Trebuchet MS"/>
          <w:color w:val="auto"/>
        </w:rPr>
        <w:t xml:space="preserve">also </w:t>
      </w:r>
      <w:r w:rsidR="007B5CBF">
        <w:rPr>
          <w:rFonts w:ascii="Trebuchet MS" w:hAnsi="Trebuchet MS"/>
          <w:color w:val="auto"/>
        </w:rPr>
        <w:t>high when compared</w:t>
      </w:r>
      <w:r w:rsidR="00F20F3A">
        <w:rPr>
          <w:rFonts w:ascii="Trebuchet MS" w:hAnsi="Trebuchet MS"/>
          <w:color w:val="auto"/>
        </w:rPr>
        <w:t xml:space="preserve"> to </w:t>
      </w:r>
      <w:r w:rsidR="0001793B" w:rsidRPr="00634616">
        <w:rPr>
          <w:rFonts w:ascii="Trebuchet MS" w:hAnsi="Trebuchet MS"/>
          <w:color w:val="auto"/>
        </w:rPr>
        <w:t xml:space="preserve">the Scottish Government </w:t>
      </w:r>
      <w:r w:rsidR="00F20F3A">
        <w:rPr>
          <w:rFonts w:ascii="Trebuchet MS" w:hAnsi="Trebuchet MS"/>
          <w:color w:val="auto"/>
        </w:rPr>
        <w:t xml:space="preserve">who </w:t>
      </w:r>
      <w:r w:rsidR="0001793B" w:rsidRPr="00634616">
        <w:rPr>
          <w:rFonts w:ascii="Trebuchet MS" w:hAnsi="Trebuchet MS"/>
          <w:color w:val="auto"/>
        </w:rPr>
        <w:t xml:space="preserve">are sitting at 3.6% absences </w:t>
      </w:r>
      <w:r w:rsidR="00E16FD5">
        <w:rPr>
          <w:rFonts w:ascii="Trebuchet MS" w:hAnsi="Trebuchet MS"/>
          <w:color w:val="auto"/>
        </w:rPr>
        <w:t>for Q4 2023</w:t>
      </w:r>
      <w:r w:rsidR="00AD47BD">
        <w:rPr>
          <w:rFonts w:ascii="Trebuchet MS" w:hAnsi="Trebuchet MS"/>
          <w:color w:val="auto"/>
        </w:rPr>
        <w:t xml:space="preserve"> (SLAB </w:t>
      </w:r>
      <w:r w:rsidR="003151E0">
        <w:rPr>
          <w:rFonts w:ascii="Trebuchet MS" w:hAnsi="Trebuchet MS"/>
          <w:color w:val="auto"/>
        </w:rPr>
        <w:t>4.</w:t>
      </w:r>
      <w:r w:rsidR="00E16FD5">
        <w:rPr>
          <w:rFonts w:ascii="Trebuchet MS" w:hAnsi="Trebuchet MS"/>
          <w:color w:val="auto"/>
        </w:rPr>
        <w:t>6</w:t>
      </w:r>
      <w:r w:rsidR="00AD47BD">
        <w:rPr>
          <w:rFonts w:ascii="Trebuchet MS" w:hAnsi="Trebuchet MS"/>
          <w:color w:val="auto"/>
        </w:rPr>
        <w:t>%)</w:t>
      </w:r>
      <w:r w:rsidR="0001793B" w:rsidRPr="00634616">
        <w:rPr>
          <w:rFonts w:ascii="Trebuchet MS" w:hAnsi="Trebuchet MS"/>
          <w:color w:val="auto"/>
        </w:rPr>
        <w:t>. The Office of National Statistics (ONS) has not yet published figures for 202</w:t>
      </w:r>
      <w:r w:rsidR="00E16FD5">
        <w:rPr>
          <w:rFonts w:ascii="Trebuchet MS" w:hAnsi="Trebuchet MS"/>
          <w:color w:val="auto"/>
        </w:rPr>
        <w:t>3</w:t>
      </w:r>
      <w:r w:rsidR="0001793B" w:rsidRPr="00634616">
        <w:rPr>
          <w:rFonts w:ascii="Trebuchet MS" w:hAnsi="Trebuchet MS"/>
          <w:color w:val="auto"/>
        </w:rPr>
        <w:t xml:space="preserve">. However, comparing to the </w:t>
      </w:r>
      <w:r w:rsidR="007B5CBF">
        <w:rPr>
          <w:rFonts w:ascii="Trebuchet MS" w:hAnsi="Trebuchet MS"/>
          <w:color w:val="auto"/>
        </w:rPr>
        <w:t>202</w:t>
      </w:r>
      <w:r w:rsidR="00E12C39">
        <w:rPr>
          <w:rFonts w:ascii="Trebuchet MS" w:hAnsi="Trebuchet MS"/>
          <w:color w:val="auto"/>
        </w:rPr>
        <w:t>2</w:t>
      </w:r>
      <w:r w:rsidR="007B5CBF">
        <w:rPr>
          <w:rFonts w:ascii="Trebuchet MS" w:hAnsi="Trebuchet MS"/>
          <w:color w:val="auto"/>
        </w:rPr>
        <w:t xml:space="preserve"> </w:t>
      </w:r>
      <w:r w:rsidR="0001793B" w:rsidRPr="00634616">
        <w:rPr>
          <w:rFonts w:ascii="Trebuchet MS" w:hAnsi="Trebuchet MS"/>
          <w:color w:val="auto"/>
        </w:rPr>
        <w:t>ONS average rate of absence in UK was 2.</w:t>
      </w:r>
      <w:r w:rsidR="00E12C39">
        <w:rPr>
          <w:rFonts w:ascii="Trebuchet MS" w:hAnsi="Trebuchet MS"/>
          <w:color w:val="auto"/>
        </w:rPr>
        <w:t>6</w:t>
      </w:r>
      <w:r w:rsidR="0001793B" w:rsidRPr="00634616">
        <w:rPr>
          <w:rFonts w:ascii="Trebuchet MS" w:hAnsi="Trebuchet MS"/>
          <w:color w:val="auto"/>
        </w:rPr>
        <w:t xml:space="preserve">% and in Scotland </w:t>
      </w:r>
      <w:r w:rsidR="00E12C39">
        <w:rPr>
          <w:rFonts w:ascii="Trebuchet MS" w:hAnsi="Trebuchet MS"/>
          <w:color w:val="auto"/>
        </w:rPr>
        <w:t>3</w:t>
      </w:r>
      <w:r w:rsidR="0001793B" w:rsidRPr="00634616">
        <w:rPr>
          <w:rFonts w:ascii="Trebuchet MS" w:hAnsi="Trebuchet MS"/>
          <w:color w:val="auto"/>
        </w:rPr>
        <w:t>%</w:t>
      </w:r>
      <w:r w:rsidR="0017353C">
        <w:rPr>
          <w:rFonts w:ascii="Trebuchet MS" w:hAnsi="Trebuchet MS"/>
          <w:color w:val="auto"/>
        </w:rPr>
        <w:t xml:space="preserve"> (SLAB 2</w:t>
      </w:r>
      <w:r w:rsidR="00E12C39">
        <w:rPr>
          <w:rFonts w:ascii="Trebuchet MS" w:hAnsi="Trebuchet MS"/>
          <w:color w:val="auto"/>
        </w:rPr>
        <w:t>1-22</w:t>
      </w:r>
      <w:r w:rsidR="0017353C">
        <w:rPr>
          <w:rFonts w:ascii="Trebuchet MS" w:hAnsi="Trebuchet MS"/>
          <w:color w:val="auto"/>
        </w:rPr>
        <w:t xml:space="preserve"> was </w:t>
      </w:r>
      <w:r w:rsidR="00E12C39">
        <w:rPr>
          <w:rFonts w:ascii="Trebuchet MS" w:hAnsi="Trebuchet MS"/>
          <w:color w:val="auto"/>
        </w:rPr>
        <w:t>4.3</w:t>
      </w:r>
      <w:r w:rsidR="0017353C">
        <w:rPr>
          <w:rFonts w:ascii="Trebuchet MS" w:hAnsi="Trebuchet MS"/>
          <w:color w:val="auto"/>
        </w:rPr>
        <w:t>%)</w:t>
      </w:r>
      <w:r w:rsidR="0001793B" w:rsidRPr="00634616">
        <w:rPr>
          <w:rFonts w:ascii="Trebuchet MS" w:hAnsi="Trebuchet MS"/>
          <w:color w:val="auto"/>
        </w:rPr>
        <w:t xml:space="preserve">. </w:t>
      </w:r>
      <w:r w:rsidR="0001793B" w:rsidRPr="00C8061F">
        <w:rPr>
          <w:rFonts w:ascii="Trebuchet MS" w:hAnsi="Trebuchet MS"/>
          <w:color w:val="auto"/>
        </w:rPr>
        <w:t xml:space="preserve">The average for the </w:t>
      </w:r>
      <w:r w:rsidR="008D07CE" w:rsidRPr="00C8061F">
        <w:rPr>
          <w:rFonts w:ascii="Trebuchet MS" w:hAnsi="Trebuchet MS"/>
          <w:color w:val="auto"/>
        </w:rPr>
        <w:t>public</w:t>
      </w:r>
      <w:r w:rsidR="0001793B" w:rsidRPr="00C8061F">
        <w:rPr>
          <w:rFonts w:ascii="Trebuchet MS" w:hAnsi="Trebuchet MS"/>
          <w:color w:val="auto"/>
        </w:rPr>
        <w:t xml:space="preserve"> sector is 3%.</w:t>
      </w:r>
      <w:r w:rsidR="002F6620" w:rsidRPr="00C8061F">
        <w:rPr>
          <w:rFonts w:ascii="Trebuchet MS" w:hAnsi="Trebuchet MS"/>
          <w:color w:val="auto"/>
        </w:rPr>
        <w:t xml:space="preserve"> </w:t>
      </w:r>
    </w:p>
    <w:p w14:paraId="6C3BF9F3" w14:textId="1347BAFF" w:rsidR="00750FDC" w:rsidRDefault="0001793B" w:rsidP="008D07CE">
      <w:pPr>
        <w:pStyle w:val="Default"/>
        <w:numPr>
          <w:ilvl w:val="2"/>
          <w:numId w:val="45"/>
        </w:numPr>
        <w:spacing w:after="120"/>
        <w:jc w:val="both"/>
        <w:rPr>
          <w:rFonts w:ascii="Trebuchet MS" w:hAnsi="Trebuchet MS"/>
          <w:color w:val="auto"/>
        </w:rPr>
      </w:pPr>
      <w:r w:rsidRPr="00C8061F">
        <w:rPr>
          <w:rFonts w:ascii="Trebuchet MS" w:hAnsi="Trebuchet MS"/>
          <w:color w:val="auto"/>
        </w:rPr>
        <w:t xml:space="preserve">The top </w:t>
      </w:r>
      <w:r w:rsidR="008D07CE">
        <w:rPr>
          <w:rFonts w:ascii="Trebuchet MS" w:hAnsi="Trebuchet MS"/>
          <w:color w:val="auto"/>
        </w:rPr>
        <w:t>three</w:t>
      </w:r>
      <w:r w:rsidRPr="00C8061F">
        <w:rPr>
          <w:rFonts w:ascii="Trebuchet MS" w:hAnsi="Trebuchet MS"/>
          <w:color w:val="auto"/>
        </w:rPr>
        <w:t xml:space="preserve"> identified reasons for absence within SLAB </w:t>
      </w:r>
      <w:r w:rsidR="008D07CE" w:rsidRPr="00C8061F">
        <w:rPr>
          <w:rFonts w:ascii="Trebuchet MS" w:hAnsi="Trebuchet MS"/>
          <w:color w:val="auto"/>
        </w:rPr>
        <w:t>are</w:t>
      </w:r>
      <w:r w:rsidRPr="00C8061F">
        <w:rPr>
          <w:rFonts w:ascii="Trebuchet MS" w:hAnsi="Trebuchet MS"/>
          <w:color w:val="auto"/>
        </w:rPr>
        <w:t>:</w:t>
      </w:r>
    </w:p>
    <w:p w14:paraId="679DE670" w14:textId="446D7F2C" w:rsidR="008D07CE" w:rsidRDefault="002F6620" w:rsidP="008D07CE">
      <w:pPr>
        <w:pStyle w:val="Default"/>
        <w:numPr>
          <w:ilvl w:val="0"/>
          <w:numId w:val="46"/>
        </w:numPr>
        <w:spacing w:after="120"/>
        <w:jc w:val="both"/>
        <w:rPr>
          <w:rFonts w:ascii="Trebuchet MS" w:hAnsi="Trebuchet MS"/>
          <w:color w:val="auto"/>
        </w:rPr>
      </w:pPr>
      <w:r w:rsidRPr="00C8061F">
        <w:rPr>
          <w:rFonts w:ascii="Trebuchet MS" w:hAnsi="Trebuchet MS"/>
          <w:color w:val="auto"/>
        </w:rPr>
        <w:t>psychological/anxiety/depression</w:t>
      </w:r>
      <w:r w:rsidR="0017353C" w:rsidRPr="00C8061F">
        <w:rPr>
          <w:rFonts w:ascii="Trebuchet MS" w:hAnsi="Trebuchet MS"/>
          <w:color w:val="auto"/>
        </w:rPr>
        <w:t xml:space="preserve"> (</w:t>
      </w:r>
      <w:r w:rsidR="006503C7" w:rsidRPr="00C8061F">
        <w:rPr>
          <w:rFonts w:ascii="Trebuchet MS" w:hAnsi="Trebuchet MS"/>
          <w:color w:val="auto"/>
        </w:rPr>
        <w:t>20.9</w:t>
      </w:r>
      <w:r w:rsidR="0017353C" w:rsidRPr="00C8061F">
        <w:rPr>
          <w:rFonts w:ascii="Trebuchet MS" w:hAnsi="Trebuchet MS"/>
          <w:color w:val="auto"/>
        </w:rPr>
        <w:t>% of total hours lost</w:t>
      </w:r>
      <w:r w:rsidR="00BD0F2C" w:rsidRPr="00C8061F">
        <w:rPr>
          <w:rFonts w:ascii="Trebuchet MS" w:hAnsi="Trebuchet MS"/>
          <w:color w:val="auto"/>
        </w:rPr>
        <w:t>/</w:t>
      </w:r>
      <w:r w:rsidR="006503C7" w:rsidRPr="00C8061F">
        <w:rPr>
          <w:rFonts w:ascii="Trebuchet MS" w:hAnsi="Trebuchet MS"/>
          <w:color w:val="auto"/>
        </w:rPr>
        <w:t>6.3</w:t>
      </w:r>
      <w:r w:rsidR="00BD0F2C" w:rsidRPr="00C8061F">
        <w:rPr>
          <w:rFonts w:ascii="Trebuchet MS" w:hAnsi="Trebuchet MS"/>
          <w:color w:val="auto"/>
        </w:rPr>
        <w:t>% of instances</w:t>
      </w:r>
      <w:r w:rsidR="0017353C" w:rsidRPr="00C8061F">
        <w:rPr>
          <w:rFonts w:ascii="Trebuchet MS" w:hAnsi="Trebuchet MS"/>
          <w:color w:val="auto"/>
        </w:rPr>
        <w:t>)</w:t>
      </w:r>
    </w:p>
    <w:p w14:paraId="2CF817FA" w14:textId="3A5C4282" w:rsidR="008D07CE" w:rsidRDefault="008D07CE" w:rsidP="008D07CE">
      <w:pPr>
        <w:pStyle w:val="Default"/>
        <w:numPr>
          <w:ilvl w:val="0"/>
          <w:numId w:val="46"/>
        </w:numPr>
        <w:spacing w:after="120"/>
        <w:jc w:val="both"/>
        <w:rPr>
          <w:rFonts w:ascii="Trebuchet MS" w:hAnsi="Trebuchet MS"/>
          <w:color w:val="auto"/>
        </w:rPr>
      </w:pPr>
      <w:r>
        <w:rPr>
          <w:rFonts w:ascii="Trebuchet MS" w:hAnsi="Trebuchet MS"/>
          <w:color w:val="auto"/>
        </w:rPr>
        <w:t>p</w:t>
      </w:r>
      <w:r w:rsidR="006503C7" w:rsidRPr="008D07CE">
        <w:rPr>
          <w:rFonts w:ascii="Trebuchet MS" w:hAnsi="Trebuchet MS"/>
          <w:color w:val="auto"/>
        </w:rPr>
        <w:t>sychological/</w:t>
      </w:r>
      <w:r>
        <w:rPr>
          <w:rFonts w:ascii="Trebuchet MS" w:hAnsi="Trebuchet MS"/>
          <w:color w:val="auto"/>
        </w:rPr>
        <w:t>d</w:t>
      </w:r>
      <w:r w:rsidR="006503C7" w:rsidRPr="008D07CE">
        <w:rPr>
          <w:rFonts w:ascii="Trebuchet MS" w:hAnsi="Trebuchet MS"/>
          <w:color w:val="auto"/>
        </w:rPr>
        <w:t>omestic or personal stress (14.5% of total hours lost</w:t>
      </w:r>
      <w:r w:rsidR="00C63D7C" w:rsidRPr="008D07CE">
        <w:rPr>
          <w:rFonts w:ascii="Trebuchet MS" w:hAnsi="Trebuchet MS"/>
          <w:color w:val="auto"/>
        </w:rPr>
        <w:t xml:space="preserve"> 3.3% of instances</w:t>
      </w:r>
      <w:r>
        <w:rPr>
          <w:rFonts w:ascii="Trebuchet MS" w:hAnsi="Trebuchet MS"/>
          <w:color w:val="auto"/>
        </w:rPr>
        <w:t>)</w:t>
      </w:r>
    </w:p>
    <w:p w14:paraId="22710C65" w14:textId="00704B19" w:rsidR="006F4156" w:rsidRPr="008D07CE" w:rsidRDefault="008D07CE" w:rsidP="008D07CE">
      <w:pPr>
        <w:pStyle w:val="Default"/>
        <w:numPr>
          <w:ilvl w:val="0"/>
          <w:numId w:val="46"/>
        </w:numPr>
        <w:spacing w:after="120"/>
        <w:jc w:val="both"/>
        <w:rPr>
          <w:rFonts w:ascii="Trebuchet MS" w:hAnsi="Trebuchet MS"/>
          <w:color w:val="auto"/>
        </w:rPr>
      </w:pPr>
      <w:r>
        <w:rPr>
          <w:rFonts w:ascii="Trebuchet MS" w:hAnsi="Trebuchet MS"/>
          <w:color w:val="auto"/>
        </w:rPr>
        <w:t>c</w:t>
      </w:r>
      <w:r w:rsidR="002F6620" w:rsidRPr="008D07CE">
        <w:rPr>
          <w:rFonts w:ascii="Trebuchet MS" w:hAnsi="Trebuchet MS"/>
          <w:color w:val="auto"/>
        </w:rPr>
        <w:t xml:space="preserve">old and flu </w:t>
      </w:r>
      <w:r w:rsidR="0017353C" w:rsidRPr="008D07CE">
        <w:rPr>
          <w:rFonts w:ascii="Trebuchet MS" w:hAnsi="Trebuchet MS"/>
          <w:color w:val="auto"/>
        </w:rPr>
        <w:t>(</w:t>
      </w:r>
      <w:r w:rsidR="00C63D7C" w:rsidRPr="008D07CE">
        <w:rPr>
          <w:rFonts w:ascii="Trebuchet MS" w:hAnsi="Trebuchet MS"/>
          <w:color w:val="auto"/>
        </w:rPr>
        <w:t>8.8</w:t>
      </w:r>
      <w:r w:rsidR="0017353C" w:rsidRPr="008D07CE">
        <w:rPr>
          <w:rFonts w:ascii="Trebuchet MS" w:hAnsi="Trebuchet MS"/>
          <w:color w:val="auto"/>
        </w:rPr>
        <w:t>% of total hours lost</w:t>
      </w:r>
      <w:r w:rsidR="00BD0F2C" w:rsidRPr="008D07CE">
        <w:rPr>
          <w:rFonts w:ascii="Trebuchet MS" w:hAnsi="Trebuchet MS"/>
          <w:color w:val="auto"/>
        </w:rPr>
        <w:t>/</w:t>
      </w:r>
      <w:r w:rsidR="00C63D7C" w:rsidRPr="008D07CE">
        <w:rPr>
          <w:rFonts w:ascii="Trebuchet MS" w:hAnsi="Trebuchet MS"/>
          <w:color w:val="auto"/>
        </w:rPr>
        <w:t>14.9</w:t>
      </w:r>
      <w:r w:rsidR="00BD0F2C" w:rsidRPr="008D07CE">
        <w:rPr>
          <w:rFonts w:ascii="Trebuchet MS" w:hAnsi="Trebuchet MS"/>
          <w:color w:val="auto"/>
        </w:rPr>
        <w:t>% of instances</w:t>
      </w:r>
      <w:r w:rsidR="0017353C" w:rsidRPr="008D07CE">
        <w:rPr>
          <w:rFonts w:ascii="Trebuchet MS" w:hAnsi="Trebuchet MS"/>
          <w:color w:val="auto"/>
        </w:rPr>
        <w:t>)</w:t>
      </w:r>
      <w:r>
        <w:rPr>
          <w:rFonts w:ascii="Trebuchet MS" w:hAnsi="Trebuchet MS"/>
          <w:color w:val="auto"/>
        </w:rPr>
        <w:t>.</w:t>
      </w:r>
    </w:p>
    <w:p w14:paraId="5E2F654E" w14:textId="55535461" w:rsidR="009D4E80" w:rsidRPr="00C8061F" w:rsidRDefault="004F56BB" w:rsidP="00D303E2">
      <w:pPr>
        <w:pStyle w:val="Default"/>
        <w:spacing w:after="120"/>
        <w:ind w:left="709" w:hanging="709"/>
        <w:jc w:val="both"/>
        <w:rPr>
          <w:rFonts w:ascii="Trebuchet MS" w:hAnsi="Trebuchet MS"/>
          <w:color w:val="auto"/>
        </w:rPr>
      </w:pPr>
      <w:r>
        <w:rPr>
          <w:rFonts w:ascii="Trebuchet MS" w:hAnsi="Trebuchet MS"/>
          <w:color w:val="auto"/>
        </w:rPr>
        <w:t>2.4.</w:t>
      </w:r>
      <w:r w:rsidR="00782541">
        <w:rPr>
          <w:rFonts w:ascii="Trebuchet MS" w:hAnsi="Trebuchet MS"/>
          <w:color w:val="auto"/>
        </w:rPr>
        <w:t>5</w:t>
      </w:r>
      <w:r>
        <w:rPr>
          <w:rFonts w:ascii="Trebuchet MS" w:hAnsi="Trebuchet MS"/>
          <w:color w:val="auto"/>
        </w:rPr>
        <w:tab/>
      </w:r>
      <w:r w:rsidR="009D4E80" w:rsidRPr="00C8061F">
        <w:rPr>
          <w:rFonts w:ascii="Trebuchet MS" w:hAnsi="Trebuchet MS"/>
          <w:color w:val="auto"/>
        </w:rPr>
        <w:t>We introduced a new Managing Sickness absence policy in July to support managers and staff. In developing this new policy, the People</w:t>
      </w:r>
      <w:r w:rsidR="009D4E80">
        <w:rPr>
          <w:rFonts w:ascii="Trebuchet MS" w:hAnsi="Trebuchet MS"/>
          <w:color w:val="auto"/>
        </w:rPr>
        <w:t xml:space="preserve"> &amp; OD</w:t>
      </w:r>
      <w:r w:rsidR="009D4E80" w:rsidRPr="00C8061F">
        <w:rPr>
          <w:rFonts w:ascii="Trebuchet MS" w:hAnsi="Trebuchet MS"/>
          <w:color w:val="auto"/>
        </w:rPr>
        <w:t xml:space="preserve"> team have also provided guidance and training to managers on how to proactively manage staff who may be experiencing poor mental health.</w:t>
      </w:r>
      <w:r w:rsidR="009D4E80">
        <w:rPr>
          <w:rFonts w:ascii="Trebuchet MS" w:hAnsi="Trebuchet MS"/>
          <w:color w:val="auto"/>
        </w:rPr>
        <w:t xml:space="preserve"> </w:t>
      </w:r>
    </w:p>
    <w:p w14:paraId="458AFF5E" w14:textId="54AE7953" w:rsidR="003C781B" w:rsidRPr="00C8061F" w:rsidRDefault="008B55E9" w:rsidP="008D07CE">
      <w:pPr>
        <w:pStyle w:val="Default"/>
        <w:spacing w:after="120"/>
        <w:ind w:left="709" w:hanging="709"/>
        <w:rPr>
          <w:rFonts w:ascii="Trebuchet MS" w:hAnsi="Trebuchet MS"/>
          <w:color w:val="auto"/>
        </w:rPr>
      </w:pPr>
      <w:r>
        <w:rPr>
          <w:rFonts w:ascii="Trebuchet MS" w:hAnsi="Trebuchet MS"/>
          <w:color w:val="auto"/>
        </w:rPr>
        <w:t>2.</w:t>
      </w:r>
      <w:r w:rsidR="007C515E">
        <w:rPr>
          <w:rFonts w:ascii="Trebuchet MS" w:hAnsi="Trebuchet MS"/>
          <w:color w:val="auto"/>
        </w:rPr>
        <w:t>4.</w:t>
      </w:r>
      <w:r w:rsidR="00782541">
        <w:rPr>
          <w:rFonts w:ascii="Trebuchet MS" w:hAnsi="Trebuchet MS"/>
          <w:color w:val="auto"/>
        </w:rPr>
        <w:t xml:space="preserve">6 </w:t>
      </w:r>
      <w:r>
        <w:rPr>
          <w:rFonts w:ascii="Trebuchet MS" w:hAnsi="Trebuchet MS"/>
          <w:color w:val="auto"/>
        </w:rPr>
        <w:tab/>
      </w:r>
      <w:r w:rsidR="002E5C65">
        <w:rPr>
          <w:rFonts w:ascii="Trebuchet MS" w:hAnsi="Trebuchet MS"/>
          <w:color w:val="auto"/>
        </w:rPr>
        <w:t>T</w:t>
      </w:r>
      <w:r w:rsidR="00C63D7C" w:rsidRPr="00C8061F">
        <w:rPr>
          <w:rFonts w:ascii="Trebuchet MS" w:hAnsi="Trebuchet MS"/>
          <w:color w:val="auto"/>
        </w:rPr>
        <w:t xml:space="preserve">he </w:t>
      </w:r>
      <w:r w:rsidR="00A172DB">
        <w:rPr>
          <w:rFonts w:ascii="Trebuchet MS" w:hAnsi="Trebuchet MS"/>
          <w:color w:val="auto"/>
        </w:rPr>
        <w:t xml:space="preserve">increasing </w:t>
      </w:r>
      <w:r w:rsidR="00C15A00">
        <w:rPr>
          <w:rFonts w:ascii="Trebuchet MS" w:hAnsi="Trebuchet MS"/>
          <w:color w:val="auto"/>
        </w:rPr>
        <w:t xml:space="preserve">prevalence of mental health related absence might suggest a broader concern with staff wellbeing, but this does not appear to be supported by the wider evidence we have. For example, the </w:t>
      </w:r>
      <w:r w:rsidR="00C63D7C" w:rsidRPr="00C8061F">
        <w:rPr>
          <w:rFonts w:ascii="Trebuchet MS" w:hAnsi="Trebuchet MS"/>
          <w:color w:val="auto"/>
        </w:rPr>
        <w:t xml:space="preserve">staff survey </w:t>
      </w:r>
      <w:r w:rsidR="00412D54">
        <w:rPr>
          <w:rFonts w:ascii="Trebuchet MS" w:hAnsi="Trebuchet MS"/>
          <w:color w:val="auto"/>
        </w:rPr>
        <w:t>use</w:t>
      </w:r>
      <w:r w:rsidR="002E5C65">
        <w:rPr>
          <w:rFonts w:ascii="Trebuchet MS" w:hAnsi="Trebuchet MS"/>
          <w:color w:val="auto"/>
        </w:rPr>
        <w:t>s</w:t>
      </w:r>
      <w:r w:rsidR="00412D54" w:rsidRPr="00C8061F">
        <w:rPr>
          <w:rFonts w:ascii="Trebuchet MS" w:hAnsi="Trebuchet MS"/>
          <w:color w:val="auto"/>
        </w:rPr>
        <w:t xml:space="preserve"> </w:t>
      </w:r>
      <w:r w:rsidR="00C63D7C" w:rsidRPr="00C8061F">
        <w:rPr>
          <w:rFonts w:ascii="Trebuchet MS" w:hAnsi="Trebuchet MS"/>
          <w:color w:val="auto"/>
        </w:rPr>
        <w:t xml:space="preserve">the </w:t>
      </w:r>
      <w:r w:rsidR="003C781B" w:rsidRPr="00C8061F">
        <w:rPr>
          <w:rFonts w:ascii="Trebuchet MS" w:hAnsi="Trebuchet MS"/>
          <w:color w:val="auto"/>
        </w:rPr>
        <w:t>PERMA index</w:t>
      </w:r>
      <w:r w:rsidR="002E5C65">
        <w:rPr>
          <w:rFonts w:ascii="Trebuchet MS" w:hAnsi="Trebuchet MS"/>
          <w:color w:val="auto"/>
        </w:rPr>
        <w:t xml:space="preserve"> to</w:t>
      </w:r>
      <w:r w:rsidR="003C781B" w:rsidRPr="00C8061F">
        <w:rPr>
          <w:rFonts w:ascii="Trebuchet MS" w:hAnsi="Trebuchet MS"/>
          <w:color w:val="auto"/>
        </w:rPr>
        <w:t xml:space="preserve"> measure the extent to </w:t>
      </w:r>
      <w:r w:rsidR="003C781B" w:rsidRPr="003C781B">
        <w:rPr>
          <w:rFonts w:ascii="Trebuchet MS" w:hAnsi="Trebuchet MS"/>
          <w:color w:val="auto"/>
        </w:rPr>
        <w:t>which</w:t>
      </w:r>
      <w:r w:rsidR="003C781B" w:rsidRPr="00C8061F">
        <w:rPr>
          <w:rFonts w:ascii="Trebuchet MS" w:hAnsi="Trebuchet MS"/>
          <w:color w:val="auto"/>
        </w:rPr>
        <w:t xml:space="preserve"> employees are flourishing in the workplace. The model is based around five dimensions</w:t>
      </w:r>
      <w:r w:rsidR="002E5C65">
        <w:rPr>
          <w:rFonts w:ascii="Trebuchet MS" w:hAnsi="Trebuchet MS"/>
          <w:color w:val="auto"/>
        </w:rPr>
        <w:t>,</w:t>
      </w:r>
      <w:r w:rsidR="003C781B" w:rsidRPr="00C8061F">
        <w:rPr>
          <w:rFonts w:ascii="Trebuchet MS" w:hAnsi="Trebuchet MS"/>
          <w:color w:val="auto"/>
        </w:rPr>
        <w:t xml:space="preserve"> </w:t>
      </w:r>
      <w:r w:rsidR="005E3CA2">
        <w:rPr>
          <w:rFonts w:ascii="Trebuchet MS" w:hAnsi="Trebuchet MS"/>
          <w:color w:val="auto"/>
        </w:rPr>
        <w:t>and</w:t>
      </w:r>
      <w:r w:rsidR="003C781B" w:rsidRPr="00C8061F">
        <w:rPr>
          <w:rFonts w:ascii="Trebuchet MS" w:hAnsi="Trebuchet MS"/>
          <w:color w:val="auto"/>
        </w:rPr>
        <w:t xml:space="preserve"> calculates a derived </w:t>
      </w:r>
      <w:r w:rsidR="003C781B" w:rsidRPr="003C781B">
        <w:rPr>
          <w:rFonts w:ascii="Trebuchet MS" w:hAnsi="Trebuchet MS"/>
          <w:color w:val="auto"/>
        </w:rPr>
        <w:t>statistic</w:t>
      </w:r>
      <w:r w:rsidR="003C781B" w:rsidRPr="00C8061F">
        <w:rPr>
          <w:rFonts w:ascii="Trebuchet MS" w:hAnsi="Trebuchet MS"/>
          <w:color w:val="auto"/>
        </w:rPr>
        <w:t xml:space="preserve"> </w:t>
      </w:r>
      <w:r w:rsidR="003C781B" w:rsidRPr="003C781B">
        <w:rPr>
          <w:rFonts w:ascii="Trebuchet MS" w:hAnsi="Trebuchet MS"/>
          <w:color w:val="auto"/>
        </w:rPr>
        <w:t>based</w:t>
      </w:r>
      <w:r w:rsidR="003C781B" w:rsidRPr="00C8061F">
        <w:rPr>
          <w:rFonts w:ascii="Trebuchet MS" w:hAnsi="Trebuchet MS"/>
          <w:color w:val="auto"/>
        </w:rPr>
        <w:t xml:space="preserve"> on </w:t>
      </w:r>
      <w:r w:rsidR="008D07CE">
        <w:rPr>
          <w:rFonts w:ascii="Trebuchet MS" w:hAnsi="Trebuchet MS"/>
          <w:color w:val="auto"/>
        </w:rPr>
        <w:t>five</w:t>
      </w:r>
      <w:r w:rsidR="003C781B" w:rsidRPr="00C8061F">
        <w:rPr>
          <w:rFonts w:ascii="Trebuchet MS" w:hAnsi="Trebuchet MS"/>
          <w:color w:val="auto"/>
        </w:rPr>
        <w:t xml:space="preserve"> questions as follows</w:t>
      </w:r>
      <w:r w:rsidR="008D07CE">
        <w:rPr>
          <w:rFonts w:ascii="Trebuchet MS" w:hAnsi="Trebuchet MS"/>
          <w:color w:val="auto"/>
        </w:rPr>
        <w:t>:</w:t>
      </w:r>
      <w:r w:rsidR="008D07CE">
        <w:rPr>
          <w:rFonts w:ascii="Trebuchet MS" w:hAnsi="Trebuchet MS"/>
          <w:color w:val="auto"/>
        </w:rPr>
        <w:br/>
        <w:t xml:space="preserve">1. </w:t>
      </w:r>
      <w:r w:rsidR="003C781B" w:rsidRPr="00C8061F">
        <w:rPr>
          <w:rFonts w:ascii="Trebuchet MS" w:hAnsi="Trebuchet MS"/>
          <w:color w:val="auto"/>
        </w:rPr>
        <w:t>Positive emotion</w:t>
      </w:r>
      <w:r w:rsidR="008D07CE">
        <w:rPr>
          <w:rFonts w:ascii="Trebuchet MS" w:hAnsi="Trebuchet MS"/>
          <w:color w:val="auto"/>
        </w:rPr>
        <w:t>:</w:t>
      </w:r>
      <w:r w:rsidR="003C781B" w:rsidRPr="00C8061F">
        <w:rPr>
          <w:rFonts w:ascii="Trebuchet MS" w:hAnsi="Trebuchet MS"/>
          <w:color w:val="auto"/>
        </w:rPr>
        <w:t xml:space="preserve"> </w:t>
      </w:r>
      <w:r w:rsidR="008D07CE">
        <w:rPr>
          <w:rFonts w:ascii="Trebuchet MS" w:hAnsi="Trebuchet MS"/>
          <w:color w:val="auto"/>
        </w:rPr>
        <w:t>‘</w:t>
      </w:r>
      <w:r w:rsidR="003C781B" w:rsidRPr="00C8061F">
        <w:rPr>
          <w:rFonts w:ascii="Trebuchet MS" w:hAnsi="Trebuchet MS"/>
          <w:color w:val="auto"/>
        </w:rPr>
        <w:t xml:space="preserve">Overall how satisfied are you with your life </w:t>
      </w:r>
      <w:r w:rsidR="003C781B" w:rsidRPr="003C781B">
        <w:rPr>
          <w:rFonts w:ascii="Trebuchet MS" w:hAnsi="Trebuchet MS"/>
          <w:color w:val="auto"/>
        </w:rPr>
        <w:t>nowadays</w:t>
      </w:r>
      <w:r w:rsidR="008D07CE">
        <w:rPr>
          <w:rFonts w:ascii="Trebuchet MS" w:hAnsi="Trebuchet MS"/>
          <w:color w:val="auto"/>
        </w:rPr>
        <w:t>?’</w:t>
      </w:r>
      <w:r w:rsidR="008D07CE">
        <w:rPr>
          <w:rFonts w:ascii="Trebuchet MS" w:hAnsi="Trebuchet MS"/>
          <w:color w:val="auto"/>
        </w:rPr>
        <w:br/>
        <w:t xml:space="preserve">2. </w:t>
      </w:r>
      <w:r w:rsidR="003C781B" w:rsidRPr="00C8061F">
        <w:rPr>
          <w:rFonts w:ascii="Trebuchet MS" w:hAnsi="Trebuchet MS"/>
          <w:color w:val="auto"/>
        </w:rPr>
        <w:t>Engagement</w:t>
      </w:r>
      <w:r w:rsidR="008D07CE">
        <w:rPr>
          <w:rFonts w:ascii="Trebuchet MS" w:hAnsi="Trebuchet MS"/>
          <w:color w:val="auto"/>
        </w:rPr>
        <w:t>:</w:t>
      </w:r>
      <w:r w:rsidR="003C781B" w:rsidRPr="00C8061F">
        <w:rPr>
          <w:rFonts w:ascii="Trebuchet MS" w:hAnsi="Trebuchet MS"/>
          <w:color w:val="auto"/>
        </w:rPr>
        <w:t xml:space="preserve"> </w:t>
      </w:r>
      <w:r w:rsidR="008D07CE">
        <w:rPr>
          <w:rFonts w:ascii="Trebuchet MS" w:hAnsi="Trebuchet MS"/>
          <w:color w:val="auto"/>
        </w:rPr>
        <w:t>‘</w:t>
      </w:r>
      <w:r w:rsidR="003C781B" w:rsidRPr="00C8061F">
        <w:rPr>
          <w:rFonts w:ascii="Trebuchet MS" w:hAnsi="Trebuchet MS"/>
          <w:color w:val="auto"/>
        </w:rPr>
        <w:t>I am interested in my work</w:t>
      </w:r>
      <w:r w:rsidR="008D07CE">
        <w:rPr>
          <w:rFonts w:ascii="Trebuchet MS" w:hAnsi="Trebuchet MS"/>
          <w:color w:val="auto"/>
        </w:rPr>
        <w:t>.’</w:t>
      </w:r>
      <w:r w:rsidR="008D07CE">
        <w:rPr>
          <w:rFonts w:ascii="Trebuchet MS" w:hAnsi="Trebuchet MS"/>
          <w:color w:val="auto"/>
        </w:rPr>
        <w:br/>
        <w:t xml:space="preserve">3. </w:t>
      </w:r>
      <w:r w:rsidR="003C781B" w:rsidRPr="00C8061F">
        <w:rPr>
          <w:rFonts w:ascii="Trebuchet MS" w:hAnsi="Trebuchet MS"/>
          <w:color w:val="auto"/>
        </w:rPr>
        <w:t>Relationships</w:t>
      </w:r>
      <w:r w:rsidR="008D07CE">
        <w:rPr>
          <w:rFonts w:ascii="Trebuchet MS" w:hAnsi="Trebuchet MS"/>
          <w:color w:val="auto"/>
        </w:rPr>
        <w:t>:</w:t>
      </w:r>
      <w:r w:rsidR="003C781B" w:rsidRPr="00C8061F">
        <w:rPr>
          <w:rFonts w:ascii="Trebuchet MS" w:hAnsi="Trebuchet MS"/>
          <w:color w:val="auto"/>
        </w:rPr>
        <w:t xml:space="preserve"> </w:t>
      </w:r>
      <w:r w:rsidR="008D07CE">
        <w:rPr>
          <w:rFonts w:ascii="Trebuchet MS" w:hAnsi="Trebuchet MS"/>
          <w:color w:val="auto"/>
        </w:rPr>
        <w:t>‘T</w:t>
      </w:r>
      <w:r w:rsidR="003C781B" w:rsidRPr="00C8061F">
        <w:rPr>
          <w:rFonts w:ascii="Trebuchet MS" w:hAnsi="Trebuchet MS"/>
          <w:color w:val="auto"/>
        </w:rPr>
        <w:t>he people in my team can be r</w:t>
      </w:r>
      <w:r w:rsidR="00F5069D">
        <w:rPr>
          <w:rFonts w:ascii="Trebuchet MS" w:hAnsi="Trebuchet MS"/>
          <w:color w:val="auto"/>
        </w:rPr>
        <w:t>e</w:t>
      </w:r>
      <w:r w:rsidR="003C781B" w:rsidRPr="00C8061F">
        <w:rPr>
          <w:rFonts w:ascii="Trebuchet MS" w:hAnsi="Trebuchet MS"/>
          <w:color w:val="auto"/>
        </w:rPr>
        <w:t>lied upon to help when things get difficult in my job</w:t>
      </w:r>
      <w:r w:rsidR="008D07CE">
        <w:rPr>
          <w:rFonts w:ascii="Trebuchet MS" w:hAnsi="Trebuchet MS"/>
          <w:color w:val="auto"/>
        </w:rPr>
        <w:t>.’</w:t>
      </w:r>
      <w:r w:rsidR="008D07CE">
        <w:rPr>
          <w:rFonts w:ascii="Trebuchet MS" w:hAnsi="Trebuchet MS"/>
          <w:color w:val="auto"/>
        </w:rPr>
        <w:br/>
        <w:t xml:space="preserve">4. </w:t>
      </w:r>
      <w:r w:rsidR="003C781B" w:rsidRPr="00C8061F">
        <w:rPr>
          <w:rFonts w:ascii="Trebuchet MS" w:hAnsi="Trebuchet MS"/>
          <w:color w:val="auto"/>
        </w:rPr>
        <w:t>Meaning</w:t>
      </w:r>
      <w:r w:rsidR="008D07CE">
        <w:rPr>
          <w:rFonts w:ascii="Trebuchet MS" w:hAnsi="Trebuchet MS"/>
          <w:color w:val="auto"/>
        </w:rPr>
        <w:t>:</w:t>
      </w:r>
      <w:r w:rsidR="003C781B" w:rsidRPr="00C8061F">
        <w:rPr>
          <w:rFonts w:ascii="Trebuchet MS" w:hAnsi="Trebuchet MS"/>
          <w:color w:val="auto"/>
        </w:rPr>
        <w:t xml:space="preserve"> </w:t>
      </w:r>
      <w:r w:rsidR="008D07CE">
        <w:rPr>
          <w:rFonts w:ascii="Trebuchet MS" w:hAnsi="Trebuchet MS"/>
          <w:color w:val="auto"/>
        </w:rPr>
        <w:t>‘</w:t>
      </w:r>
      <w:r w:rsidR="003C781B" w:rsidRPr="00C8061F">
        <w:rPr>
          <w:rFonts w:ascii="Trebuchet MS" w:hAnsi="Trebuchet MS"/>
          <w:color w:val="auto"/>
        </w:rPr>
        <w:t>Overall to what exten</w:t>
      </w:r>
      <w:r w:rsidR="002E5C65">
        <w:rPr>
          <w:rFonts w:ascii="Trebuchet MS" w:hAnsi="Trebuchet MS"/>
          <w:color w:val="auto"/>
        </w:rPr>
        <w:t>t</w:t>
      </w:r>
      <w:r w:rsidR="003C781B" w:rsidRPr="00C8061F">
        <w:rPr>
          <w:rFonts w:ascii="Trebuchet MS" w:hAnsi="Trebuchet MS"/>
          <w:color w:val="auto"/>
        </w:rPr>
        <w:t xml:space="preserve"> do you feel things in your life are </w:t>
      </w:r>
      <w:r w:rsidR="00F5069D" w:rsidRPr="00C8061F">
        <w:rPr>
          <w:rFonts w:ascii="Trebuchet MS" w:hAnsi="Trebuchet MS"/>
          <w:color w:val="auto"/>
        </w:rPr>
        <w:t>worthwhile</w:t>
      </w:r>
      <w:r w:rsidR="008D07CE">
        <w:rPr>
          <w:rFonts w:ascii="Trebuchet MS" w:hAnsi="Trebuchet MS"/>
          <w:color w:val="auto"/>
        </w:rPr>
        <w:t>?’</w:t>
      </w:r>
      <w:r w:rsidR="008D07CE">
        <w:rPr>
          <w:rFonts w:ascii="Trebuchet MS" w:hAnsi="Trebuchet MS"/>
          <w:color w:val="auto"/>
        </w:rPr>
        <w:br/>
        <w:t xml:space="preserve">5. </w:t>
      </w:r>
      <w:r w:rsidR="003C781B" w:rsidRPr="00C8061F">
        <w:rPr>
          <w:rFonts w:ascii="Trebuchet MS" w:hAnsi="Trebuchet MS"/>
          <w:color w:val="auto"/>
        </w:rPr>
        <w:t>Accomplishments</w:t>
      </w:r>
      <w:r w:rsidR="008D07CE">
        <w:rPr>
          <w:rFonts w:ascii="Trebuchet MS" w:hAnsi="Trebuchet MS"/>
          <w:color w:val="auto"/>
        </w:rPr>
        <w:t>:</w:t>
      </w:r>
      <w:r w:rsidR="003C781B" w:rsidRPr="00C8061F">
        <w:rPr>
          <w:rFonts w:ascii="Trebuchet MS" w:hAnsi="Trebuchet MS"/>
          <w:color w:val="auto"/>
        </w:rPr>
        <w:t xml:space="preserve"> </w:t>
      </w:r>
      <w:r w:rsidR="008D07CE">
        <w:rPr>
          <w:rFonts w:ascii="Trebuchet MS" w:hAnsi="Trebuchet MS"/>
          <w:color w:val="auto"/>
        </w:rPr>
        <w:t>‘</w:t>
      </w:r>
      <w:r w:rsidR="003C781B" w:rsidRPr="00C8061F">
        <w:rPr>
          <w:rFonts w:ascii="Trebuchet MS" w:hAnsi="Trebuchet MS"/>
          <w:color w:val="auto"/>
        </w:rPr>
        <w:t>My work gives me a sense of personal accomplishment.</w:t>
      </w:r>
      <w:r w:rsidR="008C2683">
        <w:rPr>
          <w:rFonts w:ascii="Trebuchet MS" w:hAnsi="Trebuchet MS"/>
          <w:color w:val="auto"/>
        </w:rPr>
        <w:t>’</w:t>
      </w:r>
    </w:p>
    <w:p w14:paraId="65F53D8E" w14:textId="0C513E1C" w:rsidR="007B5CBF" w:rsidRPr="00C8061F" w:rsidRDefault="00A742D1" w:rsidP="008C2683">
      <w:pPr>
        <w:pStyle w:val="Default"/>
        <w:spacing w:after="120"/>
        <w:ind w:left="709" w:hanging="709"/>
        <w:rPr>
          <w:rFonts w:ascii="Trebuchet MS" w:hAnsi="Trebuchet MS"/>
          <w:color w:val="auto"/>
        </w:rPr>
      </w:pPr>
      <w:r>
        <w:rPr>
          <w:rFonts w:ascii="Trebuchet MS" w:hAnsi="Trebuchet MS"/>
          <w:color w:val="auto"/>
        </w:rPr>
        <w:t>2.4.7</w:t>
      </w:r>
      <w:r>
        <w:rPr>
          <w:rFonts w:ascii="Trebuchet MS" w:hAnsi="Trebuchet MS"/>
          <w:color w:val="auto"/>
        </w:rPr>
        <w:tab/>
      </w:r>
      <w:r w:rsidR="003C781B" w:rsidRPr="00C8061F">
        <w:rPr>
          <w:rFonts w:ascii="Trebuchet MS" w:hAnsi="Trebuchet MS"/>
          <w:color w:val="auto"/>
        </w:rPr>
        <w:t>Using the CSPS model, SLAB currently has a PERMA index of 76%. The CSPS 2022 PERMA Index UK benchmark is 73%.</w:t>
      </w:r>
    </w:p>
    <w:p w14:paraId="48D67BDC" w14:textId="6C638D1B" w:rsidR="00C8061F" w:rsidRPr="00D303E2" w:rsidRDefault="008B55E9" w:rsidP="008C2683">
      <w:pPr>
        <w:pStyle w:val="Default"/>
        <w:spacing w:after="120"/>
        <w:ind w:left="709" w:hanging="709"/>
        <w:rPr>
          <w:rFonts w:ascii="Trebuchet MS" w:hAnsi="Trebuchet MS"/>
          <w:color w:val="auto"/>
        </w:rPr>
      </w:pPr>
      <w:r w:rsidRPr="2B74591D">
        <w:rPr>
          <w:rFonts w:ascii="Trebuchet MS" w:hAnsi="Trebuchet MS"/>
          <w:color w:val="auto"/>
        </w:rPr>
        <w:t>2.</w:t>
      </w:r>
      <w:r w:rsidR="007C515E" w:rsidRPr="2B74591D">
        <w:rPr>
          <w:rFonts w:ascii="Trebuchet MS" w:hAnsi="Trebuchet MS"/>
          <w:color w:val="auto"/>
        </w:rPr>
        <w:t>4.8</w:t>
      </w:r>
      <w:r>
        <w:tab/>
      </w:r>
      <w:r w:rsidR="00C15A00" w:rsidRPr="2B74591D">
        <w:rPr>
          <w:rFonts w:ascii="Trebuchet MS" w:hAnsi="Trebuchet MS"/>
          <w:color w:val="auto"/>
        </w:rPr>
        <w:t xml:space="preserve">In terms of supporting staff experiencing ill health, we </w:t>
      </w:r>
      <w:r w:rsidR="006F4156" w:rsidRPr="2B74591D">
        <w:rPr>
          <w:rFonts w:ascii="Trebuchet MS" w:hAnsi="Trebuchet MS"/>
          <w:color w:val="auto"/>
        </w:rPr>
        <w:t>currently have in place good use of Occupational Health</w:t>
      </w:r>
      <w:r w:rsidR="008C2683">
        <w:rPr>
          <w:rFonts w:ascii="Trebuchet MS" w:hAnsi="Trebuchet MS"/>
          <w:color w:val="auto"/>
        </w:rPr>
        <w:t xml:space="preserve"> (OH)</w:t>
      </w:r>
      <w:r w:rsidR="00FB22C0" w:rsidRPr="2B74591D">
        <w:rPr>
          <w:rFonts w:ascii="Trebuchet MS" w:hAnsi="Trebuchet MS"/>
          <w:color w:val="auto"/>
        </w:rPr>
        <w:t>;</w:t>
      </w:r>
      <w:r w:rsidR="006F4156" w:rsidRPr="2B74591D">
        <w:rPr>
          <w:rFonts w:ascii="Trebuchet MS" w:hAnsi="Trebuchet MS"/>
          <w:color w:val="auto"/>
        </w:rPr>
        <w:t xml:space="preserve"> </w:t>
      </w:r>
      <w:r w:rsidR="003C781B" w:rsidRPr="2B74591D">
        <w:rPr>
          <w:rFonts w:ascii="Trebuchet MS" w:hAnsi="Trebuchet MS"/>
          <w:color w:val="auto"/>
        </w:rPr>
        <w:t xml:space="preserve">this year we changed our supplier to Optima Health who are the Scottish Government Framework supplier. This has allowed us to be able to continue to support colleagues with a wider range of supports including </w:t>
      </w:r>
      <w:r w:rsidR="00C8061F" w:rsidRPr="2B74591D">
        <w:rPr>
          <w:rFonts w:ascii="Trebuchet MS" w:hAnsi="Trebuchet MS"/>
          <w:color w:val="auto"/>
        </w:rPr>
        <w:t>work-based</w:t>
      </w:r>
      <w:r w:rsidR="003C781B" w:rsidRPr="2B74591D">
        <w:rPr>
          <w:rFonts w:ascii="Trebuchet MS" w:hAnsi="Trebuchet MS"/>
          <w:color w:val="auto"/>
        </w:rPr>
        <w:t xml:space="preserve"> capability assessment. This has been particularly helpful in support</w:t>
      </w:r>
      <w:r w:rsidR="00FB22C0" w:rsidRPr="2B74591D">
        <w:rPr>
          <w:rFonts w:ascii="Trebuchet MS" w:hAnsi="Trebuchet MS"/>
          <w:color w:val="auto"/>
        </w:rPr>
        <w:t>ing</w:t>
      </w:r>
      <w:r w:rsidR="003C781B" w:rsidRPr="2B74591D">
        <w:rPr>
          <w:rFonts w:ascii="Trebuchet MS" w:hAnsi="Trebuchet MS"/>
          <w:color w:val="auto"/>
        </w:rPr>
        <w:t xml:space="preserve"> coll</w:t>
      </w:r>
      <w:r w:rsidR="00C8061F" w:rsidRPr="2B74591D">
        <w:rPr>
          <w:rFonts w:ascii="Trebuchet MS" w:hAnsi="Trebuchet MS"/>
          <w:color w:val="auto"/>
        </w:rPr>
        <w:t>eagues who are neurodivergent.</w:t>
      </w:r>
      <w:r w:rsidR="0049597A" w:rsidRPr="00D303E2">
        <w:rPr>
          <w:rFonts w:ascii="Trebuchet MS" w:hAnsi="Trebuchet MS"/>
          <w:color w:val="auto"/>
        </w:rPr>
        <w:t xml:space="preserve"> The People </w:t>
      </w:r>
      <w:r w:rsidR="008C2683">
        <w:rPr>
          <w:rFonts w:ascii="Trebuchet MS" w:hAnsi="Trebuchet MS"/>
          <w:color w:val="auto"/>
        </w:rPr>
        <w:t>&amp;</w:t>
      </w:r>
      <w:r w:rsidR="0049597A" w:rsidRPr="00D303E2">
        <w:rPr>
          <w:rFonts w:ascii="Trebuchet MS" w:hAnsi="Trebuchet MS"/>
          <w:color w:val="auto"/>
        </w:rPr>
        <w:t xml:space="preserve"> OD team have made 73 </w:t>
      </w:r>
      <w:r w:rsidR="5A1E7071" w:rsidRPr="2B74591D">
        <w:rPr>
          <w:rFonts w:ascii="Trebuchet MS" w:hAnsi="Trebuchet MS"/>
          <w:color w:val="auto"/>
        </w:rPr>
        <w:t xml:space="preserve">OH </w:t>
      </w:r>
      <w:r w:rsidR="0049597A" w:rsidRPr="00D303E2">
        <w:rPr>
          <w:rFonts w:ascii="Trebuchet MS" w:hAnsi="Trebuchet MS"/>
          <w:color w:val="auto"/>
        </w:rPr>
        <w:t>referrals in 2023–24.</w:t>
      </w:r>
      <w:r w:rsidR="00762817">
        <w:rPr>
          <w:rFonts w:ascii="Trebuchet MS" w:hAnsi="Trebuchet MS"/>
          <w:color w:val="auto"/>
        </w:rPr>
        <w:t xml:space="preserve"> These are not all individual cases – multiple referrals may be made </w:t>
      </w:r>
      <w:r w:rsidR="008C2683">
        <w:rPr>
          <w:rFonts w:ascii="Trebuchet MS" w:hAnsi="Trebuchet MS"/>
          <w:color w:val="auto"/>
        </w:rPr>
        <w:t>during</w:t>
      </w:r>
      <w:r w:rsidR="00762817">
        <w:rPr>
          <w:rFonts w:ascii="Trebuchet MS" w:hAnsi="Trebuchet MS"/>
          <w:color w:val="auto"/>
        </w:rPr>
        <w:t xml:space="preserve"> a </w:t>
      </w:r>
      <w:r w:rsidR="008C2683">
        <w:rPr>
          <w:rFonts w:ascii="Trebuchet MS" w:hAnsi="Trebuchet MS"/>
          <w:color w:val="auto"/>
        </w:rPr>
        <w:t>longer-term</w:t>
      </w:r>
      <w:r w:rsidR="00762817">
        <w:rPr>
          <w:rFonts w:ascii="Trebuchet MS" w:hAnsi="Trebuchet MS"/>
          <w:color w:val="auto"/>
        </w:rPr>
        <w:t xml:space="preserve"> absence – and some are in respect of assessments for adjustments rather than sickness absence.</w:t>
      </w:r>
    </w:p>
    <w:p w14:paraId="27DDEA13" w14:textId="3FC00A16" w:rsidR="00C8061F" w:rsidRPr="00D303E2" w:rsidRDefault="008B55E9" w:rsidP="008C2683">
      <w:pPr>
        <w:pStyle w:val="Default"/>
        <w:spacing w:after="120"/>
        <w:ind w:left="709" w:hanging="709"/>
      </w:pPr>
      <w:r>
        <w:rPr>
          <w:rFonts w:ascii="Trebuchet MS" w:hAnsi="Trebuchet MS"/>
          <w:color w:val="auto"/>
        </w:rPr>
        <w:t>2.</w:t>
      </w:r>
      <w:r w:rsidR="007C515E">
        <w:rPr>
          <w:rFonts w:ascii="Trebuchet MS" w:hAnsi="Trebuchet MS"/>
          <w:color w:val="auto"/>
        </w:rPr>
        <w:t>4.9</w:t>
      </w:r>
      <w:r>
        <w:rPr>
          <w:rFonts w:ascii="Trebuchet MS" w:hAnsi="Trebuchet MS"/>
          <w:color w:val="auto"/>
        </w:rPr>
        <w:t xml:space="preserve"> </w:t>
      </w:r>
      <w:r>
        <w:rPr>
          <w:rFonts w:ascii="Trebuchet MS" w:hAnsi="Trebuchet MS"/>
          <w:color w:val="auto"/>
        </w:rPr>
        <w:tab/>
      </w:r>
      <w:r w:rsidR="00C8061F" w:rsidRPr="00C8061F">
        <w:rPr>
          <w:rFonts w:ascii="Trebuchet MS" w:hAnsi="Trebuchet MS"/>
          <w:color w:val="auto"/>
        </w:rPr>
        <w:t xml:space="preserve">We continue to use </w:t>
      </w:r>
      <w:r w:rsidR="008C2683" w:rsidRPr="00C8061F">
        <w:rPr>
          <w:rFonts w:ascii="Trebuchet MS" w:hAnsi="Trebuchet MS"/>
          <w:color w:val="auto"/>
        </w:rPr>
        <w:t xml:space="preserve">First Psychology </w:t>
      </w:r>
      <w:r w:rsidR="00C8061F" w:rsidRPr="00C8061F">
        <w:rPr>
          <w:rFonts w:ascii="Trebuchet MS" w:hAnsi="Trebuchet MS"/>
          <w:color w:val="auto"/>
        </w:rPr>
        <w:t>to provide counselling for staff and Head torch mental health awareness training to managers to support them in managing absenc</w:t>
      </w:r>
      <w:r w:rsidR="00C8061F" w:rsidRPr="00750FDC">
        <w:rPr>
          <w:rFonts w:ascii="Trebuchet MS" w:hAnsi="Trebuchet MS"/>
          <w:color w:val="auto"/>
        </w:rPr>
        <w:t>e</w:t>
      </w:r>
      <w:r w:rsidR="00C8061F" w:rsidRPr="00F5069D">
        <w:rPr>
          <w:rFonts w:ascii="Trebuchet MS" w:hAnsi="Trebuchet MS"/>
          <w:color w:val="auto"/>
        </w:rPr>
        <w:t>.</w:t>
      </w:r>
    </w:p>
    <w:p w14:paraId="0F343B3F" w14:textId="1DD0715D" w:rsidR="00C8061F" w:rsidRPr="008C2683" w:rsidRDefault="008B55E9" w:rsidP="008C2683">
      <w:pPr>
        <w:pStyle w:val="Default"/>
        <w:spacing w:after="120"/>
        <w:ind w:left="709" w:hanging="709"/>
      </w:pPr>
      <w:r w:rsidRPr="00D303E2">
        <w:rPr>
          <w:rFonts w:ascii="Trebuchet MS" w:hAnsi="Trebuchet MS"/>
          <w:color w:val="auto"/>
        </w:rPr>
        <w:lastRenderedPageBreak/>
        <w:t>2.</w:t>
      </w:r>
      <w:r w:rsidR="007C515E" w:rsidRPr="00D303E2">
        <w:rPr>
          <w:rFonts w:ascii="Trebuchet MS" w:hAnsi="Trebuchet MS"/>
          <w:color w:val="auto"/>
        </w:rPr>
        <w:t>4.10</w:t>
      </w:r>
      <w:r w:rsidRPr="00D303E2">
        <w:rPr>
          <w:rFonts w:ascii="Trebuchet MS" w:hAnsi="Trebuchet MS"/>
          <w:color w:val="auto"/>
        </w:rPr>
        <w:t xml:space="preserve"> </w:t>
      </w:r>
      <w:r w:rsidR="00C8061F" w:rsidRPr="00D303E2">
        <w:rPr>
          <w:rFonts w:ascii="Trebuchet MS" w:hAnsi="Trebuchet MS"/>
          <w:color w:val="auto"/>
        </w:rPr>
        <w:t>T</w:t>
      </w:r>
      <w:r w:rsidR="00A742D1">
        <w:rPr>
          <w:rFonts w:ascii="Trebuchet MS" w:hAnsi="Trebuchet MS"/>
          <w:color w:val="auto"/>
        </w:rPr>
        <w:t>he t</w:t>
      </w:r>
      <w:r w:rsidR="00C8061F" w:rsidRPr="00D303E2">
        <w:rPr>
          <w:rFonts w:ascii="Trebuchet MS" w:hAnsi="Trebuchet MS"/>
          <w:color w:val="auto"/>
        </w:rPr>
        <w:t>otal number of referrals to First Psychology</w:t>
      </w:r>
      <w:r w:rsidR="00AB7492" w:rsidRPr="00D303E2">
        <w:rPr>
          <w:rFonts w:ascii="Trebuchet MS" w:hAnsi="Trebuchet MS"/>
          <w:color w:val="auto"/>
        </w:rPr>
        <w:t xml:space="preserve"> </w:t>
      </w:r>
      <w:r w:rsidR="008C2683" w:rsidRPr="00D303E2">
        <w:rPr>
          <w:rFonts w:ascii="Trebuchet MS" w:hAnsi="Trebuchet MS"/>
          <w:color w:val="auto"/>
        </w:rPr>
        <w:t>because of</w:t>
      </w:r>
      <w:r w:rsidR="00AB7492" w:rsidRPr="00D303E2">
        <w:rPr>
          <w:rFonts w:ascii="Trebuchet MS" w:hAnsi="Trebuchet MS"/>
          <w:color w:val="auto"/>
        </w:rPr>
        <w:t xml:space="preserve"> an OH recommendation or self-referral</w:t>
      </w:r>
      <w:r w:rsidR="00C8061F" w:rsidRPr="00D303E2">
        <w:rPr>
          <w:rFonts w:ascii="Trebuchet MS" w:hAnsi="Trebuchet MS"/>
          <w:color w:val="auto"/>
        </w:rPr>
        <w:t xml:space="preserve"> from April 2023 </w:t>
      </w:r>
      <w:r w:rsidR="008C2683">
        <w:rPr>
          <w:rFonts w:ascii="Trebuchet MS" w:hAnsi="Trebuchet MS"/>
          <w:color w:val="auto"/>
        </w:rPr>
        <w:t>to</w:t>
      </w:r>
      <w:r w:rsidR="00C8061F" w:rsidRPr="00D303E2">
        <w:rPr>
          <w:rFonts w:ascii="Trebuchet MS" w:hAnsi="Trebuchet MS"/>
          <w:color w:val="auto"/>
        </w:rPr>
        <w:t xml:space="preserve"> March 2024 was 33. This includes referrals for Counselling, Cognitive Behavioural Therapy (CBT) </w:t>
      </w:r>
      <w:r w:rsidR="008C2683">
        <w:rPr>
          <w:rFonts w:ascii="Trebuchet MS" w:hAnsi="Trebuchet MS"/>
          <w:color w:val="auto"/>
        </w:rPr>
        <w:t>and</w:t>
      </w:r>
      <w:r w:rsidR="00C8061F" w:rsidRPr="00D303E2">
        <w:rPr>
          <w:rFonts w:ascii="Trebuchet MS" w:hAnsi="Trebuchet MS"/>
          <w:color w:val="auto"/>
        </w:rPr>
        <w:t xml:space="preserve"> Keep Well Sessions. </w:t>
      </w:r>
    </w:p>
    <w:p w14:paraId="571170E4" w14:textId="412F8D92" w:rsidR="00F421BF" w:rsidRPr="003C781B" w:rsidRDefault="007C515E" w:rsidP="008C2683">
      <w:pPr>
        <w:pStyle w:val="Default"/>
        <w:spacing w:after="120"/>
        <w:ind w:left="709" w:hanging="709"/>
        <w:rPr>
          <w:rFonts w:ascii="Trebuchet MS" w:hAnsi="Trebuchet MS"/>
          <w:color w:val="auto"/>
        </w:rPr>
      </w:pPr>
      <w:r>
        <w:rPr>
          <w:rFonts w:ascii="Trebuchet MS" w:hAnsi="Trebuchet MS"/>
          <w:b/>
          <w:bCs/>
          <w:color w:val="auto"/>
        </w:rPr>
        <w:t xml:space="preserve">2.5 </w:t>
      </w:r>
      <w:r>
        <w:rPr>
          <w:rFonts w:ascii="Trebuchet MS" w:hAnsi="Trebuchet MS"/>
          <w:b/>
          <w:bCs/>
          <w:color w:val="auto"/>
        </w:rPr>
        <w:tab/>
      </w:r>
      <w:r w:rsidR="00F421BF" w:rsidRPr="00EF5003">
        <w:rPr>
          <w:rFonts w:ascii="Trebuchet MS" w:hAnsi="Trebuchet MS"/>
          <w:b/>
          <w:bCs/>
          <w:color w:val="auto"/>
        </w:rPr>
        <w:t>Disciplinar</w:t>
      </w:r>
      <w:r w:rsidR="00F20F3A" w:rsidRPr="00EF5003">
        <w:rPr>
          <w:rFonts w:ascii="Trebuchet MS" w:hAnsi="Trebuchet MS"/>
          <w:b/>
          <w:bCs/>
          <w:color w:val="auto"/>
        </w:rPr>
        <w:t>y</w:t>
      </w:r>
      <w:r w:rsidR="00F421BF" w:rsidRPr="00EF5003">
        <w:rPr>
          <w:rFonts w:ascii="Trebuchet MS" w:hAnsi="Trebuchet MS"/>
          <w:b/>
          <w:bCs/>
          <w:color w:val="auto"/>
        </w:rPr>
        <w:t xml:space="preserve"> and Grievance</w:t>
      </w:r>
      <w:r w:rsidR="00F20F3A" w:rsidRPr="00EF5003">
        <w:rPr>
          <w:rFonts w:ascii="Trebuchet MS" w:hAnsi="Trebuchet MS"/>
          <w:b/>
          <w:bCs/>
          <w:color w:val="auto"/>
        </w:rPr>
        <w:t xml:space="preserve"> Cases</w:t>
      </w:r>
    </w:p>
    <w:p w14:paraId="5324B497" w14:textId="014F22DC" w:rsidR="00C80B3B" w:rsidRPr="003C781B" w:rsidRDefault="007C515E" w:rsidP="008C2683">
      <w:pPr>
        <w:pStyle w:val="Default"/>
        <w:spacing w:after="120"/>
        <w:ind w:left="709" w:hanging="709"/>
        <w:rPr>
          <w:rFonts w:ascii="Trebuchet MS" w:hAnsi="Trebuchet MS"/>
          <w:color w:val="auto"/>
        </w:rPr>
      </w:pPr>
      <w:r>
        <w:rPr>
          <w:rFonts w:ascii="Trebuchet MS" w:hAnsi="Trebuchet MS"/>
          <w:color w:val="auto"/>
        </w:rPr>
        <w:t>2.5.1</w:t>
      </w:r>
      <w:r>
        <w:rPr>
          <w:rFonts w:ascii="Trebuchet MS" w:hAnsi="Trebuchet MS"/>
          <w:color w:val="auto"/>
        </w:rPr>
        <w:tab/>
      </w:r>
      <w:r w:rsidR="003A249C" w:rsidRPr="003C781B">
        <w:rPr>
          <w:rFonts w:ascii="Trebuchet MS" w:hAnsi="Trebuchet MS"/>
          <w:color w:val="auto"/>
        </w:rPr>
        <w:t xml:space="preserve">We have had </w:t>
      </w:r>
      <w:r w:rsidR="008C2683">
        <w:rPr>
          <w:rFonts w:ascii="Trebuchet MS" w:hAnsi="Trebuchet MS"/>
          <w:color w:val="auto"/>
        </w:rPr>
        <w:t>two</w:t>
      </w:r>
      <w:r w:rsidR="003A249C" w:rsidRPr="003C781B">
        <w:rPr>
          <w:rFonts w:ascii="Trebuchet MS" w:hAnsi="Trebuchet MS"/>
          <w:color w:val="auto"/>
        </w:rPr>
        <w:t xml:space="preserve"> grievances raised during 2023-24</w:t>
      </w:r>
      <w:r w:rsidR="00F07D6C" w:rsidRPr="003C781B">
        <w:rPr>
          <w:rFonts w:ascii="Trebuchet MS" w:hAnsi="Trebuchet MS"/>
          <w:color w:val="auto"/>
        </w:rPr>
        <w:t xml:space="preserve"> in relation to pay</w:t>
      </w:r>
      <w:r w:rsidR="008C2683">
        <w:rPr>
          <w:rFonts w:ascii="Trebuchet MS" w:hAnsi="Trebuchet MS"/>
          <w:color w:val="auto"/>
        </w:rPr>
        <w:t xml:space="preserve"> and</w:t>
      </w:r>
      <w:r w:rsidR="003A249C" w:rsidRPr="003C781B">
        <w:rPr>
          <w:rFonts w:ascii="Trebuchet MS" w:hAnsi="Trebuchet MS"/>
          <w:color w:val="auto"/>
        </w:rPr>
        <w:t xml:space="preserve"> these have been concluded.</w:t>
      </w:r>
    </w:p>
    <w:p w14:paraId="0126BDA3" w14:textId="1A581EBE" w:rsidR="003A249C" w:rsidRDefault="007C515E" w:rsidP="008C2683">
      <w:pPr>
        <w:pStyle w:val="Default"/>
        <w:spacing w:after="120"/>
        <w:ind w:left="709" w:hanging="709"/>
        <w:rPr>
          <w:rFonts w:ascii="Trebuchet MS" w:hAnsi="Trebuchet MS"/>
          <w:color w:val="auto"/>
        </w:rPr>
      </w:pPr>
      <w:r>
        <w:rPr>
          <w:rFonts w:ascii="Trebuchet MS" w:hAnsi="Trebuchet MS"/>
          <w:color w:val="auto"/>
        </w:rPr>
        <w:t xml:space="preserve">2.5.2 </w:t>
      </w:r>
      <w:r>
        <w:rPr>
          <w:rFonts w:ascii="Trebuchet MS" w:hAnsi="Trebuchet MS"/>
          <w:color w:val="auto"/>
        </w:rPr>
        <w:tab/>
      </w:r>
      <w:r w:rsidR="003A249C" w:rsidRPr="003C781B">
        <w:rPr>
          <w:rFonts w:ascii="Trebuchet MS" w:hAnsi="Trebuchet MS"/>
          <w:color w:val="auto"/>
        </w:rPr>
        <w:t>There have been no disciplinary proceedings in 2023-24</w:t>
      </w:r>
      <w:r w:rsidR="00750FDC">
        <w:rPr>
          <w:rFonts w:ascii="Trebuchet MS" w:hAnsi="Trebuchet MS"/>
          <w:color w:val="auto"/>
        </w:rPr>
        <w:t>.</w:t>
      </w:r>
    </w:p>
    <w:p w14:paraId="71845AFC" w14:textId="3884A10C" w:rsidR="00750FDC" w:rsidRPr="003C781B" w:rsidRDefault="007C515E" w:rsidP="008C2683">
      <w:pPr>
        <w:pStyle w:val="Default"/>
        <w:spacing w:after="120"/>
        <w:ind w:left="709" w:hanging="709"/>
        <w:rPr>
          <w:rFonts w:ascii="Trebuchet MS" w:hAnsi="Trebuchet MS"/>
          <w:color w:val="auto"/>
        </w:rPr>
      </w:pPr>
      <w:r>
        <w:rPr>
          <w:rFonts w:ascii="Trebuchet MS" w:hAnsi="Trebuchet MS"/>
          <w:color w:val="auto"/>
        </w:rPr>
        <w:t>2.5.3</w:t>
      </w:r>
      <w:r>
        <w:rPr>
          <w:rFonts w:ascii="Trebuchet MS" w:hAnsi="Trebuchet MS"/>
          <w:color w:val="auto"/>
        </w:rPr>
        <w:tab/>
      </w:r>
      <w:r w:rsidR="00750FDC">
        <w:rPr>
          <w:rFonts w:ascii="Trebuchet MS" w:hAnsi="Trebuchet MS"/>
          <w:color w:val="auto"/>
        </w:rPr>
        <w:t xml:space="preserve">This area seems well managed and hopefully with the introduction of the Pay Policy in July and the conclusion of the JEG project </w:t>
      </w:r>
      <w:r w:rsidR="008C2683">
        <w:rPr>
          <w:rFonts w:ascii="Trebuchet MS" w:hAnsi="Trebuchet MS"/>
          <w:color w:val="auto"/>
        </w:rPr>
        <w:t>there</w:t>
      </w:r>
      <w:r w:rsidR="00750FDC">
        <w:rPr>
          <w:rFonts w:ascii="Trebuchet MS" w:hAnsi="Trebuchet MS"/>
          <w:color w:val="auto"/>
        </w:rPr>
        <w:t xml:space="preserve"> will be a reduction in </w:t>
      </w:r>
      <w:r w:rsidR="000D7492">
        <w:rPr>
          <w:rFonts w:ascii="Trebuchet MS" w:hAnsi="Trebuchet MS"/>
          <w:color w:val="auto"/>
        </w:rPr>
        <w:t>pay related grievances.</w:t>
      </w:r>
    </w:p>
    <w:p w14:paraId="25235B87" w14:textId="780FD5F9" w:rsidR="007C515E" w:rsidRPr="005E3CA2" w:rsidRDefault="007C515E" w:rsidP="008C2683">
      <w:pPr>
        <w:pStyle w:val="Default"/>
        <w:spacing w:after="120"/>
        <w:ind w:left="709" w:hanging="851"/>
        <w:rPr>
          <w:rFonts w:ascii="Trebuchet MS" w:hAnsi="Trebuchet MS"/>
          <w:b/>
          <w:bCs/>
          <w:color w:val="auto"/>
        </w:rPr>
      </w:pPr>
      <w:r>
        <w:rPr>
          <w:rFonts w:ascii="Trebuchet MS" w:hAnsi="Trebuchet MS"/>
          <w:b/>
          <w:bCs/>
          <w:color w:val="auto"/>
        </w:rPr>
        <w:t xml:space="preserve">2.6 </w:t>
      </w:r>
      <w:r>
        <w:rPr>
          <w:rFonts w:ascii="Trebuchet MS" w:hAnsi="Trebuchet MS"/>
          <w:b/>
          <w:bCs/>
          <w:color w:val="auto"/>
        </w:rPr>
        <w:tab/>
      </w:r>
      <w:r w:rsidRPr="005E3CA2">
        <w:rPr>
          <w:rFonts w:ascii="Trebuchet MS" w:hAnsi="Trebuchet MS"/>
          <w:b/>
          <w:bCs/>
          <w:color w:val="auto"/>
        </w:rPr>
        <w:t>Recruitment</w:t>
      </w:r>
    </w:p>
    <w:p w14:paraId="587B21EF" w14:textId="67407089" w:rsidR="007C515E" w:rsidRDefault="007C515E" w:rsidP="008C2683">
      <w:pPr>
        <w:pStyle w:val="Default"/>
        <w:spacing w:after="120"/>
        <w:ind w:left="709" w:hanging="851"/>
        <w:rPr>
          <w:rFonts w:ascii="Trebuchet MS" w:hAnsi="Trebuchet MS"/>
          <w:color w:val="auto"/>
        </w:rPr>
      </w:pPr>
      <w:r>
        <w:rPr>
          <w:rFonts w:ascii="Trebuchet MS" w:hAnsi="Trebuchet MS"/>
          <w:color w:val="auto"/>
        </w:rPr>
        <w:t>2.6.1</w:t>
      </w:r>
      <w:r>
        <w:rPr>
          <w:rFonts w:ascii="Trebuchet MS" w:hAnsi="Trebuchet MS"/>
          <w:color w:val="auto"/>
        </w:rPr>
        <w:tab/>
        <w:t xml:space="preserve">We continue to recruit several new staff, figure </w:t>
      </w:r>
      <w:r w:rsidR="006058A4">
        <w:rPr>
          <w:rFonts w:ascii="Trebuchet MS" w:hAnsi="Trebuchet MS"/>
          <w:color w:val="auto"/>
        </w:rPr>
        <w:t xml:space="preserve">6 </w:t>
      </w:r>
      <w:r>
        <w:rPr>
          <w:rFonts w:ascii="Trebuchet MS" w:hAnsi="Trebuchet MS"/>
          <w:color w:val="auto"/>
        </w:rPr>
        <w:t>show</w:t>
      </w:r>
      <w:r w:rsidR="008C2683">
        <w:rPr>
          <w:rFonts w:ascii="Trebuchet MS" w:hAnsi="Trebuchet MS"/>
          <w:color w:val="auto"/>
        </w:rPr>
        <w:t>s</w:t>
      </w:r>
      <w:r>
        <w:rPr>
          <w:rFonts w:ascii="Trebuchet MS" w:hAnsi="Trebuchet MS"/>
          <w:color w:val="auto"/>
        </w:rPr>
        <w:t xml:space="preserve"> the number of vacancies we have advertised by grade.</w:t>
      </w:r>
    </w:p>
    <w:p w14:paraId="06D1AA24" w14:textId="050D3895" w:rsidR="007C515E" w:rsidRDefault="007C515E" w:rsidP="008C2683">
      <w:pPr>
        <w:pStyle w:val="Default"/>
        <w:spacing w:after="120"/>
        <w:ind w:left="720"/>
        <w:rPr>
          <w:rFonts w:ascii="Trebuchet MS" w:hAnsi="Trebuchet MS"/>
          <w:color w:val="auto"/>
        </w:rPr>
      </w:pPr>
      <w:r>
        <w:rPr>
          <w:rFonts w:ascii="Trebuchet MS" w:hAnsi="Trebuchet MS"/>
          <w:color w:val="auto"/>
        </w:rPr>
        <w:t xml:space="preserve">Figure </w:t>
      </w:r>
      <w:r w:rsidR="006058A4">
        <w:rPr>
          <w:rFonts w:ascii="Trebuchet MS" w:hAnsi="Trebuchet MS"/>
          <w:color w:val="auto"/>
        </w:rPr>
        <w:t>6</w:t>
      </w:r>
    </w:p>
    <w:p w14:paraId="3478D22A" w14:textId="77777777" w:rsidR="007C515E" w:rsidRDefault="007C515E" w:rsidP="007C515E">
      <w:pPr>
        <w:pStyle w:val="Default"/>
        <w:spacing w:after="120"/>
        <w:ind w:left="720"/>
        <w:jc w:val="both"/>
        <w:rPr>
          <w:rFonts w:ascii="Trebuchet MS" w:hAnsi="Trebuchet MS"/>
          <w:color w:val="auto"/>
        </w:rPr>
      </w:pPr>
      <w:r>
        <w:rPr>
          <w:noProof/>
          <w:lang w:val="en-GB" w:eastAsia="en-GB"/>
        </w:rPr>
        <w:drawing>
          <wp:inline distT="0" distB="0" distL="0" distR="0" wp14:anchorId="5936A89C" wp14:editId="238E1695">
            <wp:extent cx="5943600" cy="2781300"/>
            <wp:effectExtent l="0" t="0" r="0" b="0"/>
            <wp:docPr id="909553671" name="Chart 1" descr="Number of vacancies advertised by Grade, with a total of 35 vacancies advertised.">
              <a:extLst xmlns:a="http://schemas.openxmlformats.org/drawingml/2006/main">
                <a:ext uri="{FF2B5EF4-FFF2-40B4-BE49-F238E27FC236}">
                  <a16:creationId xmlns:a16="http://schemas.microsoft.com/office/drawing/2014/main" id="{907191BC-68CB-6C67-4B69-B0BD3C677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3BC403" w14:textId="7972CEB6" w:rsidR="00105DF4" w:rsidRPr="00634616" w:rsidRDefault="007C515E" w:rsidP="008C2683">
      <w:pPr>
        <w:pStyle w:val="Default"/>
        <w:spacing w:after="120"/>
        <w:ind w:left="709" w:hanging="709"/>
        <w:rPr>
          <w:rFonts w:ascii="Trebuchet MS" w:hAnsi="Trebuchet MS"/>
          <w:color w:val="auto"/>
        </w:rPr>
      </w:pPr>
      <w:r>
        <w:rPr>
          <w:rFonts w:ascii="Trebuchet MS" w:hAnsi="Trebuchet MS"/>
          <w:color w:val="auto"/>
        </w:rPr>
        <w:t xml:space="preserve">2.6.2 </w:t>
      </w:r>
      <w:r>
        <w:rPr>
          <w:rFonts w:ascii="Trebuchet MS" w:hAnsi="Trebuchet MS"/>
          <w:color w:val="auto"/>
        </w:rPr>
        <w:tab/>
        <w:t>The time to fill a vacancy from opening to offer for grades 3 and above is 7.7 weeks</w:t>
      </w:r>
      <w:r w:rsidR="008C2683">
        <w:rPr>
          <w:rFonts w:ascii="Trebuchet MS" w:hAnsi="Trebuchet MS"/>
          <w:color w:val="auto"/>
        </w:rPr>
        <w:t>,</w:t>
      </w:r>
      <w:r>
        <w:rPr>
          <w:rFonts w:ascii="Trebuchet MS" w:hAnsi="Trebuchet MS"/>
          <w:color w:val="auto"/>
        </w:rPr>
        <w:t xml:space="preserve"> the CIPD metric is 6.4 days. Our investment in the recruitment portal from Oracle Cloud, as per our priorities for this year, should allow us to speed up this process.  While there is no evidence to suggest, we may be losing quality candidates due to the time it takes us to hire.</w:t>
      </w:r>
    </w:p>
    <w:p w14:paraId="4D644EBD" w14:textId="7E8259B2" w:rsidR="00E552FB" w:rsidRPr="00EF5003" w:rsidRDefault="007C515E" w:rsidP="00DC7D6E">
      <w:pPr>
        <w:pStyle w:val="ListParagraph"/>
        <w:ind w:left="851" w:hanging="851"/>
        <w:rPr>
          <w:b/>
          <w:bCs/>
          <w:sz w:val="24"/>
          <w:szCs w:val="24"/>
        </w:rPr>
      </w:pPr>
      <w:r>
        <w:rPr>
          <w:b/>
          <w:bCs/>
          <w:sz w:val="24"/>
          <w:szCs w:val="24"/>
        </w:rPr>
        <w:t xml:space="preserve">2.7 </w:t>
      </w:r>
      <w:r w:rsidR="00E552FB" w:rsidRPr="00EF5003">
        <w:rPr>
          <w:b/>
          <w:bCs/>
          <w:sz w:val="24"/>
          <w:szCs w:val="24"/>
        </w:rPr>
        <w:t xml:space="preserve">Training </w:t>
      </w:r>
    </w:p>
    <w:p w14:paraId="18A69DAB" w14:textId="7B283F64" w:rsidR="00E552FB" w:rsidRPr="00E552FB" w:rsidRDefault="007C515E" w:rsidP="00DC7D6E">
      <w:pPr>
        <w:ind w:left="851" w:hanging="851"/>
        <w:rPr>
          <w:sz w:val="24"/>
          <w:szCs w:val="24"/>
        </w:rPr>
      </w:pPr>
      <w:r>
        <w:rPr>
          <w:sz w:val="24"/>
          <w:szCs w:val="24"/>
        </w:rPr>
        <w:t>2.7.1</w:t>
      </w:r>
      <w:r>
        <w:rPr>
          <w:sz w:val="24"/>
          <w:szCs w:val="24"/>
        </w:rPr>
        <w:tab/>
      </w:r>
      <w:r w:rsidR="00E552FB" w:rsidRPr="00E552FB">
        <w:rPr>
          <w:sz w:val="24"/>
          <w:szCs w:val="24"/>
        </w:rPr>
        <w:t xml:space="preserve">From April 2023 – March 2024, 116 training courses were rolled out with 536 delegates attending across all directorates. The formal evaluations showed that all training courses were well received by delegates and met the training </w:t>
      </w:r>
      <w:r w:rsidR="008C2683">
        <w:rPr>
          <w:sz w:val="24"/>
          <w:szCs w:val="24"/>
        </w:rPr>
        <w:t xml:space="preserve">needs. </w:t>
      </w:r>
      <w:r w:rsidR="008C2683">
        <w:rPr>
          <w:sz w:val="24"/>
          <w:szCs w:val="24"/>
        </w:rPr>
        <w:br/>
      </w:r>
    </w:p>
    <w:p w14:paraId="4AFB5853" w14:textId="77777777" w:rsidR="00E552FB" w:rsidRPr="00E552FB" w:rsidRDefault="00E552FB" w:rsidP="00DC7D6E">
      <w:pPr>
        <w:ind w:left="851" w:hanging="851"/>
        <w:rPr>
          <w:b/>
          <w:bCs/>
          <w:sz w:val="24"/>
          <w:szCs w:val="24"/>
        </w:rPr>
      </w:pPr>
      <w:r w:rsidRPr="00E552FB">
        <w:rPr>
          <w:b/>
          <w:bCs/>
          <w:sz w:val="24"/>
          <w:szCs w:val="24"/>
        </w:rPr>
        <w:t xml:space="preserve">Central Training Plan </w:t>
      </w:r>
    </w:p>
    <w:p w14:paraId="277852A1" w14:textId="65EFC8DD" w:rsidR="00E552FB" w:rsidRPr="00E552FB" w:rsidRDefault="007C515E" w:rsidP="00DC7D6E">
      <w:pPr>
        <w:ind w:left="851" w:hanging="851"/>
        <w:rPr>
          <w:sz w:val="24"/>
          <w:szCs w:val="24"/>
        </w:rPr>
      </w:pPr>
      <w:r>
        <w:rPr>
          <w:sz w:val="24"/>
          <w:szCs w:val="24"/>
        </w:rPr>
        <w:t xml:space="preserve">2.7.2 </w:t>
      </w:r>
      <w:r>
        <w:rPr>
          <w:sz w:val="24"/>
          <w:szCs w:val="24"/>
        </w:rPr>
        <w:tab/>
      </w:r>
      <w:r w:rsidR="00E552FB" w:rsidRPr="00E552FB">
        <w:rPr>
          <w:sz w:val="24"/>
          <w:szCs w:val="24"/>
        </w:rPr>
        <w:t>From April 2023-March 2024, the total cost of the central training plan was £129,754</w:t>
      </w:r>
      <w:r w:rsidR="00E552FB" w:rsidRPr="00E552FB">
        <w:rPr>
          <w:b/>
          <w:bCs/>
          <w:sz w:val="24"/>
          <w:szCs w:val="24"/>
        </w:rPr>
        <w:t xml:space="preserve">. </w:t>
      </w:r>
      <w:r w:rsidR="00E552FB" w:rsidRPr="00E552FB">
        <w:rPr>
          <w:sz w:val="24"/>
          <w:szCs w:val="24"/>
        </w:rPr>
        <w:t xml:space="preserve">The core focus of the training plan was: </w:t>
      </w:r>
    </w:p>
    <w:p w14:paraId="4E06A23C" w14:textId="1DA15C01" w:rsidR="00E552FB" w:rsidRPr="00E552FB" w:rsidRDefault="00E552FB" w:rsidP="00DC7D6E">
      <w:pPr>
        <w:pStyle w:val="ListParagraph"/>
        <w:numPr>
          <w:ilvl w:val="0"/>
          <w:numId w:val="37"/>
        </w:numPr>
        <w:ind w:left="1418" w:hanging="284"/>
        <w:contextualSpacing w:val="0"/>
        <w:rPr>
          <w:rFonts w:eastAsia="Times New Roman"/>
          <w:sz w:val="24"/>
          <w:szCs w:val="24"/>
        </w:rPr>
      </w:pPr>
      <w:r w:rsidRPr="003A249C">
        <w:rPr>
          <w:rFonts w:eastAsia="Times New Roman"/>
          <w:sz w:val="24"/>
          <w:szCs w:val="24"/>
        </w:rPr>
        <w:lastRenderedPageBreak/>
        <w:t>Leadership &amp; Management Development</w:t>
      </w:r>
      <w:r w:rsidRPr="00E552FB">
        <w:rPr>
          <w:rFonts w:eastAsia="Times New Roman"/>
          <w:sz w:val="24"/>
          <w:szCs w:val="24"/>
        </w:rPr>
        <w:t xml:space="preserve"> (Think Works </w:t>
      </w:r>
      <w:r w:rsidR="008C2683" w:rsidRPr="00E552FB">
        <w:rPr>
          <w:rFonts w:eastAsia="Times New Roman"/>
          <w:sz w:val="24"/>
          <w:szCs w:val="24"/>
        </w:rPr>
        <w:t>leadership &amp; management development programme</w:t>
      </w:r>
      <w:r w:rsidRPr="00E552FB">
        <w:rPr>
          <w:rFonts w:eastAsia="Times New Roman"/>
          <w:sz w:val="24"/>
          <w:szCs w:val="24"/>
        </w:rPr>
        <w:t xml:space="preserve">, </w:t>
      </w:r>
      <w:r w:rsidR="008C2683">
        <w:rPr>
          <w:rFonts w:eastAsia="Times New Roman"/>
          <w:sz w:val="24"/>
          <w:szCs w:val="24"/>
        </w:rPr>
        <w:t>one-to-one</w:t>
      </w:r>
      <w:r w:rsidRPr="00E552FB">
        <w:rPr>
          <w:rFonts w:eastAsia="Times New Roman"/>
          <w:sz w:val="24"/>
          <w:szCs w:val="24"/>
        </w:rPr>
        <w:t xml:space="preserve"> Management Coaching </w:t>
      </w:r>
      <w:r w:rsidR="008C2683">
        <w:rPr>
          <w:rFonts w:eastAsia="Times New Roman"/>
          <w:sz w:val="24"/>
          <w:szCs w:val="24"/>
        </w:rPr>
        <w:t>and</w:t>
      </w:r>
      <w:r w:rsidRPr="00E552FB">
        <w:rPr>
          <w:rFonts w:eastAsia="Times New Roman"/>
          <w:sz w:val="24"/>
          <w:szCs w:val="24"/>
        </w:rPr>
        <w:t xml:space="preserve"> External Leadership Courses) = </w:t>
      </w:r>
      <w:r w:rsidRPr="00E552FB">
        <w:rPr>
          <w:rFonts w:eastAsia="Times New Roman"/>
          <w:b/>
          <w:bCs/>
          <w:sz w:val="24"/>
          <w:szCs w:val="24"/>
        </w:rPr>
        <w:t>48%</w:t>
      </w:r>
    </w:p>
    <w:p w14:paraId="6F8AB707" w14:textId="646E4FC8" w:rsidR="00E552FB" w:rsidRPr="00E552FB" w:rsidRDefault="00E552FB" w:rsidP="00DC7D6E">
      <w:pPr>
        <w:pStyle w:val="ListParagraph"/>
        <w:numPr>
          <w:ilvl w:val="0"/>
          <w:numId w:val="37"/>
        </w:numPr>
        <w:ind w:left="1418" w:hanging="284"/>
        <w:contextualSpacing w:val="0"/>
        <w:rPr>
          <w:rFonts w:eastAsia="Times New Roman"/>
          <w:sz w:val="24"/>
          <w:szCs w:val="24"/>
        </w:rPr>
      </w:pPr>
      <w:r w:rsidRPr="003A249C">
        <w:rPr>
          <w:rFonts w:eastAsia="Times New Roman"/>
          <w:sz w:val="24"/>
          <w:szCs w:val="24"/>
        </w:rPr>
        <w:t>Health &amp; Wellbeing</w:t>
      </w:r>
      <w:r w:rsidRPr="00E552FB">
        <w:rPr>
          <w:rFonts w:eastAsia="Times New Roman"/>
          <w:sz w:val="24"/>
          <w:szCs w:val="24"/>
        </w:rPr>
        <w:t xml:space="preserve"> (Mental Health Awareness, Health &amp; Wellbeing Conferences </w:t>
      </w:r>
      <w:r w:rsidR="008C2683">
        <w:rPr>
          <w:rFonts w:eastAsia="Times New Roman"/>
          <w:sz w:val="24"/>
          <w:szCs w:val="24"/>
        </w:rPr>
        <w:t>and</w:t>
      </w:r>
      <w:r w:rsidRPr="00E552FB">
        <w:rPr>
          <w:rFonts w:eastAsia="Times New Roman"/>
          <w:sz w:val="24"/>
          <w:szCs w:val="24"/>
        </w:rPr>
        <w:t xml:space="preserve"> Neurodiversity Conferences) =</w:t>
      </w:r>
      <w:r w:rsidRPr="00E552FB">
        <w:rPr>
          <w:rFonts w:eastAsia="Times New Roman"/>
          <w:b/>
          <w:bCs/>
          <w:sz w:val="24"/>
          <w:szCs w:val="24"/>
        </w:rPr>
        <w:t xml:space="preserve"> 7%</w:t>
      </w:r>
      <w:r w:rsidRPr="00E552FB">
        <w:rPr>
          <w:rFonts w:eastAsia="Times New Roman"/>
          <w:sz w:val="24"/>
          <w:szCs w:val="24"/>
        </w:rPr>
        <w:t xml:space="preserve"> </w:t>
      </w:r>
    </w:p>
    <w:p w14:paraId="379C8293" w14:textId="11A680DB" w:rsidR="00E552FB" w:rsidRPr="00E552FB" w:rsidRDefault="00E552FB" w:rsidP="00DC7D6E">
      <w:pPr>
        <w:pStyle w:val="ListParagraph"/>
        <w:numPr>
          <w:ilvl w:val="0"/>
          <w:numId w:val="37"/>
        </w:numPr>
        <w:ind w:left="1418" w:hanging="284"/>
        <w:contextualSpacing w:val="0"/>
        <w:rPr>
          <w:rFonts w:eastAsia="Times New Roman"/>
          <w:sz w:val="24"/>
          <w:szCs w:val="24"/>
        </w:rPr>
      </w:pPr>
      <w:r w:rsidRPr="003A249C">
        <w:rPr>
          <w:rFonts w:eastAsia="Times New Roman"/>
          <w:sz w:val="24"/>
          <w:szCs w:val="24"/>
        </w:rPr>
        <w:t>Digital Skills</w:t>
      </w:r>
      <w:r w:rsidRPr="00E552FB">
        <w:rPr>
          <w:rFonts w:eastAsia="Times New Roman"/>
          <w:sz w:val="24"/>
          <w:szCs w:val="24"/>
        </w:rPr>
        <w:t xml:space="preserve"> = </w:t>
      </w:r>
      <w:r w:rsidRPr="008C2683">
        <w:rPr>
          <w:rFonts w:eastAsia="Times New Roman"/>
          <w:b/>
          <w:bCs/>
          <w:sz w:val="24"/>
          <w:szCs w:val="24"/>
        </w:rPr>
        <w:t>4%</w:t>
      </w:r>
      <w:r w:rsidR="008C2683">
        <w:rPr>
          <w:rFonts w:eastAsia="Times New Roman"/>
          <w:sz w:val="24"/>
          <w:szCs w:val="24"/>
        </w:rPr>
        <w:t>.</w:t>
      </w:r>
    </w:p>
    <w:p w14:paraId="01FCA404" w14:textId="77777777" w:rsidR="007C515E" w:rsidRDefault="007C515E" w:rsidP="007C515E">
      <w:pPr>
        <w:ind w:left="851" w:hanging="851"/>
        <w:rPr>
          <w:sz w:val="24"/>
          <w:szCs w:val="24"/>
        </w:rPr>
      </w:pPr>
    </w:p>
    <w:p w14:paraId="39DB6847" w14:textId="02F20E91" w:rsidR="00F07D6C" w:rsidRPr="008C2683" w:rsidRDefault="007C515E" w:rsidP="008C2683">
      <w:pPr>
        <w:ind w:left="851" w:hanging="851"/>
        <w:rPr>
          <w:sz w:val="22"/>
          <w:szCs w:val="22"/>
        </w:rPr>
      </w:pPr>
      <w:r>
        <w:rPr>
          <w:sz w:val="24"/>
          <w:szCs w:val="24"/>
        </w:rPr>
        <w:t xml:space="preserve">2.7.3 </w:t>
      </w:r>
      <w:r>
        <w:rPr>
          <w:sz w:val="24"/>
          <w:szCs w:val="24"/>
        </w:rPr>
        <w:tab/>
      </w:r>
      <w:r w:rsidR="00E552FB" w:rsidRPr="00E552FB">
        <w:rPr>
          <w:sz w:val="24"/>
          <w:szCs w:val="24"/>
        </w:rPr>
        <w:t>Additionally, there was a variety of ad hoc training courses covering: Train the trainer, Health &amp; Safety, Prince 2 Agile and Equalities</w:t>
      </w:r>
      <w:r w:rsidR="00E552FB" w:rsidRPr="00E552FB">
        <w:rPr>
          <w:sz w:val="22"/>
          <w:szCs w:val="22"/>
        </w:rPr>
        <w:t xml:space="preserve">. </w:t>
      </w:r>
      <w:r w:rsidR="008C2683">
        <w:rPr>
          <w:sz w:val="22"/>
          <w:szCs w:val="22"/>
        </w:rPr>
        <w:br/>
      </w:r>
    </w:p>
    <w:p w14:paraId="19ED2F36" w14:textId="1B2595B0" w:rsidR="00EF5003" w:rsidRDefault="007C515E" w:rsidP="008C2683">
      <w:pPr>
        <w:pStyle w:val="Default"/>
        <w:spacing w:after="120"/>
        <w:ind w:left="851" w:hanging="851"/>
        <w:rPr>
          <w:rFonts w:ascii="Trebuchet MS" w:hAnsi="Trebuchet MS"/>
          <w:color w:val="auto"/>
        </w:rPr>
      </w:pPr>
      <w:r>
        <w:rPr>
          <w:rFonts w:ascii="Trebuchet MS" w:hAnsi="Trebuchet MS"/>
          <w:color w:val="auto"/>
        </w:rPr>
        <w:t xml:space="preserve">2.7.4 </w:t>
      </w:r>
      <w:r>
        <w:rPr>
          <w:rFonts w:ascii="Trebuchet MS" w:hAnsi="Trebuchet MS"/>
          <w:color w:val="auto"/>
        </w:rPr>
        <w:tab/>
      </w:r>
      <w:r w:rsidR="000D7492">
        <w:rPr>
          <w:rFonts w:ascii="Trebuchet MS" w:hAnsi="Trebuchet MS"/>
          <w:color w:val="auto"/>
        </w:rPr>
        <w:t xml:space="preserve">We continue to invest heavily in the skills of our staff and have focused on Leadership and management this year. This is a 12-month program to support managers to identify their leadership style and to support teams with change. </w:t>
      </w:r>
      <w:r w:rsidR="0021370F">
        <w:rPr>
          <w:rFonts w:ascii="Trebuchet MS" w:hAnsi="Trebuchet MS"/>
          <w:color w:val="auto"/>
        </w:rPr>
        <w:t>This programme will be rolled out to the next tier of managers.</w:t>
      </w:r>
    </w:p>
    <w:p w14:paraId="0D462651" w14:textId="0BEC3F95" w:rsidR="000D7492" w:rsidRPr="00105DF4" w:rsidRDefault="007C515E" w:rsidP="008C2683">
      <w:pPr>
        <w:pStyle w:val="Default"/>
        <w:spacing w:after="120"/>
        <w:ind w:left="851" w:hanging="851"/>
        <w:rPr>
          <w:rFonts w:ascii="Trebuchet MS" w:hAnsi="Trebuchet MS"/>
          <w:color w:val="auto"/>
        </w:rPr>
      </w:pPr>
      <w:r>
        <w:rPr>
          <w:rFonts w:ascii="Trebuchet MS" w:hAnsi="Trebuchet MS"/>
          <w:color w:val="auto"/>
        </w:rPr>
        <w:t>2.7.5</w:t>
      </w:r>
      <w:r>
        <w:rPr>
          <w:rFonts w:ascii="Trebuchet MS" w:hAnsi="Trebuchet MS"/>
          <w:color w:val="auto"/>
        </w:rPr>
        <w:tab/>
      </w:r>
      <w:r w:rsidR="000D7492">
        <w:rPr>
          <w:rFonts w:ascii="Trebuchet MS" w:hAnsi="Trebuchet MS"/>
          <w:color w:val="auto"/>
        </w:rPr>
        <w:t>Over the next year we will deliver a performance policy and a learning and development policy and develop a performance framework. This will support SLAB to develop a learning approach.</w:t>
      </w:r>
      <w:r w:rsidR="00967478">
        <w:rPr>
          <w:rFonts w:ascii="Trebuchet MS" w:hAnsi="Trebuchet MS"/>
          <w:color w:val="auto"/>
        </w:rPr>
        <w:t xml:space="preserve"> One of the key priorities for 2024-25 is to </w:t>
      </w:r>
      <w:r w:rsidR="0021370F">
        <w:rPr>
          <w:rFonts w:ascii="Trebuchet MS" w:hAnsi="Trebuchet MS"/>
          <w:color w:val="auto"/>
        </w:rPr>
        <w:t>review/investigate trauma informed organization, depending on the outcome significant investment in training may be required.</w:t>
      </w:r>
    </w:p>
    <w:p w14:paraId="590FC84A" w14:textId="5E7787B7" w:rsidR="00105DF4" w:rsidRDefault="00105DF4" w:rsidP="00DC7D6E"/>
    <w:p w14:paraId="23479D8A" w14:textId="0095AA06" w:rsidR="00C80B3B" w:rsidRPr="00EF5003" w:rsidRDefault="007C515E" w:rsidP="008C2683">
      <w:pPr>
        <w:pStyle w:val="Default"/>
        <w:spacing w:after="120"/>
        <w:rPr>
          <w:rFonts w:ascii="Trebuchet MS" w:hAnsi="Trebuchet MS"/>
          <w:b/>
          <w:bCs/>
          <w:color w:val="auto"/>
        </w:rPr>
      </w:pPr>
      <w:r>
        <w:rPr>
          <w:rFonts w:ascii="Trebuchet MS" w:hAnsi="Trebuchet MS"/>
          <w:b/>
          <w:bCs/>
          <w:color w:val="auto"/>
        </w:rPr>
        <w:t>2.8</w:t>
      </w:r>
      <w:r>
        <w:rPr>
          <w:rFonts w:ascii="Trebuchet MS" w:hAnsi="Trebuchet MS"/>
          <w:b/>
          <w:bCs/>
          <w:color w:val="auto"/>
        </w:rPr>
        <w:tab/>
      </w:r>
      <w:r w:rsidR="00C80B3B" w:rsidRPr="00EF5003">
        <w:rPr>
          <w:rFonts w:ascii="Trebuchet MS" w:hAnsi="Trebuchet MS"/>
          <w:b/>
          <w:bCs/>
          <w:color w:val="auto"/>
        </w:rPr>
        <w:t>Gender pay gap</w:t>
      </w:r>
    </w:p>
    <w:p w14:paraId="0D738AAE" w14:textId="3FA0ECEC" w:rsidR="00F926AA" w:rsidRDefault="000D7492" w:rsidP="008C2683">
      <w:pPr>
        <w:pStyle w:val="Default"/>
        <w:spacing w:after="120"/>
        <w:ind w:left="567"/>
        <w:rPr>
          <w:rFonts w:ascii="Trebuchet MS" w:hAnsi="Trebuchet MS"/>
          <w:color w:val="auto"/>
        </w:rPr>
      </w:pPr>
      <w:r>
        <w:rPr>
          <w:rFonts w:ascii="Trebuchet MS" w:hAnsi="Trebuchet MS"/>
          <w:color w:val="auto"/>
        </w:rPr>
        <w:t xml:space="preserve">Figure 7. </w:t>
      </w:r>
      <w:r w:rsidR="00F926AA">
        <w:rPr>
          <w:rFonts w:ascii="Trebuchet MS" w:hAnsi="Trebuchet MS"/>
          <w:color w:val="auto"/>
        </w:rPr>
        <w:t xml:space="preserve">Proportion of male and females when divided into </w:t>
      </w:r>
      <w:r w:rsidR="008C2683">
        <w:rPr>
          <w:rFonts w:ascii="Trebuchet MS" w:hAnsi="Trebuchet MS"/>
          <w:color w:val="auto"/>
        </w:rPr>
        <w:t>four</w:t>
      </w:r>
      <w:r w:rsidR="00F926AA">
        <w:rPr>
          <w:rFonts w:ascii="Trebuchet MS" w:hAnsi="Trebuchet MS"/>
          <w:color w:val="auto"/>
        </w:rPr>
        <w:t xml:space="preserve"> pay quartiles</w:t>
      </w:r>
      <w:r w:rsidR="009D3109">
        <w:rPr>
          <w:rFonts w:ascii="Trebuchet MS" w:hAnsi="Trebuchet MS"/>
          <w:color w:val="auto"/>
        </w:rPr>
        <w:t xml:space="preserve"> by hourly rate</w:t>
      </w:r>
      <w:r w:rsidR="008C2683">
        <w:rPr>
          <w:rFonts w:ascii="Trebuchet MS" w:hAnsi="Trebuchet MS"/>
          <w:color w:val="auto"/>
        </w:rPr>
        <w:t>.</w:t>
      </w:r>
    </w:p>
    <w:tbl>
      <w:tblPr>
        <w:tblW w:w="9468" w:type="dxa"/>
        <w:tblInd w:w="597" w:type="dxa"/>
        <w:tblLook w:val="04A0" w:firstRow="1" w:lastRow="0" w:firstColumn="1" w:lastColumn="0" w:noHBand="0" w:noVBand="1"/>
      </w:tblPr>
      <w:tblGrid>
        <w:gridCol w:w="527"/>
        <w:gridCol w:w="2017"/>
        <w:gridCol w:w="1417"/>
        <w:gridCol w:w="1418"/>
        <w:gridCol w:w="1559"/>
        <w:gridCol w:w="1276"/>
        <w:gridCol w:w="1276"/>
      </w:tblGrid>
      <w:tr w:rsidR="008C2683" w:rsidRPr="008C2683" w14:paraId="5799C72D" w14:textId="77777777" w:rsidTr="008C2683">
        <w:trPr>
          <w:trHeight w:val="310"/>
        </w:trPr>
        <w:tc>
          <w:tcPr>
            <w:tcW w:w="505" w:type="dxa"/>
            <w:tcBorders>
              <w:top w:val="nil"/>
              <w:left w:val="nil"/>
              <w:bottom w:val="nil"/>
              <w:right w:val="nil"/>
            </w:tcBorders>
            <w:shd w:val="clear" w:color="auto" w:fill="auto"/>
            <w:noWrap/>
            <w:vAlign w:val="bottom"/>
            <w:hideMark/>
          </w:tcPr>
          <w:p w14:paraId="27C108C5" w14:textId="77777777" w:rsidR="008C2683" w:rsidRPr="008C2683" w:rsidRDefault="008C2683" w:rsidP="008C2683">
            <w:pPr>
              <w:rPr>
                <w:rFonts w:ascii="Times New Roman" w:eastAsia="Times New Roman" w:hAnsi="Times New Roman" w:cs="Times New Roman"/>
                <w:sz w:val="24"/>
                <w:szCs w:val="24"/>
                <w:lang w:eastAsia="en-GB"/>
              </w:rPr>
            </w:pPr>
          </w:p>
        </w:tc>
        <w:tc>
          <w:tcPr>
            <w:tcW w:w="2017" w:type="dxa"/>
            <w:tcBorders>
              <w:top w:val="nil"/>
              <w:left w:val="nil"/>
              <w:bottom w:val="nil"/>
              <w:right w:val="nil"/>
            </w:tcBorders>
            <w:shd w:val="clear" w:color="auto" w:fill="auto"/>
            <w:noWrap/>
            <w:vAlign w:val="bottom"/>
            <w:hideMark/>
          </w:tcPr>
          <w:p w14:paraId="337A4250" w14:textId="77777777" w:rsidR="008C2683" w:rsidRPr="008C2683" w:rsidRDefault="008C2683" w:rsidP="008C2683">
            <w:pPr>
              <w:rPr>
                <w:rFonts w:ascii="Times New Roman" w:eastAsia="Times New Roman" w:hAnsi="Times New Roman" w:cs="Times New Roman"/>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744EBB3F"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Total</w:t>
            </w:r>
          </w:p>
        </w:tc>
        <w:tc>
          <w:tcPr>
            <w:tcW w:w="1418"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0B7244F8"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Males</w:t>
            </w:r>
          </w:p>
        </w:tc>
        <w:tc>
          <w:tcPr>
            <w:tcW w:w="1559"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39CC92EB"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Females</w:t>
            </w:r>
          </w:p>
        </w:tc>
        <w:tc>
          <w:tcPr>
            <w:tcW w:w="1276"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782D1D61" w14:textId="5AD9323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 xml:space="preserve">Male </w:t>
            </w:r>
            <w:r w:rsidRPr="008C2683">
              <w:rPr>
                <w:rFonts w:eastAsia="Times New Roman" w:cs="Times New Roman"/>
                <w:b/>
                <w:bCs/>
                <w:color w:val="000000"/>
                <w:sz w:val="24"/>
                <w:szCs w:val="24"/>
                <w:lang w:eastAsia="en-GB"/>
              </w:rPr>
              <w:br/>
            </w:r>
            <w:r w:rsidRPr="008C2683">
              <w:rPr>
                <w:rFonts w:eastAsia="Times New Roman" w:cs="Times New Roman"/>
                <w:b/>
                <w:bCs/>
                <w:color w:val="000000"/>
                <w:sz w:val="24"/>
                <w:szCs w:val="24"/>
                <w:lang w:eastAsia="en-GB"/>
              </w:rPr>
              <w:t>%</w:t>
            </w:r>
          </w:p>
        </w:tc>
        <w:tc>
          <w:tcPr>
            <w:tcW w:w="1276"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75CD1489" w14:textId="59F303C2"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 xml:space="preserve">Female </w:t>
            </w:r>
            <w:r w:rsidRPr="008C2683">
              <w:rPr>
                <w:rFonts w:eastAsia="Times New Roman" w:cs="Times New Roman"/>
                <w:b/>
                <w:bCs/>
                <w:color w:val="000000"/>
                <w:sz w:val="24"/>
                <w:szCs w:val="24"/>
                <w:lang w:eastAsia="en-GB"/>
              </w:rPr>
              <w:br/>
            </w:r>
            <w:r w:rsidRPr="008C2683">
              <w:rPr>
                <w:rFonts w:eastAsia="Times New Roman" w:cs="Times New Roman"/>
                <w:b/>
                <w:bCs/>
                <w:color w:val="000000"/>
                <w:sz w:val="24"/>
                <w:szCs w:val="24"/>
                <w:lang w:eastAsia="en-GB"/>
              </w:rPr>
              <w:t>%</w:t>
            </w:r>
          </w:p>
        </w:tc>
      </w:tr>
      <w:tr w:rsidR="008C2683" w:rsidRPr="008C2683" w14:paraId="0E455DE3" w14:textId="77777777" w:rsidTr="008C2683">
        <w:trPr>
          <w:trHeight w:val="310"/>
        </w:trPr>
        <w:tc>
          <w:tcPr>
            <w:tcW w:w="505"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417AE97B"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 xml:space="preserve">Q1 </w:t>
            </w:r>
          </w:p>
        </w:tc>
        <w:tc>
          <w:tcPr>
            <w:tcW w:w="2017" w:type="dxa"/>
            <w:tcBorders>
              <w:top w:val="single" w:sz="4" w:space="0" w:color="auto"/>
              <w:left w:val="nil"/>
              <w:bottom w:val="single" w:sz="4" w:space="0" w:color="auto"/>
              <w:right w:val="single" w:sz="4" w:space="0" w:color="auto"/>
            </w:tcBorders>
            <w:shd w:val="clear" w:color="auto" w:fill="auto"/>
            <w:noWrap/>
            <w:vAlign w:val="bottom"/>
            <w:hideMark/>
          </w:tcPr>
          <w:p w14:paraId="235BEF3F"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12.35-15.11</w:t>
            </w:r>
          </w:p>
        </w:tc>
        <w:tc>
          <w:tcPr>
            <w:tcW w:w="1417" w:type="dxa"/>
            <w:tcBorders>
              <w:top w:val="nil"/>
              <w:left w:val="nil"/>
              <w:bottom w:val="single" w:sz="4" w:space="0" w:color="auto"/>
              <w:right w:val="single" w:sz="4" w:space="0" w:color="auto"/>
            </w:tcBorders>
            <w:shd w:val="clear" w:color="auto" w:fill="auto"/>
            <w:noWrap/>
            <w:vAlign w:val="bottom"/>
            <w:hideMark/>
          </w:tcPr>
          <w:p w14:paraId="18F61C61"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95</w:t>
            </w:r>
          </w:p>
        </w:tc>
        <w:tc>
          <w:tcPr>
            <w:tcW w:w="1418" w:type="dxa"/>
            <w:tcBorders>
              <w:top w:val="nil"/>
              <w:left w:val="nil"/>
              <w:bottom w:val="single" w:sz="4" w:space="0" w:color="auto"/>
              <w:right w:val="single" w:sz="4" w:space="0" w:color="auto"/>
            </w:tcBorders>
            <w:shd w:val="clear" w:color="auto" w:fill="auto"/>
            <w:noWrap/>
            <w:vAlign w:val="bottom"/>
            <w:hideMark/>
          </w:tcPr>
          <w:p w14:paraId="34AB7C92"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34</w:t>
            </w:r>
          </w:p>
        </w:tc>
        <w:tc>
          <w:tcPr>
            <w:tcW w:w="1559" w:type="dxa"/>
            <w:tcBorders>
              <w:top w:val="nil"/>
              <w:left w:val="nil"/>
              <w:bottom w:val="single" w:sz="4" w:space="0" w:color="auto"/>
              <w:right w:val="single" w:sz="4" w:space="0" w:color="auto"/>
            </w:tcBorders>
            <w:shd w:val="clear" w:color="auto" w:fill="auto"/>
            <w:noWrap/>
            <w:vAlign w:val="bottom"/>
            <w:hideMark/>
          </w:tcPr>
          <w:p w14:paraId="31D6C3E2"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61</w:t>
            </w:r>
          </w:p>
        </w:tc>
        <w:tc>
          <w:tcPr>
            <w:tcW w:w="1276" w:type="dxa"/>
            <w:tcBorders>
              <w:top w:val="nil"/>
              <w:left w:val="nil"/>
              <w:bottom w:val="single" w:sz="4" w:space="0" w:color="auto"/>
              <w:right w:val="single" w:sz="4" w:space="0" w:color="auto"/>
            </w:tcBorders>
            <w:shd w:val="clear" w:color="auto" w:fill="auto"/>
            <w:noWrap/>
            <w:vAlign w:val="bottom"/>
            <w:hideMark/>
          </w:tcPr>
          <w:p w14:paraId="17257C96"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35.80%</w:t>
            </w:r>
          </w:p>
        </w:tc>
        <w:tc>
          <w:tcPr>
            <w:tcW w:w="1276" w:type="dxa"/>
            <w:tcBorders>
              <w:top w:val="nil"/>
              <w:left w:val="nil"/>
              <w:bottom w:val="single" w:sz="4" w:space="0" w:color="auto"/>
              <w:right w:val="single" w:sz="4" w:space="0" w:color="auto"/>
            </w:tcBorders>
            <w:shd w:val="clear" w:color="auto" w:fill="auto"/>
            <w:noWrap/>
            <w:vAlign w:val="bottom"/>
            <w:hideMark/>
          </w:tcPr>
          <w:p w14:paraId="142944E9"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64.20%</w:t>
            </w:r>
          </w:p>
        </w:tc>
      </w:tr>
      <w:tr w:rsidR="008C2683" w:rsidRPr="008C2683" w14:paraId="11F3EA13" w14:textId="77777777" w:rsidTr="008C2683">
        <w:trPr>
          <w:trHeight w:val="310"/>
        </w:trPr>
        <w:tc>
          <w:tcPr>
            <w:tcW w:w="505"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162F8CA2"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Q2</w:t>
            </w:r>
          </w:p>
        </w:tc>
        <w:tc>
          <w:tcPr>
            <w:tcW w:w="2017" w:type="dxa"/>
            <w:tcBorders>
              <w:top w:val="nil"/>
              <w:left w:val="nil"/>
              <w:bottom w:val="single" w:sz="4" w:space="0" w:color="auto"/>
              <w:right w:val="single" w:sz="4" w:space="0" w:color="auto"/>
            </w:tcBorders>
            <w:shd w:val="clear" w:color="auto" w:fill="auto"/>
            <w:noWrap/>
            <w:vAlign w:val="bottom"/>
            <w:hideMark/>
          </w:tcPr>
          <w:p w14:paraId="3932DB0C"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15.11-19.10</w:t>
            </w:r>
          </w:p>
        </w:tc>
        <w:tc>
          <w:tcPr>
            <w:tcW w:w="1417" w:type="dxa"/>
            <w:tcBorders>
              <w:top w:val="nil"/>
              <w:left w:val="nil"/>
              <w:bottom w:val="single" w:sz="4" w:space="0" w:color="auto"/>
              <w:right w:val="single" w:sz="4" w:space="0" w:color="auto"/>
            </w:tcBorders>
            <w:shd w:val="clear" w:color="auto" w:fill="auto"/>
            <w:noWrap/>
            <w:vAlign w:val="bottom"/>
            <w:hideMark/>
          </w:tcPr>
          <w:p w14:paraId="6F0A3E0A"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95</w:t>
            </w:r>
          </w:p>
        </w:tc>
        <w:tc>
          <w:tcPr>
            <w:tcW w:w="1418" w:type="dxa"/>
            <w:tcBorders>
              <w:top w:val="nil"/>
              <w:left w:val="nil"/>
              <w:bottom w:val="single" w:sz="4" w:space="0" w:color="auto"/>
              <w:right w:val="single" w:sz="4" w:space="0" w:color="auto"/>
            </w:tcBorders>
            <w:shd w:val="clear" w:color="auto" w:fill="auto"/>
            <w:noWrap/>
            <w:vAlign w:val="bottom"/>
            <w:hideMark/>
          </w:tcPr>
          <w:p w14:paraId="76FAE7F0"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16</w:t>
            </w:r>
          </w:p>
        </w:tc>
        <w:tc>
          <w:tcPr>
            <w:tcW w:w="1559" w:type="dxa"/>
            <w:tcBorders>
              <w:top w:val="nil"/>
              <w:left w:val="nil"/>
              <w:bottom w:val="single" w:sz="4" w:space="0" w:color="auto"/>
              <w:right w:val="single" w:sz="4" w:space="0" w:color="auto"/>
            </w:tcBorders>
            <w:shd w:val="clear" w:color="auto" w:fill="auto"/>
            <w:noWrap/>
            <w:vAlign w:val="bottom"/>
            <w:hideMark/>
          </w:tcPr>
          <w:p w14:paraId="12A0C805"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79</w:t>
            </w:r>
          </w:p>
        </w:tc>
        <w:tc>
          <w:tcPr>
            <w:tcW w:w="1276" w:type="dxa"/>
            <w:tcBorders>
              <w:top w:val="nil"/>
              <w:left w:val="nil"/>
              <w:bottom w:val="single" w:sz="4" w:space="0" w:color="auto"/>
              <w:right w:val="single" w:sz="4" w:space="0" w:color="auto"/>
            </w:tcBorders>
            <w:shd w:val="clear" w:color="auto" w:fill="auto"/>
            <w:noWrap/>
            <w:vAlign w:val="bottom"/>
            <w:hideMark/>
          </w:tcPr>
          <w:p w14:paraId="3D261599"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16.80%</w:t>
            </w:r>
          </w:p>
        </w:tc>
        <w:tc>
          <w:tcPr>
            <w:tcW w:w="1276" w:type="dxa"/>
            <w:tcBorders>
              <w:top w:val="nil"/>
              <w:left w:val="nil"/>
              <w:bottom w:val="single" w:sz="4" w:space="0" w:color="auto"/>
              <w:right w:val="single" w:sz="4" w:space="0" w:color="auto"/>
            </w:tcBorders>
            <w:shd w:val="clear" w:color="auto" w:fill="auto"/>
            <w:noWrap/>
            <w:vAlign w:val="bottom"/>
            <w:hideMark/>
          </w:tcPr>
          <w:p w14:paraId="791767BE"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83.20%</w:t>
            </w:r>
          </w:p>
        </w:tc>
      </w:tr>
      <w:tr w:rsidR="008C2683" w:rsidRPr="008C2683" w14:paraId="126E2D49" w14:textId="77777777" w:rsidTr="008C2683">
        <w:trPr>
          <w:trHeight w:val="310"/>
        </w:trPr>
        <w:tc>
          <w:tcPr>
            <w:tcW w:w="505"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55678CBB"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Q3</w:t>
            </w:r>
          </w:p>
        </w:tc>
        <w:tc>
          <w:tcPr>
            <w:tcW w:w="2017" w:type="dxa"/>
            <w:tcBorders>
              <w:top w:val="nil"/>
              <w:left w:val="nil"/>
              <w:bottom w:val="single" w:sz="4" w:space="0" w:color="auto"/>
              <w:right w:val="single" w:sz="4" w:space="0" w:color="auto"/>
            </w:tcBorders>
            <w:shd w:val="clear" w:color="auto" w:fill="auto"/>
            <w:noWrap/>
            <w:vAlign w:val="bottom"/>
            <w:hideMark/>
          </w:tcPr>
          <w:p w14:paraId="008EB3C2"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19.10-27.60</w:t>
            </w:r>
          </w:p>
        </w:tc>
        <w:tc>
          <w:tcPr>
            <w:tcW w:w="1417" w:type="dxa"/>
            <w:tcBorders>
              <w:top w:val="nil"/>
              <w:left w:val="nil"/>
              <w:bottom w:val="single" w:sz="4" w:space="0" w:color="auto"/>
              <w:right w:val="single" w:sz="4" w:space="0" w:color="auto"/>
            </w:tcBorders>
            <w:shd w:val="clear" w:color="auto" w:fill="auto"/>
            <w:noWrap/>
            <w:vAlign w:val="bottom"/>
            <w:hideMark/>
          </w:tcPr>
          <w:p w14:paraId="7D92DA70"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95</w:t>
            </w:r>
          </w:p>
        </w:tc>
        <w:tc>
          <w:tcPr>
            <w:tcW w:w="1418" w:type="dxa"/>
            <w:tcBorders>
              <w:top w:val="nil"/>
              <w:left w:val="nil"/>
              <w:bottom w:val="single" w:sz="4" w:space="0" w:color="auto"/>
              <w:right w:val="single" w:sz="4" w:space="0" w:color="auto"/>
            </w:tcBorders>
            <w:shd w:val="clear" w:color="auto" w:fill="auto"/>
            <w:noWrap/>
            <w:vAlign w:val="bottom"/>
            <w:hideMark/>
          </w:tcPr>
          <w:p w14:paraId="05D2E70A"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36</w:t>
            </w:r>
          </w:p>
        </w:tc>
        <w:tc>
          <w:tcPr>
            <w:tcW w:w="1559" w:type="dxa"/>
            <w:tcBorders>
              <w:top w:val="nil"/>
              <w:left w:val="nil"/>
              <w:bottom w:val="single" w:sz="4" w:space="0" w:color="auto"/>
              <w:right w:val="single" w:sz="4" w:space="0" w:color="auto"/>
            </w:tcBorders>
            <w:shd w:val="clear" w:color="auto" w:fill="auto"/>
            <w:noWrap/>
            <w:vAlign w:val="bottom"/>
            <w:hideMark/>
          </w:tcPr>
          <w:p w14:paraId="06F61C50"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59</w:t>
            </w:r>
          </w:p>
        </w:tc>
        <w:tc>
          <w:tcPr>
            <w:tcW w:w="1276" w:type="dxa"/>
            <w:tcBorders>
              <w:top w:val="nil"/>
              <w:left w:val="nil"/>
              <w:bottom w:val="single" w:sz="4" w:space="0" w:color="auto"/>
              <w:right w:val="single" w:sz="4" w:space="0" w:color="auto"/>
            </w:tcBorders>
            <w:shd w:val="clear" w:color="auto" w:fill="auto"/>
            <w:noWrap/>
            <w:vAlign w:val="bottom"/>
            <w:hideMark/>
          </w:tcPr>
          <w:p w14:paraId="2AA8ECF3"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37.90%</w:t>
            </w:r>
          </w:p>
        </w:tc>
        <w:tc>
          <w:tcPr>
            <w:tcW w:w="1276" w:type="dxa"/>
            <w:tcBorders>
              <w:top w:val="nil"/>
              <w:left w:val="nil"/>
              <w:bottom w:val="single" w:sz="4" w:space="0" w:color="auto"/>
              <w:right w:val="single" w:sz="4" w:space="0" w:color="auto"/>
            </w:tcBorders>
            <w:shd w:val="clear" w:color="auto" w:fill="auto"/>
            <w:noWrap/>
            <w:vAlign w:val="bottom"/>
            <w:hideMark/>
          </w:tcPr>
          <w:p w14:paraId="2D96EF7C"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62.10%</w:t>
            </w:r>
          </w:p>
        </w:tc>
      </w:tr>
      <w:tr w:rsidR="008C2683" w:rsidRPr="008C2683" w14:paraId="4619E1DC" w14:textId="77777777" w:rsidTr="008C2683">
        <w:trPr>
          <w:trHeight w:val="310"/>
        </w:trPr>
        <w:tc>
          <w:tcPr>
            <w:tcW w:w="505" w:type="dxa"/>
            <w:tcBorders>
              <w:top w:val="nil"/>
              <w:left w:val="single" w:sz="4" w:space="0" w:color="auto"/>
              <w:bottom w:val="single" w:sz="4" w:space="0" w:color="auto"/>
              <w:right w:val="single" w:sz="4" w:space="0" w:color="auto"/>
            </w:tcBorders>
            <w:shd w:val="clear" w:color="auto" w:fill="DAEEF3" w:themeFill="accent5" w:themeFillTint="33"/>
            <w:noWrap/>
            <w:vAlign w:val="bottom"/>
            <w:hideMark/>
          </w:tcPr>
          <w:p w14:paraId="27CBF6B4"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Q4</w:t>
            </w:r>
          </w:p>
        </w:tc>
        <w:tc>
          <w:tcPr>
            <w:tcW w:w="2017" w:type="dxa"/>
            <w:tcBorders>
              <w:top w:val="nil"/>
              <w:left w:val="nil"/>
              <w:bottom w:val="single" w:sz="4" w:space="0" w:color="auto"/>
              <w:right w:val="single" w:sz="4" w:space="0" w:color="auto"/>
            </w:tcBorders>
            <w:shd w:val="clear" w:color="auto" w:fill="auto"/>
            <w:noWrap/>
            <w:vAlign w:val="bottom"/>
            <w:hideMark/>
          </w:tcPr>
          <w:p w14:paraId="56C41F2C"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27.60-67.40</w:t>
            </w:r>
          </w:p>
        </w:tc>
        <w:tc>
          <w:tcPr>
            <w:tcW w:w="1417" w:type="dxa"/>
            <w:tcBorders>
              <w:top w:val="nil"/>
              <w:left w:val="nil"/>
              <w:bottom w:val="single" w:sz="4" w:space="0" w:color="auto"/>
              <w:right w:val="single" w:sz="4" w:space="0" w:color="auto"/>
            </w:tcBorders>
            <w:shd w:val="clear" w:color="auto" w:fill="auto"/>
            <w:noWrap/>
            <w:vAlign w:val="bottom"/>
            <w:hideMark/>
          </w:tcPr>
          <w:p w14:paraId="3CECB546"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95</w:t>
            </w:r>
          </w:p>
        </w:tc>
        <w:tc>
          <w:tcPr>
            <w:tcW w:w="1418" w:type="dxa"/>
            <w:tcBorders>
              <w:top w:val="nil"/>
              <w:left w:val="nil"/>
              <w:bottom w:val="single" w:sz="4" w:space="0" w:color="auto"/>
              <w:right w:val="single" w:sz="4" w:space="0" w:color="auto"/>
            </w:tcBorders>
            <w:shd w:val="clear" w:color="auto" w:fill="auto"/>
            <w:noWrap/>
            <w:vAlign w:val="bottom"/>
            <w:hideMark/>
          </w:tcPr>
          <w:p w14:paraId="5FF3138C"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39</w:t>
            </w:r>
          </w:p>
        </w:tc>
        <w:tc>
          <w:tcPr>
            <w:tcW w:w="1559" w:type="dxa"/>
            <w:tcBorders>
              <w:top w:val="nil"/>
              <w:left w:val="nil"/>
              <w:bottom w:val="single" w:sz="4" w:space="0" w:color="auto"/>
              <w:right w:val="single" w:sz="4" w:space="0" w:color="auto"/>
            </w:tcBorders>
            <w:shd w:val="clear" w:color="auto" w:fill="auto"/>
            <w:noWrap/>
            <w:vAlign w:val="bottom"/>
            <w:hideMark/>
          </w:tcPr>
          <w:p w14:paraId="0B41C8E4"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56</w:t>
            </w:r>
          </w:p>
        </w:tc>
        <w:tc>
          <w:tcPr>
            <w:tcW w:w="1276" w:type="dxa"/>
            <w:tcBorders>
              <w:top w:val="nil"/>
              <w:left w:val="nil"/>
              <w:bottom w:val="single" w:sz="4" w:space="0" w:color="auto"/>
              <w:right w:val="single" w:sz="4" w:space="0" w:color="auto"/>
            </w:tcBorders>
            <w:shd w:val="clear" w:color="auto" w:fill="auto"/>
            <w:noWrap/>
            <w:vAlign w:val="bottom"/>
            <w:hideMark/>
          </w:tcPr>
          <w:p w14:paraId="75C47CEF"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41.10%</w:t>
            </w:r>
          </w:p>
        </w:tc>
        <w:tc>
          <w:tcPr>
            <w:tcW w:w="1276" w:type="dxa"/>
            <w:tcBorders>
              <w:top w:val="nil"/>
              <w:left w:val="nil"/>
              <w:bottom w:val="single" w:sz="4" w:space="0" w:color="auto"/>
              <w:right w:val="single" w:sz="4" w:space="0" w:color="auto"/>
            </w:tcBorders>
            <w:shd w:val="clear" w:color="auto" w:fill="auto"/>
            <w:noWrap/>
            <w:vAlign w:val="bottom"/>
            <w:hideMark/>
          </w:tcPr>
          <w:p w14:paraId="0DF9E02D"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58.90%</w:t>
            </w:r>
          </w:p>
        </w:tc>
      </w:tr>
      <w:tr w:rsidR="008C2683" w:rsidRPr="008C2683" w14:paraId="2DA12B10" w14:textId="77777777" w:rsidTr="008C2683">
        <w:trPr>
          <w:trHeight w:val="310"/>
        </w:trPr>
        <w:tc>
          <w:tcPr>
            <w:tcW w:w="505" w:type="dxa"/>
            <w:tcBorders>
              <w:top w:val="nil"/>
              <w:left w:val="nil"/>
              <w:bottom w:val="nil"/>
              <w:right w:val="nil"/>
            </w:tcBorders>
            <w:shd w:val="clear" w:color="auto" w:fill="auto"/>
            <w:noWrap/>
            <w:vAlign w:val="bottom"/>
            <w:hideMark/>
          </w:tcPr>
          <w:p w14:paraId="69FA81A5" w14:textId="77777777" w:rsidR="008C2683" w:rsidRPr="008C2683" w:rsidRDefault="008C2683" w:rsidP="008C2683">
            <w:pPr>
              <w:rPr>
                <w:rFonts w:eastAsia="Times New Roman" w:cs="Times New Roman"/>
                <w:color w:val="000000"/>
                <w:sz w:val="24"/>
                <w:szCs w:val="24"/>
                <w:lang w:eastAsia="en-GB"/>
              </w:rPr>
            </w:pPr>
          </w:p>
        </w:tc>
        <w:tc>
          <w:tcPr>
            <w:tcW w:w="2017" w:type="dxa"/>
            <w:tcBorders>
              <w:top w:val="nil"/>
              <w:left w:val="single" w:sz="4" w:space="0" w:color="auto"/>
              <w:bottom w:val="single" w:sz="4" w:space="0" w:color="auto"/>
              <w:right w:val="single" w:sz="4" w:space="0" w:color="auto"/>
            </w:tcBorders>
            <w:shd w:val="clear" w:color="auto" w:fill="auto"/>
            <w:noWrap/>
            <w:vAlign w:val="bottom"/>
            <w:hideMark/>
          </w:tcPr>
          <w:p w14:paraId="4A4C9725" w14:textId="77777777" w:rsidR="008C2683" w:rsidRPr="008C2683" w:rsidRDefault="008C2683" w:rsidP="008C2683">
            <w:pPr>
              <w:rPr>
                <w:rFonts w:eastAsia="Times New Roman" w:cs="Times New Roman"/>
                <w:b/>
                <w:bCs/>
                <w:color w:val="000000"/>
                <w:sz w:val="24"/>
                <w:szCs w:val="24"/>
                <w:lang w:eastAsia="en-GB"/>
              </w:rPr>
            </w:pPr>
            <w:r w:rsidRPr="008C2683">
              <w:rPr>
                <w:rFonts w:eastAsia="Times New Roman" w:cs="Times New Roman"/>
                <w:b/>
                <w:bCs/>
                <w:color w:val="000000"/>
                <w:sz w:val="24"/>
                <w:szCs w:val="24"/>
                <w:lang w:eastAsia="en-GB"/>
              </w:rPr>
              <w:t>Total</w:t>
            </w:r>
          </w:p>
        </w:tc>
        <w:tc>
          <w:tcPr>
            <w:tcW w:w="1417" w:type="dxa"/>
            <w:tcBorders>
              <w:top w:val="nil"/>
              <w:left w:val="nil"/>
              <w:bottom w:val="single" w:sz="4" w:space="0" w:color="auto"/>
              <w:right w:val="single" w:sz="4" w:space="0" w:color="auto"/>
            </w:tcBorders>
            <w:shd w:val="clear" w:color="auto" w:fill="auto"/>
            <w:noWrap/>
            <w:vAlign w:val="bottom"/>
            <w:hideMark/>
          </w:tcPr>
          <w:p w14:paraId="774F381C"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380</w:t>
            </w:r>
          </w:p>
        </w:tc>
        <w:tc>
          <w:tcPr>
            <w:tcW w:w="1418" w:type="dxa"/>
            <w:tcBorders>
              <w:top w:val="nil"/>
              <w:left w:val="nil"/>
              <w:bottom w:val="single" w:sz="4" w:space="0" w:color="auto"/>
              <w:right w:val="single" w:sz="4" w:space="0" w:color="auto"/>
            </w:tcBorders>
            <w:shd w:val="clear" w:color="auto" w:fill="auto"/>
            <w:noWrap/>
            <w:vAlign w:val="bottom"/>
            <w:hideMark/>
          </w:tcPr>
          <w:p w14:paraId="352889ED"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125</w:t>
            </w:r>
          </w:p>
        </w:tc>
        <w:tc>
          <w:tcPr>
            <w:tcW w:w="1559" w:type="dxa"/>
            <w:tcBorders>
              <w:top w:val="nil"/>
              <w:left w:val="nil"/>
              <w:bottom w:val="single" w:sz="4" w:space="0" w:color="auto"/>
              <w:right w:val="single" w:sz="4" w:space="0" w:color="auto"/>
            </w:tcBorders>
            <w:shd w:val="clear" w:color="auto" w:fill="auto"/>
            <w:noWrap/>
            <w:vAlign w:val="bottom"/>
            <w:hideMark/>
          </w:tcPr>
          <w:p w14:paraId="6F401765"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255</w:t>
            </w:r>
          </w:p>
        </w:tc>
        <w:tc>
          <w:tcPr>
            <w:tcW w:w="1276" w:type="dxa"/>
            <w:tcBorders>
              <w:top w:val="nil"/>
              <w:left w:val="nil"/>
              <w:bottom w:val="single" w:sz="4" w:space="0" w:color="auto"/>
              <w:right w:val="single" w:sz="4" w:space="0" w:color="auto"/>
            </w:tcBorders>
            <w:shd w:val="clear" w:color="auto" w:fill="auto"/>
            <w:noWrap/>
            <w:vAlign w:val="bottom"/>
            <w:hideMark/>
          </w:tcPr>
          <w:p w14:paraId="08CE76C7"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32.90%</w:t>
            </w:r>
          </w:p>
        </w:tc>
        <w:tc>
          <w:tcPr>
            <w:tcW w:w="1276" w:type="dxa"/>
            <w:tcBorders>
              <w:top w:val="nil"/>
              <w:left w:val="nil"/>
              <w:bottom w:val="single" w:sz="4" w:space="0" w:color="auto"/>
              <w:right w:val="single" w:sz="4" w:space="0" w:color="auto"/>
            </w:tcBorders>
            <w:shd w:val="clear" w:color="auto" w:fill="auto"/>
            <w:noWrap/>
            <w:vAlign w:val="bottom"/>
            <w:hideMark/>
          </w:tcPr>
          <w:p w14:paraId="73AF7825" w14:textId="77777777" w:rsidR="008C2683" w:rsidRPr="008C2683" w:rsidRDefault="008C2683" w:rsidP="008C2683">
            <w:pPr>
              <w:rPr>
                <w:rFonts w:eastAsia="Times New Roman" w:cs="Times New Roman"/>
                <w:color w:val="000000"/>
                <w:sz w:val="24"/>
                <w:szCs w:val="24"/>
                <w:lang w:eastAsia="en-GB"/>
              </w:rPr>
            </w:pPr>
            <w:r w:rsidRPr="008C2683">
              <w:rPr>
                <w:rFonts w:eastAsia="Times New Roman" w:cs="Times New Roman"/>
                <w:color w:val="000000"/>
                <w:sz w:val="24"/>
                <w:szCs w:val="24"/>
                <w:lang w:eastAsia="en-GB"/>
              </w:rPr>
              <w:t>67.10%</w:t>
            </w:r>
          </w:p>
        </w:tc>
      </w:tr>
    </w:tbl>
    <w:p w14:paraId="3A01D0C3" w14:textId="77777777" w:rsidR="009D3109" w:rsidRDefault="009D3109" w:rsidP="008C2683">
      <w:pPr>
        <w:pStyle w:val="Default"/>
        <w:spacing w:after="120"/>
        <w:jc w:val="both"/>
        <w:rPr>
          <w:rFonts w:ascii="Trebuchet MS" w:hAnsi="Trebuchet MS"/>
          <w:color w:val="auto"/>
        </w:rPr>
      </w:pPr>
    </w:p>
    <w:p w14:paraId="7445829E" w14:textId="34B2B9F7" w:rsidR="000E3471" w:rsidRDefault="007C515E" w:rsidP="008C2683">
      <w:pPr>
        <w:pStyle w:val="Default"/>
        <w:spacing w:after="120"/>
        <w:ind w:left="851" w:hanging="851"/>
        <w:rPr>
          <w:rFonts w:ascii="Trebuchet MS" w:hAnsi="Trebuchet MS"/>
          <w:color w:val="auto"/>
        </w:rPr>
      </w:pPr>
      <w:r w:rsidRPr="1213BF6A">
        <w:rPr>
          <w:rFonts w:ascii="Trebuchet MS" w:hAnsi="Trebuchet MS"/>
          <w:color w:val="auto"/>
        </w:rPr>
        <w:t>2.8.1</w:t>
      </w:r>
      <w:r>
        <w:tab/>
      </w:r>
      <w:r w:rsidR="00412D54" w:rsidRPr="1213BF6A">
        <w:rPr>
          <w:rFonts w:ascii="Trebuchet MS" w:hAnsi="Trebuchet MS"/>
        </w:rPr>
        <w:t>In March 202</w:t>
      </w:r>
      <w:r w:rsidR="00BE08C1" w:rsidRPr="1213BF6A">
        <w:rPr>
          <w:rFonts w:ascii="Trebuchet MS" w:hAnsi="Trebuchet MS"/>
        </w:rPr>
        <w:t>4</w:t>
      </w:r>
      <w:r w:rsidR="00412D54" w:rsidRPr="1213BF6A">
        <w:rPr>
          <w:rFonts w:ascii="Trebuchet MS" w:hAnsi="Trebuchet MS"/>
        </w:rPr>
        <w:t xml:space="preserve">, our mean gender pay gap for all staff (full and part time) was </w:t>
      </w:r>
      <w:r w:rsidR="00D80D93" w:rsidRPr="1213BF6A">
        <w:rPr>
          <w:rFonts w:ascii="Trebuchet MS" w:hAnsi="Trebuchet MS"/>
        </w:rPr>
        <w:t>9.6</w:t>
      </w:r>
      <w:r w:rsidR="00412D54" w:rsidRPr="1213BF6A">
        <w:rPr>
          <w:rFonts w:ascii="Trebuchet MS" w:hAnsi="Trebuchet MS"/>
        </w:rPr>
        <w:t xml:space="preserve">%. This figure shows that our mean gender pay gap </w:t>
      </w:r>
      <w:r w:rsidR="00D80D93" w:rsidRPr="1213BF6A">
        <w:rPr>
          <w:rFonts w:ascii="Trebuchet MS" w:hAnsi="Trebuchet MS"/>
        </w:rPr>
        <w:t>has increased this year from 8.5% in 2023, this is a slight decrease from 10.5% in March 2022</w:t>
      </w:r>
      <w:r w:rsidR="009D3109" w:rsidRPr="1213BF6A">
        <w:rPr>
          <w:rFonts w:ascii="Trebuchet MS" w:hAnsi="Trebuchet MS"/>
          <w:color w:val="auto"/>
        </w:rPr>
        <w:t>.</w:t>
      </w:r>
    </w:p>
    <w:p w14:paraId="5B736E35" w14:textId="2574DCA6" w:rsidR="005936C8" w:rsidRDefault="007C515E" w:rsidP="008C2683">
      <w:pPr>
        <w:pStyle w:val="Default"/>
        <w:spacing w:after="120"/>
        <w:ind w:left="851" w:hanging="851"/>
        <w:rPr>
          <w:rFonts w:ascii="Trebuchet MS" w:hAnsi="Trebuchet MS"/>
          <w:color w:val="auto"/>
        </w:rPr>
      </w:pPr>
      <w:r w:rsidRPr="10897740">
        <w:rPr>
          <w:rFonts w:ascii="Trebuchet MS" w:hAnsi="Trebuchet MS"/>
          <w:color w:val="auto"/>
        </w:rPr>
        <w:t>2.8.2</w:t>
      </w:r>
      <w:r>
        <w:tab/>
      </w:r>
      <w:r w:rsidR="00412D54" w:rsidRPr="10897740">
        <w:rPr>
          <w:rFonts w:ascii="Trebuchet MS" w:hAnsi="Trebuchet MS"/>
          <w:color w:val="auto"/>
        </w:rPr>
        <w:t xml:space="preserve">This year in reporting we have </w:t>
      </w:r>
      <w:r w:rsidR="008C2683" w:rsidRPr="10897740">
        <w:rPr>
          <w:rFonts w:ascii="Trebuchet MS" w:hAnsi="Trebuchet MS"/>
          <w:color w:val="auto"/>
        </w:rPr>
        <w:t>considered</w:t>
      </w:r>
      <w:r w:rsidR="00412D54" w:rsidRPr="10897740">
        <w:rPr>
          <w:rFonts w:ascii="Trebuchet MS" w:hAnsi="Trebuchet MS"/>
          <w:color w:val="auto"/>
        </w:rPr>
        <w:t xml:space="preserve"> the payment of </w:t>
      </w:r>
      <w:r w:rsidR="008C2683" w:rsidRPr="10897740">
        <w:rPr>
          <w:rFonts w:ascii="Trebuchet MS" w:hAnsi="Trebuchet MS"/>
          <w:color w:val="auto"/>
        </w:rPr>
        <w:t>allowances,</w:t>
      </w:r>
      <w:r w:rsidR="00412D54" w:rsidRPr="10897740">
        <w:rPr>
          <w:rFonts w:ascii="Trebuchet MS" w:hAnsi="Trebuchet MS"/>
          <w:color w:val="auto"/>
        </w:rPr>
        <w:t xml:space="preserve"> and </w:t>
      </w:r>
      <w:r w:rsidR="00671A56" w:rsidRPr="10897740">
        <w:rPr>
          <w:rFonts w:ascii="Trebuchet MS" w:hAnsi="Trebuchet MS"/>
          <w:color w:val="auto"/>
        </w:rPr>
        <w:t xml:space="preserve">it seems likely that </w:t>
      </w:r>
      <w:r w:rsidR="00412D54" w:rsidRPr="10897740">
        <w:rPr>
          <w:rFonts w:ascii="Trebuchet MS" w:hAnsi="Trebuchet MS"/>
          <w:color w:val="auto"/>
        </w:rPr>
        <w:t>this account</w:t>
      </w:r>
      <w:r w:rsidR="00671A56" w:rsidRPr="10897740">
        <w:rPr>
          <w:rFonts w:ascii="Trebuchet MS" w:hAnsi="Trebuchet MS"/>
          <w:color w:val="auto"/>
        </w:rPr>
        <w:t>s</w:t>
      </w:r>
      <w:r w:rsidR="00412D54" w:rsidRPr="10897740">
        <w:rPr>
          <w:rFonts w:ascii="Trebuchet MS" w:hAnsi="Trebuchet MS"/>
          <w:color w:val="auto"/>
        </w:rPr>
        <w:t xml:space="preserve"> for the change in the mean rate. These were not included </w:t>
      </w:r>
      <w:r w:rsidR="00671A56" w:rsidRPr="10897740">
        <w:rPr>
          <w:rFonts w:ascii="Trebuchet MS" w:hAnsi="Trebuchet MS"/>
          <w:color w:val="auto"/>
        </w:rPr>
        <w:t xml:space="preserve">in </w:t>
      </w:r>
      <w:r w:rsidR="00412D54" w:rsidRPr="10897740">
        <w:rPr>
          <w:rFonts w:ascii="Trebuchet MS" w:hAnsi="Trebuchet MS"/>
          <w:color w:val="auto"/>
        </w:rPr>
        <w:t>last year</w:t>
      </w:r>
      <w:r w:rsidR="00671A56" w:rsidRPr="10897740">
        <w:rPr>
          <w:rFonts w:ascii="Trebuchet MS" w:hAnsi="Trebuchet MS"/>
          <w:color w:val="auto"/>
        </w:rPr>
        <w:t xml:space="preserve">’s </w:t>
      </w:r>
      <w:r w:rsidR="008C2683" w:rsidRPr="10897740">
        <w:rPr>
          <w:rFonts w:ascii="Trebuchet MS" w:hAnsi="Trebuchet MS"/>
          <w:color w:val="auto"/>
        </w:rPr>
        <w:t>calculation;</w:t>
      </w:r>
      <w:r w:rsidR="00412D54" w:rsidRPr="10897740">
        <w:rPr>
          <w:rFonts w:ascii="Trebuchet MS" w:hAnsi="Trebuchet MS"/>
          <w:color w:val="auto"/>
        </w:rPr>
        <w:t xml:space="preserve"> however guidance now asks us to include this</w:t>
      </w:r>
      <w:r w:rsidR="005936C8" w:rsidRPr="10897740">
        <w:rPr>
          <w:rFonts w:ascii="Trebuchet MS" w:hAnsi="Trebuchet MS"/>
          <w:color w:val="auto"/>
        </w:rPr>
        <w:t xml:space="preserve">. </w:t>
      </w:r>
      <w:r w:rsidR="5F4355CB" w:rsidRPr="10897740">
        <w:rPr>
          <w:rFonts w:ascii="Trebuchet MS" w:hAnsi="Trebuchet MS"/>
          <w:color w:val="auto"/>
        </w:rPr>
        <w:t>T</w:t>
      </w:r>
      <w:r w:rsidR="004A3EF0" w:rsidRPr="10897740">
        <w:rPr>
          <w:rFonts w:ascii="Trebuchet MS" w:hAnsi="Trebuchet MS"/>
          <w:color w:val="auto"/>
        </w:rPr>
        <w:t>he gender profile of t</w:t>
      </w:r>
      <w:r w:rsidR="5F4355CB" w:rsidRPr="10897740">
        <w:rPr>
          <w:rFonts w:ascii="Trebuchet MS" w:hAnsi="Trebuchet MS"/>
          <w:color w:val="auto"/>
        </w:rPr>
        <w:t xml:space="preserve">hose staff </w:t>
      </w:r>
      <w:r w:rsidR="004A3EF0" w:rsidRPr="10897740">
        <w:rPr>
          <w:rFonts w:ascii="Trebuchet MS" w:hAnsi="Trebuchet MS"/>
          <w:color w:val="auto"/>
        </w:rPr>
        <w:t>i</w:t>
      </w:r>
      <w:r w:rsidR="5F4355CB" w:rsidRPr="10897740">
        <w:rPr>
          <w:rFonts w:ascii="Trebuchet MS" w:hAnsi="Trebuchet MS"/>
          <w:color w:val="auto"/>
        </w:rPr>
        <w:t xml:space="preserve">n </w:t>
      </w:r>
      <w:r w:rsidR="004A3EF0" w:rsidRPr="10897740">
        <w:rPr>
          <w:rFonts w:ascii="Trebuchet MS" w:hAnsi="Trebuchet MS"/>
          <w:color w:val="auto"/>
        </w:rPr>
        <w:t xml:space="preserve">receipt of </w:t>
      </w:r>
      <w:r w:rsidR="5F4355CB" w:rsidRPr="10897740">
        <w:rPr>
          <w:rFonts w:ascii="Trebuchet MS" w:hAnsi="Trebuchet MS"/>
          <w:color w:val="auto"/>
        </w:rPr>
        <w:t xml:space="preserve">allowances </w:t>
      </w:r>
      <w:r w:rsidR="00E850DA" w:rsidRPr="10897740">
        <w:rPr>
          <w:rFonts w:ascii="Trebuchet MS" w:hAnsi="Trebuchet MS"/>
          <w:color w:val="auto"/>
        </w:rPr>
        <w:t>(</w:t>
      </w:r>
      <w:proofErr w:type="gramStart"/>
      <w:r w:rsidR="00E850DA" w:rsidRPr="10897740">
        <w:rPr>
          <w:rFonts w:ascii="Trebuchet MS" w:hAnsi="Trebuchet MS"/>
          <w:color w:val="auto"/>
        </w:rPr>
        <w:t>in particular those</w:t>
      </w:r>
      <w:proofErr w:type="gramEnd"/>
      <w:r w:rsidR="00E850DA" w:rsidRPr="10897740">
        <w:rPr>
          <w:rFonts w:ascii="Trebuchet MS" w:hAnsi="Trebuchet MS"/>
          <w:color w:val="auto"/>
        </w:rPr>
        <w:t xml:space="preserve"> in PDSO) </w:t>
      </w:r>
      <w:r w:rsidR="004A3EF0" w:rsidRPr="10897740">
        <w:rPr>
          <w:rFonts w:ascii="Trebuchet MS" w:hAnsi="Trebuchet MS"/>
          <w:color w:val="auto"/>
        </w:rPr>
        <w:t>was less</w:t>
      </w:r>
      <w:r w:rsidR="5F4355CB" w:rsidRPr="10897740">
        <w:rPr>
          <w:rFonts w:ascii="Trebuchet MS" w:hAnsi="Trebuchet MS"/>
          <w:color w:val="auto"/>
        </w:rPr>
        <w:t xml:space="preserve"> predominantly </w:t>
      </w:r>
      <w:r w:rsidR="004A3EF0" w:rsidRPr="10897740">
        <w:rPr>
          <w:rFonts w:ascii="Trebuchet MS" w:hAnsi="Trebuchet MS"/>
          <w:color w:val="auto"/>
        </w:rPr>
        <w:t>fe</w:t>
      </w:r>
      <w:r w:rsidR="5F4355CB" w:rsidRPr="10897740">
        <w:rPr>
          <w:rFonts w:ascii="Trebuchet MS" w:hAnsi="Trebuchet MS"/>
          <w:color w:val="auto"/>
        </w:rPr>
        <w:t>male</w:t>
      </w:r>
      <w:r w:rsidR="004A3EF0" w:rsidRPr="10897740">
        <w:rPr>
          <w:rFonts w:ascii="Trebuchet MS" w:hAnsi="Trebuchet MS"/>
          <w:color w:val="auto"/>
        </w:rPr>
        <w:t xml:space="preserve"> than the </w:t>
      </w:r>
      <w:r w:rsidR="00E850DA" w:rsidRPr="10897740">
        <w:rPr>
          <w:rFonts w:ascii="Trebuchet MS" w:hAnsi="Trebuchet MS"/>
          <w:color w:val="auto"/>
        </w:rPr>
        <w:t>staff group as a whole</w:t>
      </w:r>
      <w:r w:rsidR="5F4355CB" w:rsidRPr="10897740">
        <w:rPr>
          <w:rFonts w:ascii="Trebuchet MS" w:hAnsi="Trebuchet MS"/>
          <w:color w:val="auto"/>
        </w:rPr>
        <w:t>, therefore negatively impacting the gender pay gap.</w:t>
      </w:r>
      <w:r w:rsidR="00E850DA" w:rsidRPr="10897740">
        <w:rPr>
          <w:rFonts w:ascii="Trebuchet MS" w:hAnsi="Trebuchet MS"/>
          <w:color w:val="auto"/>
        </w:rPr>
        <w:t xml:space="preserve"> The </w:t>
      </w:r>
      <w:r w:rsidR="000C156A" w:rsidRPr="10897740">
        <w:rPr>
          <w:rFonts w:ascii="Trebuchet MS" w:hAnsi="Trebuchet MS"/>
          <w:color w:val="auto"/>
        </w:rPr>
        <w:t>allowances payable in PDSO have been withdrawn as part of the implementation of the JEG outcome and so their impact on the pay gap should diminish over the next two to three years before disappearing entirely.</w:t>
      </w:r>
    </w:p>
    <w:p w14:paraId="0327AB52" w14:textId="6ACAE8A3" w:rsidR="009A025B" w:rsidRDefault="007C515E" w:rsidP="008C2683">
      <w:pPr>
        <w:pStyle w:val="Default"/>
        <w:spacing w:after="120"/>
        <w:ind w:left="851" w:hanging="851"/>
        <w:rPr>
          <w:rFonts w:ascii="Trebuchet MS" w:hAnsi="Trebuchet MS"/>
          <w:color w:val="auto"/>
        </w:rPr>
      </w:pPr>
      <w:r>
        <w:rPr>
          <w:rFonts w:ascii="Trebuchet MS" w:hAnsi="Trebuchet MS"/>
          <w:color w:val="auto"/>
        </w:rPr>
        <w:t>2.8.3</w:t>
      </w:r>
      <w:r>
        <w:rPr>
          <w:rFonts w:ascii="Trebuchet MS" w:hAnsi="Trebuchet MS"/>
          <w:color w:val="auto"/>
        </w:rPr>
        <w:tab/>
      </w:r>
      <w:r w:rsidR="00412D54">
        <w:rPr>
          <w:rFonts w:ascii="Trebuchet MS" w:hAnsi="Trebuchet MS"/>
          <w:color w:val="auto"/>
        </w:rPr>
        <w:t xml:space="preserve">The median hourly rate for men is £23.20 and for women is £19.10, resulting in a median gender pay gap as a % of men’s pay of 17.7%. </w:t>
      </w:r>
      <w:r w:rsidR="00AC7CE6">
        <w:rPr>
          <w:rFonts w:ascii="Trebuchet MS" w:hAnsi="Trebuchet MS"/>
          <w:color w:val="auto"/>
        </w:rPr>
        <w:t xml:space="preserve">This is unchanged from </w:t>
      </w:r>
      <w:r w:rsidR="00E8491C">
        <w:rPr>
          <w:rFonts w:ascii="Trebuchet MS" w:hAnsi="Trebuchet MS"/>
          <w:color w:val="auto"/>
        </w:rPr>
        <w:t xml:space="preserve">2023, </w:t>
      </w:r>
      <w:r w:rsidR="00E8491C">
        <w:rPr>
          <w:rFonts w:ascii="Trebuchet MS" w:hAnsi="Trebuchet MS"/>
          <w:color w:val="auto"/>
        </w:rPr>
        <w:lastRenderedPageBreak/>
        <w:t xml:space="preserve">slightly higher than the </w:t>
      </w:r>
      <w:r w:rsidR="00412D54">
        <w:rPr>
          <w:rFonts w:ascii="Trebuchet MS" w:hAnsi="Trebuchet MS"/>
          <w:color w:val="auto"/>
        </w:rPr>
        <w:t xml:space="preserve">16.7% </w:t>
      </w:r>
      <w:r w:rsidR="00E8491C">
        <w:rPr>
          <w:rFonts w:ascii="Trebuchet MS" w:hAnsi="Trebuchet MS"/>
          <w:color w:val="auto"/>
        </w:rPr>
        <w:t xml:space="preserve">seen in 2022, </w:t>
      </w:r>
      <w:r w:rsidR="00412D54">
        <w:rPr>
          <w:rFonts w:ascii="Trebuchet MS" w:hAnsi="Trebuchet MS"/>
          <w:color w:val="auto"/>
        </w:rPr>
        <w:t xml:space="preserve">but remains </w:t>
      </w:r>
      <w:r w:rsidR="00E8491C">
        <w:rPr>
          <w:rFonts w:ascii="Trebuchet MS" w:hAnsi="Trebuchet MS"/>
          <w:color w:val="auto"/>
        </w:rPr>
        <w:t xml:space="preserve">slightly </w:t>
      </w:r>
      <w:r w:rsidR="00412D54">
        <w:rPr>
          <w:rFonts w:ascii="Trebuchet MS" w:hAnsi="Trebuchet MS"/>
          <w:color w:val="auto"/>
        </w:rPr>
        <w:t>lower than our 2021 figure of 18.3%.</w:t>
      </w:r>
      <w:r w:rsidR="009D3109">
        <w:rPr>
          <w:rFonts w:ascii="Trebuchet MS" w:hAnsi="Trebuchet MS"/>
          <w:color w:val="auto"/>
        </w:rPr>
        <w:t xml:space="preserve"> </w:t>
      </w:r>
    </w:p>
    <w:p w14:paraId="6AEB0E13" w14:textId="1BB37892" w:rsidR="005936C8" w:rsidRDefault="007C515E" w:rsidP="008C2683">
      <w:pPr>
        <w:pStyle w:val="Default"/>
        <w:spacing w:after="120"/>
        <w:ind w:left="851" w:hanging="851"/>
        <w:rPr>
          <w:rFonts w:ascii="Trebuchet MS" w:hAnsi="Trebuchet MS"/>
          <w:color w:val="auto"/>
        </w:rPr>
      </w:pPr>
      <w:r>
        <w:rPr>
          <w:rFonts w:ascii="Trebuchet MS" w:hAnsi="Trebuchet MS"/>
          <w:color w:val="auto"/>
        </w:rPr>
        <w:t>2.8.4</w:t>
      </w:r>
      <w:r>
        <w:rPr>
          <w:rFonts w:ascii="Trebuchet MS" w:hAnsi="Trebuchet MS"/>
          <w:color w:val="auto"/>
        </w:rPr>
        <w:tab/>
      </w:r>
      <w:r w:rsidR="00412D54">
        <w:rPr>
          <w:rFonts w:ascii="Trebuchet MS" w:hAnsi="Trebuchet MS"/>
          <w:color w:val="auto"/>
        </w:rPr>
        <w:t>The median pay gap is less prone to fluctuation than the mean. This is because the median (middle) hourly rate values for both men and women coincide with large clusters of staff at the tops of grades (grade 4 for women, grade 5 for men). For these medians to align would require significant change in one or more of the overall size, gender distribution and grade profile of the organisation. The scale of change needed is unlikely to occur naturally, given our generally low turnover rate</w:t>
      </w:r>
      <w:r w:rsidR="005936C8">
        <w:rPr>
          <w:rFonts w:ascii="Trebuchet MS" w:hAnsi="Trebuchet MS"/>
          <w:color w:val="auto"/>
        </w:rPr>
        <w:t>.</w:t>
      </w:r>
    </w:p>
    <w:p w14:paraId="23E40C4F" w14:textId="48E980B7" w:rsidR="006E26F0" w:rsidRDefault="00247131" w:rsidP="008C2683">
      <w:pPr>
        <w:pStyle w:val="Default"/>
        <w:spacing w:after="120"/>
        <w:ind w:left="851" w:hanging="851"/>
        <w:rPr>
          <w:rFonts w:ascii="Trebuchet MS" w:hAnsi="Trebuchet MS"/>
          <w:color w:val="auto"/>
        </w:rPr>
      </w:pPr>
      <w:r>
        <w:rPr>
          <w:rFonts w:ascii="Trebuchet MS" w:hAnsi="Trebuchet MS"/>
          <w:color w:val="auto"/>
        </w:rPr>
        <w:t xml:space="preserve"> </w:t>
      </w:r>
      <w:r w:rsidR="007C515E">
        <w:rPr>
          <w:rFonts w:ascii="Trebuchet MS" w:hAnsi="Trebuchet MS"/>
          <w:color w:val="auto"/>
        </w:rPr>
        <w:t>2.8.5</w:t>
      </w:r>
      <w:r w:rsidR="007C515E">
        <w:rPr>
          <w:rFonts w:ascii="Trebuchet MS" w:hAnsi="Trebuchet MS"/>
          <w:color w:val="auto"/>
        </w:rPr>
        <w:tab/>
      </w:r>
      <w:r w:rsidR="006E26F0">
        <w:rPr>
          <w:rFonts w:ascii="Trebuchet MS" w:hAnsi="Trebuchet MS"/>
          <w:color w:val="auto"/>
        </w:rPr>
        <w:t>W</w:t>
      </w:r>
      <w:r w:rsidR="002A6C9F">
        <w:rPr>
          <w:rFonts w:ascii="Trebuchet MS" w:hAnsi="Trebuchet MS"/>
          <w:color w:val="auto"/>
        </w:rPr>
        <w:t>hile the data above demonstrates that a significant majority of senior posts are held by women, w</w:t>
      </w:r>
      <w:r w:rsidR="006E26F0">
        <w:rPr>
          <w:rFonts w:ascii="Trebuchet MS" w:hAnsi="Trebuchet MS"/>
          <w:color w:val="auto"/>
        </w:rPr>
        <w:t>e continue to</w:t>
      </w:r>
      <w:r w:rsidR="00B01A69">
        <w:rPr>
          <w:rFonts w:ascii="Trebuchet MS" w:hAnsi="Trebuchet MS"/>
          <w:color w:val="auto"/>
        </w:rPr>
        <w:t xml:space="preserve"> have</w:t>
      </w:r>
      <w:r w:rsidR="006E26F0">
        <w:rPr>
          <w:rFonts w:ascii="Trebuchet MS" w:hAnsi="Trebuchet MS"/>
          <w:color w:val="auto"/>
        </w:rPr>
        <w:t xml:space="preserve"> a higher proportion of women in the lower paid grades</w:t>
      </w:r>
      <w:r w:rsidR="002A6C9F">
        <w:rPr>
          <w:rFonts w:ascii="Trebuchet MS" w:hAnsi="Trebuchet MS"/>
          <w:color w:val="auto"/>
        </w:rPr>
        <w:t xml:space="preserve"> and particularly grades 3 and 4 that comprise almost the whole of quartile 2</w:t>
      </w:r>
      <w:r w:rsidR="006E26F0">
        <w:rPr>
          <w:rFonts w:ascii="Trebuchet MS" w:hAnsi="Trebuchet MS"/>
          <w:color w:val="auto"/>
        </w:rPr>
        <w:t>.</w:t>
      </w:r>
    </w:p>
    <w:p w14:paraId="6E8720F5" w14:textId="6B7478C1" w:rsidR="0021370F" w:rsidRPr="00DC7D6E" w:rsidRDefault="007C515E" w:rsidP="001E4DE4">
      <w:pPr>
        <w:pStyle w:val="Default"/>
        <w:spacing w:after="120"/>
        <w:ind w:left="851" w:hanging="851"/>
        <w:jc w:val="both"/>
        <w:rPr>
          <w:rFonts w:ascii="Trebuchet MS" w:hAnsi="Trebuchet MS"/>
          <w:b/>
          <w:bCs/>
          <w:color w:val="auto"/>
        </w:rPr>
      </w:pPr>
      <w:r w:rsidRPr="00DC7D6E">
        <w:rPr>
          <w:rFonts w:ascii="Trebuchet MS" w:hAnsi="Trebuchet MS"/>
          <w:b/>
          <w:bCs/>
          <w:color w:val="auto"/>
        </w:rPr>
        <w:t>3.0</w:t>
      </w:r>
      <w:r w:rsidRPr="00DC7D6E">
        <w:rPr>
          <w:rFonts w:ascii="Trebuchet MS" w:hAnsi="Trebuchet MS"/>
          <w:b/>
          <w:bCs/>
          <w:color w:val="auto"/>
        </w:rPr>
        <w:tab/>
      </w:r>
      <w:r w:rsidR="0021370F" w:rsidRPr="00DC7D6E">
        <w:rPr>
          <w:rFonts w:ascii="Trebuchet MS" w:hAnsi="Trebuchet MS"/>
          <w:b/>
          <w:bCs/>
          <w:color w:val="auto"/>
        </w:rPr>
        <w:t xml:space="preserve">2023-24 </w:t>
      </w:r>
      <w:r w:rsidR="00DC7D6E">
        <w:rPr>
          <w:rFonts w:ascii="Trebuchet MS" w:hAnsi="Trebuchet MS"/>
          <w:b/>
          <w:bCs/>
          <w:color w:val="auto"/>
        </w:rPr>
        <w:t>A</w:t>
      </w:r>
      <w:r w:rsidR="00DC7D6E" w:rsidRPr="00DC7D6E">
        <w:rPr>
          <w:rFonts w:ascii="Trebuchet MS" w:hAnsi="Trebuchet MS"/>
          <w:b/>
          <w:bCs/>
          <w:color w:val="auto"/>
        </w:rPr>
        <w:t>ctivities</w:t>
      </w:r>
    </w:p>
    <w:p w14:paraId="5355F463" w14:textId="6BD060F3" w:rsidR="005936C8" w:rsidRPr="00024BAA" w:rsidRDefault="007C515E" w:rsidP="001E4DE4">
      <w:pPr>
        <w:pStyle w:val="Default"/>
        <w:spacing w:after="120"/>
        <w:ind w:left="851" w:hanging="851"/>
        <w:jc w:val="both"/>
        <w:rPr>
          <w:rFonts w:ascii="Trebuchet MS" w:hAnsi="Trebuchet MS"/>
          <w:color w:val="auto"/>
        </w:rPr>
      </w:pPr>
      <w:r>
        <w:rPr>
          <w:rFonts w:ascii="Trebuchet MS" w:hAnsi="Trebuchet MS"/>
          <w:color w:val="auto"/>
        </w:rPr>
        <w:t>3.1</w:t>
      </w:r>
      <w:r>
        <w:rPr>
          <w:rFonts w:ascii="Trebuchet MS" w:hAnsi="Trebuchet MS"/>
          <w:color w:val="auto"/>
        </w:rPr>
        <w:tab/>
        <w:t xml:space="preserve">2023-24 saw the successful delivery of </w:t>
      </w:r>
      <w:r w:rsidR="008C2683">
        <w:rPr>
          <w:rFonts w:ascii="Trebuchet MS" w:hAnsi="Trebuchet MS"/>
          <w:color w:val="auto"/>
        </w:rPr>
        <w:t>several</w:t>
      </w:r>
      <w:r>
        <w:rPr>
          <w:rFonts w:ascii="Trebuchet MS" w:hAnsi="Trebuchet MS"/>
          <w:color w:val="auto"/>
        </w:rPr>
        <w:t xml:space="preserve"> k</w:t>
      </w:r>
      <w:r w:rsidR="005936C8" w:rsidRPr="00024BAA">
        <w:rPr>
          <w:rFonts w:ascii="Trebuchet MS" w:hAnsi="Trebuchet MS"/>
          <w:color w:val="auto"/>
        </w:rPr>
        <w:t>ey activities</w:t>
      </w:r>
      <w:r>
        <w:rPr>
          <w:rFonts w:ascii="Trebuchet MS" w:hAnsi="Trebuchet MS"/>
          <w:color w:val="auto"/>
        </w:rPr>
        <w:t>. This list is not exhaustive but highlights some of the significant activity</w:t>
      </w:r>
      <w:r w:rsidR="005936C8" w:rsidRPr="00024BAA">
        <w:rPr>
          <w:rFonts w:ascii="Trebuchet MS" w:hAnsi="Trebuchet MS"/>
          <w:color w:val="auto"/>
        </w:rPr>
        <w:t xml:space="preserve"> that have taken place this year</w:t>
      </w:r>
      <w:r>
        <w:rPr>
          <w:rFonts w:ascii="Trebuchet MS" w:hAnsi="Trebuchet MS"/>
          <w:color w:val="auto"/>
        </w:rPr>
        <w:t>:</w:t>
      </w:r>
    </w:p>
    <w:p w14:paraId="4D0F7226" w14:textId="17B2C618" w:rsidR="005936C8" w:rsidRPr="00E552FB" w:rsidRDefault="005936C8" w:rsidP="00DC7D6E">
      <w:pPr>
        <w:pStyle w:val="ListParagraph"/>
        <w:numPr>
          <w:ilvl w:val="0"/>
          <w:numId w:val="33"/>
        </w:numPr>
        <w:spacing w:after="160" w:line="259" w:lineRule="auto"/>
        <w:ind w:left="1276"/>
        <w:rPr>
          <w:sz w:val="24"/>
          <w:szCs w:val="24"/>
        </w:rPr>
      </w:pPr>
      <w:r w:rsidRPr="00E552FB">
        <w:rPr>
          <w:sz w:val="24"/>
          <w:szCs w:val="24"/>
        </w:rPr>
        <w:t>DANWE</w:t>
      </w:r>
      <w:r w:rsidR="007C515E">
        <w:rPr>
          <w:sz w:val="24"/>
          <w:szCs w:val="24"/>
        </w:rPr>
        <w:t xml:space="preserve"> (Designing a new working environment)</w:t>
      </w:r>
      <w:r w:rsidRPr="00E552FB">
        <w:rPr>
          <w:sz w:val="24"/>
          <w:szCs w:val="24"/>
        </w:rPr>
        <w:t>: process was completed last year and as a result a new flexible working policy was developed and implemented to support our new ways of working.</w:t>
      </w:r>
    </w:p>
    <w:p w14:paraId="649B065A" w14:textId="5CB785E8" w:rsidR="005936C8" w:rsidRPr="00E552FB" w:rsidRDefault="005936C8" w:rsidP="00DC7D6E">
      <w:pPr>
        <w:pStyle w:val="ListParagraph"/>
        <w:numPr>
          <w:ilvl w:val="0"/>
          <w:numId w:val="33"/>
        </w:numPr>
        <w:spacing w:after="160" w:line="259" w:lineRule="auto"/>
        <w:ind w:left="1276"/>
        <w:rPr>
          <w:sz w:val="24"/>
          <w:szCs w:val="24"/>
        </w:rPr>
      </w:pPr>
      <w:r w:rsidRPr="00E552FB">
        <w:rPr>
          <w:sz w:val="24"/>
          <w:szCs w:val="24"/>
        </w:rPr>
        <w:t xml:space="preserve">Pay and Grade review which resulted in </w:t>
      </w:r>
      <w:r w:rsidR="000D7492" w:rsidRPr="00E552FB">
        <w:rPr>
          <w:sz w:val="24"/>
          <w:szCs w:val="24"/>
        </w:rPr>
        <w:t>155 job roles</w:t>
      </w:r>
      <w:r w:rsidRPr="00E552FB">
        <w:rPr>
          <w:sz w:val="24"/>
          <w:szCs w:val="24"/>
        </w:rPr>
        <w:t xml:space="preserve"> being evaluated, salaries being </w:t>
      </w:r>
      <w:r w:rsidR="008C2683" w:rsidRPr="00E552FB">
        <w:rPr>
          <w:sz w:val="24"/>
          <w:szCs w:val="24"/>
        </w:rPr>
        <w:t>benchmarked,</w:t>
      </w:r>
      <w:r w:rsidRPr="00E552FB">
        <w:rPr>
          <w:sz w:val="24"/>
          <w:szCs w:val="24"/>
        </w:rPr>
        <w:t xml:space="preserve"> and a new grade and salary structure being put i</w:t>
      </w:r>
      <w:r w:rsidR="008C2683">
        <w:rPr>
          <w:sz w:val="24"/>
          <w:szCs w:val="24"/>
        </w:rPr>
        <w:t>n</w:t>
      </w:r>
      <w:r w:rsidRPr="00E552FB">
        <w:rPr>
          <w:sz w:val="24"/>
          <w:szCs w:val="24"/>
        </w:rPr>
        <w:t xml:space="preserve"> place. Removing allowances that were being paid to </w:t>
      </w:r>
      <w:proofErr w:type="gramStart"/>
      <w:r w:rsidRPr="00E552FB">
        <w:rPr>
          <w:sz w:val="24"/>
          <w:szCs w:val="24"/>
        </w:rPr>
        <w:t>particular groups</w:t>
      </w:r>
      <w:proofErr w:type="gramEnd"/>
      <w:r w:rsidRPr="00E552FB">
        <w:rPr>
          <w:sz w:val="24"/>
          <w:szCs w:val="24"/>
        </w:rPr>
        <w:t xml:space="preserve"> of staff and lessening the gap between Scottish Government and SLAB at the higher grades.</w:t>
      </w:r>
    </w:p>
    <w:p w14:paraId="494B7A0B" w14:textId="0798F56B" w:rsidR="005936C8" w:rsidRPr="00E552FB" w:rsidRDefault="005936C8" w:rsidP="00DC7D6E">
      <w:pPr>
        <w:pStyle w:val="ListParagraph"/>
        <w:numPr>
          <w:ilvl w:val="0"/>
          <w:numId w:val="33"/>
        </w:numPr>
        <w:spacing w:after="160" w:line="259" w:lineRule="auto"/>
        <w:ind w:left="1276"/>
        <w:rPr>
          <w:sz w:val="24"/>
          <w:szCs w:val="24"/>
        </w:rPr>
      </w:pPr>
      <w:r w:rsidRPr="00E552FB">
        <w:rPr>
          <w:sz w:val="24"/>
          <w:szCs w:val="24"/>
        </w:rPr>
        <w:t xml:space="preserve">Performance review: interim process </w:t>
      </w:r>
      <w:r w:rsidR="00B4745B" w:rsidRPr="00E552FB">
        <w:rPr>
          <w:sz w:val="24"/>
          <w:szCs w:val="24"/>
        </w:rPr>
        <w:t xml:space="preserve">was put </w:t>
      </w:r>
      <w:r w:rsidRPr="00E552FB">
        <w:rPr>
          <w:sz w:val="24"/>
          <w:szCs w:val="24"/>
        </w:rPr>
        <w:t>in place pending Policy work</w:t>
      </w:r>
      <w:r w:rsidR="008C2683">
        <w:rPr>
          <w:sz w:val="24"/>
          <w:szCs w:val="24"/>
        </w:rPr>
        <w:t>.</w:t>
      </w:r>
    </w:p>
    <w:p w14:paraId="385D378B" w14:textId="120BBF13" w:rsidR="005936C8" w:rsidRPr="00E552FB" w:rsidRDefault="005936C8" w:rsidP="00DC7D6E">
      <w:pPr>
        <w:pStyle w:val="ListParagraph"/>
        <w:numPr>
          <w:ilvl w:val="0"/>
          <w:numId w:val="33"/>
        </w:numPr>
        <w:spacing w:after="160" w:line="259" w:lineRule="auto"/>
        <w:ind w:left="1276"/>
        <w:rPr>
          <w:sz w:val="24"/>
          <w:szCs w:val="24"/>
        </w:rPr>
      </w:pPr>
      <w:r w:rsidRPr="00E552FB">
        <w:rPr>
          <w:sz w:val="24"/>
          <w:szCs w:val="24"/>
        </w:rPr>
        <w:t xml:space="preserve">Leadership development programme: </w:t>
      </w:r>
      <w:r w:rsidR="00B4745B" w:rsidRPr="00E552FB">
        <w:rPr>
          <w:sz w:val="24"/>
          <w:szCs w:val="24"/>
        </w:rPr>
        <w:t xml:space="preserve">in </w:t>
      </w:r>
      <w:r w:rsidRPr="00E552FB">
        <w:rPr>
          <w:sz w:val="24"/>
          <w:szCs w:val="24"/>
        </w:rPr>
        <w:t xml:space="preserve">place </w:t>
      </w:r>
      <w:r w:rsidR="00B4745B" w:rsidRPr="00E552FB">
        <w:rPr>
          <w:sz w:val="24"/>
          <w:szCs w:val="24"/>
        </w:rPr>
        <w:t>which focuses on leadership mindsets and the ability to lead through change.</w:t>
      </w:r>
    </w:p>
    <w:p w14:paraId="6B28B492" w14:textId="67ADEE07" w:rsidR="005936C8" w:rsidRDefault="005936C8" w:rsidP="00DC7D6E">
      <w:pPr>
        <w:pStyle w:val="ListParagraph"/>
        <w:numPr>
          <w:ilvl w:val="0"/>
          <w:numId w:val="33"/>
        </w:numPr>
        <w:spacing w:after="160" w:line="259" w:lineRule="auto"/>
        <w:ind w:left="1276"/>
        <w:rPr>
          <w:sz w:val="24"/>
          <w:szCs w:val="24"/>
        </w:rPr>
      </w:pPr>
      <w:r w:rsidRPr="00E552FB">
        <w:rPr>
          <w:sz w:val="24"/>
          <w:szCs w:val="24"/>
        </w:rPr>
        <w:t>Workforce planning: methodology agreed</w:t>
      </w:r>
      <w:r w:rsidR="008C2683">
        <w:rPr>
          <w:sz w:val="24"/>
          <w:szCs w:val="24"/>
        </w:rPr>
        <w:t>.</w:t>
      </w:r>
    </w:p>
    <w:p w14:paraId="327FAE3B" w14:textId="1691703E" w:rsidR="00DC7D6E" w:rsidRDefault="00DC7D6E" w:rsidP="00DC7D6E">
      <w:pPr>
        <w:pStyle w:val="ListParagraph"/>
        <w:numPr>
          <w:ilvl w:val="0"/>
          <w:numId w:val="33"/>
        </w:numPr>
        <w:spacing w:after="160" w:line="259" w:lineRule="auto"/>
        <w:ind w:left="1276"/>
        <w:rPr>
          <w:sz w:val="24"/>
          <w:szCs w:val="24"/>
        </w:rPr>
      </w:pPr>
      <w:r>
        <w:rPr>
          <w:sz w:val="24"/>
          <w:szCs w:val="24"/>
        </w:rPr>
        <w:t>Change in our Occupational Health Provider</w:t>
      </w:r>
      <w:r w:rsidR="008C2683">
        <w:rPr>
          <w:sz w:val="24"/>
          <w:szCs w:val="24"/>
        </w:rPr>
        <w:t>.</w:t>
      </w:r>
    </w:p>
    <w:p w14:paraId="1A35282C" w14:textId="648BAB00" w:rsidR="00DC7D6E" w:rsidRPr="00E552FB" w:rsidRDefault="00DC7D6E" w:rsidP="00DC7D6E">
      <w:pPr>
        <w:pStyle w:val="ListParagraph"/>
        <w:numPr>
          <w:ilvl w:val="0"/>
          <w:numId w:val="33"/>
        </w:numPr>
        <w:spacing w:after="160" w:line="259" w:lineRule="auto"/>
        <w:ind w:left="1276"/>
        <w:rPr>
          <w:sz w:val="24"/>
          <w:szCs w:val="24"/>
        </w:rPr>
      </w:pPr>
      <w:r>
        <w:rPr>
          <w:sz w:val="24"/>
          <w:szCs w:val="24"/>
        </w:rPr>
        <w:t>Launch of Eden Red staff support and benefits package</w:t>
      </w:r>
      <w:r w:rsidR="008C2683">
        <w:rPr>
          <w:sz w:val="24"/>
          <w:szCs w:val="24"/>
        </w:rPr>
        <w:t>.</w:t>
      </w:r>
    </w:p>
    <w:p w14:paraId="3ADCB8B2" w14:textId="41CDE5F7" w:rsidR="005936C8" w:rsidRPr="00E552FB" w:rsidRDefault="005936C8" w:rsidP="00DC7D6E">
      <w:pPr>
        <w:pStyle w:val="ListParagraph"/>
        <w:numPr>
          <w:ilvl w:val="0"/>
          <w:numId w:val="33"/>
        </w:numPr>
        <w:spacing w:after="160" w:line="259" w:lineRule="auto"/>
        <w:ind w:left="1276"/>
        <w:rPr>
          <w:sz w:val="24"/>
          <w:szCs w:val="24"/>
        </w:rPr>
      </w:pPr>
      <w:r w:rsidRPr="00E552FB">
        <w:rPr>
          <w:sz w:val="24"/>
          <w:szCs w:val="24"/>
        </w:rPr>
        <w:t xml:space="preserve">HR Policies: </w:t>
      </w:r>
      <w:r w:rsidR="008C2683">
        <w:rPr>
          <w:sz w:val="24"/>
          <w:szCs w:val="24"/>
        </w:rPr>
        <w:t>Six</w:t>
      </w:r>
      <w:r w:rsidRPr="00E552FB">
        <w:rPr>
          <w:sz w:val="24"/>
          <w:szCs w:val="24"/>
        </w:rPr>
        <w:t xml:space="preserve"> new policies </w:t>
      </w:r>
      <w:r w:rsidR="008C2683">
        <w:rPr>
          <w:sz w:val="24"/>
          <w:szCs w:val="24"/>
        </w:rPr>
        <w:t>(</w:t>
      </w:r>
      <w:r w:rsidR="00B4745B" w:rsidRPr="00E552FB">
        <w:rPr>
          <w:sz w:val="24"/>
          <w:szCs w:val="24"/>
        </w:rPr>
        <w:t>family friendly, flexible working</w:t>
      </w:r>
      <w:r w:rsidR="008C2683">
        <w:rPr>
          <w:sz w:val="24"/>
          <w:szCs w:val="24"/>
        </w:rPr>
        <w:t>,</w:t>
      </w:r>
      <w:r w:rsidR="00B4745B" w:rsidRPr="00E552FB">
        <w:rPr>
          <w:sz w:val="24"/>
          <w:szCs w:val="24"/>
        </w:rPr>
        <w:t xml:space="preserve"> managing sickness absence, recruitment, pay and dignity at work</w:t>
      </w:r>
      <w:r w:rsidR="00172A98">
        <w:rPr>
          <w:sz w:val="24"/>
          <w:szCs w:val="24"/>
        </w:rPr>
        <w:t>)</w:t>
      </w:r>
      <w:r w:rsidR="00B4745B" w:rsidRPr="00E552FB">
        <w:rPr>
          <w:sz w:val="24"/>
          <w:szCs w:val="24"/>
        </w:rPr>
        <w:t xml:space="preserve"> were implemented. A methodology has been established to develop others. Managers are trained in these new policies and guidance documents have been developed.</w:t>
      </w:r>
    </w:p>
    <w:p w14:paraId="1D5539F7" w14:textId="315C6DA4" w:rsidR="00027B5C" w:rsidRPr="00475014" w:rsidRDefault="007C515E" w:rsidP="00027B5C">
      <w:pPr>
        <w:spacing w:after="120"/>
        <w:rPr>
          <w:b/>
          <w:sz w:val="24"/>
          <w:szCs w:val="24"/>
        </w:rPr>
      </w:pPr>
      <w:r>
        <w:rPr>
          <w:b/>
          <w:sz w:val="24"/>
          <w:szCs w:val="24"/>
        </w:rPr>
        <w:t xml:space="preserve">4.0 </w:t>
      </w:r>
      <w:r>
        <w:rPr>
          <w:b/>
          <w:sz w:val="24"/>
          <w:szCs w:val="24"/>
        </w:rPr>
        <w:tab/>
      </w:r>
      <w:r w:rsidR="00475014" w:rsidRPr="00475014">
        <w:rPr>
          <w:b/>
          <w:sz w:val="24"/>
          <w:szCs w:val="24"/>
        </w:rPr>
        <w:t>202</w:t>
      </w:r>
      <w:r w:rsidR="005936C8">
        <w:rPr>
          <w:b/>
          <w:sz w:val="24"/>
          <w:szCs w:val="24"/>
        </w:rPr>
        <w:t>4-25</w:t>
      </w:r>
      <w:r w:rsidR="00475014" w:rsidRPr="00475014">
        <w:rPr>
          <w:b/>
          <w:sz w:val="24"/>
          <w:szCs w:val="24"/>
        </w:rPr>
        <w:t xml:space="preserve"> PRIORITIES</w:t>
      </w:r>
      <w:r w:rsidR="00027B5C" w:rsidRPr="00475014">
        <w:rPr>
          <w:b/>
          <w:sz w:val="24"/>
          <w:szCs w:val="24"/>
        </w:rPr>
        <w:t xml:space="preserve"> </w:t>
      </w:r>
    </w:p>
    <w:p w14:paraId="4C2C0B41" w14:textId="6A604D5D" w:rsidR="000A75E8" w:rsidRDefault="000A75E8" w:rsidP="00172A98">
      <w:pPr>
        <w:pStyle w:val="Default"/>
        <w:numPr>
          <w:ilvl w:val="1"/>
          <w:numId w:val="41"/>
        </w:numPr>
        <w:spacing w:after="120"/>
        <w:ind w:hanging="852"/>
        <w:rPr>
          <w:rFonts w:ascii="Trebuchet MS" w:hAnsi="Trebuchet MS"/>
        </w:rPr>
      </w:pPr>
      <w:r>
        <w:rPr>
          <w:rFonts w:ascii="Trebuchet MS" w:hAnsi="Trebuchet MS"/>
        </w:rPr>
        <w:t xml:space="preserve">The following projects have been </w:t>
      </w:r>
      <w:proofErr w:type="spellStart"/>
      <w:r>
        <w:rPr>
          <w:rFonts w:ascii="Trebuchet MS" w:hAnsi="Trebuchet MS"/>
        </w:rPr>
        <w:t>prioriti</w:t>
      </w:r>
      <w:r w:rsidR="00172A98">
        <w:rPr>
          <w:rFonts w:ascii="Trebuchet MS" w:hAnsi="Trebuchet MS"/>
        </w:rPr>
        <w:t>s</w:t>
      </w:r>
      <w:r>
        <w:rPr>
          <w:rFonts w:ascii="Trebuchet MS" w:hAnsi="Trebuchet MS"/>
        </w:rPr>
        <w:t>ed</w:t>
      </w:r>
      <w:proofErr w:type="spellEnd"/>
      <w:r>
        <w:rPr>
          <w:rFonts w:ascii="Trebuchet MS" w:hAnsi="Trebuchet MS"/>
        </w:rPr>
        <w:t xml:space="preserve"> for the forthcoming year:</w:t>
      </w:r>
    </w:p>
    <w:p w14:paraId="580ED2AA" w14:textId="6951567F" w:rsidR="007C515E" w:rsidRDefault="007C515E" w:rsidP="00172A98">
      <w:pPr>
        <w:pStyle w:val="ListParagraph"/>
        <w:numPr>
          <w:ilvl w:val="0"/>
          <w:numId w:val="34"/>
        </w:numPr>
        <w:spacing w:after="160" w:line="259" w:lineRule="auto"/>
        <w:rPr>
          <w:sz w:val="24"/>
          <w:szCs w:val="24"/>
        </w:rPr>
      </w:pPr>
      <w:r>
        <w:rPr>
          <w:sz w:val="24"/>
          <w:szCs w:val="24"/>
        </w:rPr>
        <w:t xml:space="preserve">Policy review: Staff performance, Domestic Abuse, Learning </w:t>
      </w:r>
      <w:r w:rsidR="00FD0301">
        <w:rPr>
          <w:sz w:val="24"/>
          <w:szCs w:val="24"/>
        </w:rPr>
        <w:t>&amp;</w:t>
      </w:r>
      <w:r>
        <w:rPr>
          <w:sz w:val="24"/>
          <w:szCs w:val="24"/>
        </w:rPr>
        <w:t xml:space="preserve"> Development, Annual Leave, Retirement</w:t>
      </w:r>
      <w:r w:rsidR="00FD0301">
        <w:rPr>
          <w:sz w:val="24"/>
          <w:szCs w:val="24"/>
        </w:rPr>
        <w:t xml:space="preserve"> and Discipline &amp; Grievance</w:t>
      </w:r>
      <w:r w:rsidR="00172A98">
        <w:rPr>
          <w:sz w:val="24"/>
          <w:szCs w:val="24"/>
        </w:rPr>
        <w:t>.</w:t>
      </w:r>
    </w:p>
    <w:p w14:paraId="1ADAEDBC" w14:textId="7E1CE85C" w:rsidR="005936C8" w:rsidRPr="007537AE" w:rsidRDefault="005936C8" w:rsidP="00172A98">
      <w:pPr>
        <w:pStyle w:val="ListParagraph"/>
        <w:numPr>
          <w:ilvl w:val="0"/>
          <w:numId w:val="34"/>
        </w:numPr>
        <w:spacing w:after="160" w:line="259" w:lineRule="auto"/>
        <w:rPr>
          <w:sz w:val="24"/>
          <w:szCs w:val="24"/>
        </w:rPr>
      </w:pPr>
      <w:r w:rsidRPr="007537AE">
        <w:rPr>
          <w:sz w:val="24"/>
          <w:szCs w:val="24"/>
        </w:rPr>
        <w:t>Review staff performance management</w:t>
      </w:r>
      <w:r w:rsidR="007C515E">
        <w:rPr>
          <w:sz w:val="24"/>
          <w:szCs w:val="24"/>
        </w:rPr>
        <w:t xml:space="preserve">, following </w:t>
      </w:r>
      <w:r w:rsidR="00172A98">
        <w:rPr>
          <w:sz w:val="24"/>
          <w:szCs w:val="24"/>
        </w:rPr>
        <w:t>P</w:t>
      </w:r>
      <w:r w:rsidR="007C515E">
        <w:rPr>
          <w:sz w:val="24"/>
          <w:szCs w:val="24"/>
        </w:rPr>
        <w:t>olicy development</w:t>
      </w:r>
      <w:r w:rsidR="00172A98">
        <w:rPr>
          <w:sz w:val="24"/>
          <w:szCs w:val="24"/>
        </w:rPr>
        <w:t>.</w:t>
      </w:r>
    </w:p>
    <w:p w14:paraId="5BDEFCAB" w14:textId="70703507" w:rsidR="005936C8" w:rsidRDefault="005936C8" w:rsidP="00172A98">
      <w:pPr>
        <w:pStyle w:val="ListParagraph"/>
        <w:numPr>
          <w:ilvl w:val="0"/>
          <w:numId w:val="34"/>
        </w:numPr>
        <w:spacing w:after="160" w:line="259" w:lineRule="auto"/>
        <w:rPr>
          <w:sz w:val="24"/>
          <w:szCs w:val="24"/>
        </w:rPr>
      </w:pPr>
      <w:r w:rsidRPr="007537AE">
        <w:rPr>
          <w:sz w:val="24"/>
          <w:szCs w:val="24"/>
        </w:rPr>
        <w:t xml:space="preserve">Staff survey </w:t>
      </w:r>
      <w:r w:rsidR="00FD0301">
        <w:rPr>
          <w:sz w:val="24"/>
          <w:szCs w:val="24"/>
        </w:rPr>
        <w:t xml:space="preserve">corporate </w:t>
      </w:r>
      <w:r w:rsidRPr="007537AE">
        <w:rPr>
          <w:sz w:val="24"/>
          <w:szCs w:val="24"/>
        </w:rPr>
        <w:t>action plan</w:t>
      </w:r>
      <w:r w:rsidR="00172A98">
        <w:rPr>
          <w:sz w:val="24"/>
          <w:szCs w:val="24"/>
        </w:rPr>
        <w:t>.</w:t>
      </w:r>
    </w:p>
    <w:p w14:paraId="1C6E1428" w14:textId="360B0A6F" w:rsidR="00FD0301" w:rsidRPr="007537AE" w:rsidRDefault="00FD0301" w:rsidP="00172A98">
      <w:pPr>
        <w:pStyle w:val="ListParagraph"/>
        <w:numPr>
          <w:ilvl w:val="0"/>
          <w:numId w:val="34"/>
        </w:numPr>
        <w:spacing w:after="160" w:line="259" w:lineRule="auto"/>
        <w:rPr>
          <w:sz w:val="24"/>
          <w:szCs w:val="24"/>
        </w:rPr>
      </w:pPr>
      <w:r>
        <w:rPr>
          <w:sz w:val="24"/>
          <w:szCs w:val="24"/>
        </w:rPr>
        <w:t>Review staff benefits, using the benchmarking data to complete the pay review, including total value proposition</w:t>
      </w:r>
      <w:r w:rsidR="00172A98">
        <w:rPr>
          <w:sz w:val="24"/>
          <w:szCs w:val="24"/>
        </w:rPr>
        <w:t>.</w:t>
      </w:r>
    </w:p>
    <w:p w14:paraId="14900EE1" w14:textId="609C0549" w:rsidR="005936C8" w:rsidRPr="007537AE" w:rsidRDefault="005936C8" w:rsidP="00172A98">
      <w:pPr>
        <w:pStyle w:val="ListParagraph"/>
        <w:numPr>
          <w:ilvl w:val="0"/>
          <w:numId w:val="34"/>
        </w:numPr>
        <w:spacing w:after="160" w:line="259" w:lineRule="auto"/>
        <w:rPr>
          <w:sz w:val="24"/>
          <w:szCs w:val="24"/>
        </w:rPr>
      </w:pPr>
      <w:r w:rsidRPr="007537AE">
        <w:rPr>
          <w:sz w:val="24"/>
          <w:szCs w:val="24"/>
        </w:rPr>
        <w:t>Investigation of value/purpose/desire to be trauma informed organisation</w:t>
      </w:r>
      <w:r w:rsidR="00172A98">
        <w:rPr>
          <w:sz w:val="24"/>
          <w:szCs w:val="24"/>
        </w:rPr>
        <w:t>.</w:t>
      </w:r>
    </w:p>
    <w:p w14:paraId="759790A5" w14:textId="5C83ADDD" w:rsidR="005936C8" w:rsidRPr="007537AE" w:rsidRDefault="005936C8" w:rsidP="00172A98">
      <w:pPr>
        <w:pStyle w:val="ListParagraph"/>
        <w:numPr>
          <w:ilvl w:val="0"/>
          <w:numId w:val="34"/>
        </w:numPr>
        <w:spacing w:after="160" w:line="259" w:lineRule="auto"/>
        <w:rPr>
          <w:sz w:val="24"/>
          <w:szCs w:val="24"/>
        </w:rPr>
      </w:pPr>
      <w:r w:rsidRPr="007537AE">
        <w:rPr>
          <w:sz w:val="24"/>
          <w:szCs w:val="24"/>
        </w:rPr>
        <w:t>Leadership and development programme to next tier</w:t>
      </w:r>
      <w:r w:rsidR="00172A98">
        <w:rPr>
          <w:sz w:val="24"/>
          <w:szCs w:val="24"/>
        </w:rPr>
        <w:t>.</w:t>
      </w:r>
    </w:p>
    <w:p w14:paraId="52951203" w14:textId="0194867C" w:rsidR="005936C8" w:rsidRPr="007537AE" w:rsidRDefault="00FD0301" w:rsidP="00172A98">
      <w:pPr>
        <w:pStyle w:val="ListParagraph"/>
        <w:numPr>
          <w:ilvl w:val="0"/>
          <w:numId w:val="34"/>
        </w:numPr>
        <w:spacing w:after="160" w:line="259" w:lineRule="auto"/>
        <w:rPr>
          <w:sz w:val="24"/>
          <w:szCs w:val="24"/>
        </w:rPr>
      </w:pPr>
      <w:r>
        <w:rPr>
          <w:sz w:val="24"/>
          <w:szCs w:val="24"/>
        </w:rPr>
        <w:t xml:space="preserve">Develop the first </w:t>
      </w:r>
      <w:r w:rsidR="00172A98" w:rsidRPr="007537AE">
        <w:rPr>
          <w:sz w:val="24"/>
          <w:szCs w:val="24"/>
        </w:rPr>
        <w:t>corporate</w:t>
      </w:r>
      <w:r w:rsidR="005936C8" w:rsidRPr="007537AE">
        <w:rPr>
          <w:sz w:val="24"/>
          <w:szCs w:val="24"/>
        </w:rPr>
        <w:t xml:space="preserve"> </w:t>
      </w:r>
      <w:r>
        <w:rPr>
          <w:sz w:val="24"/>
          <w:szCs w:val="24"/>
        </w:rPr>
        <w:t>people plan</w:t>
      </w:r>
      <w:r w:rsidR="00172A98">
        <w:rPr>
          <w:sz w:val="24"/>
          <w:szCs w:val="24"/>
        </w:rPr>
        <w:t>.</w:t>
      </w:r>
      <w:r>
        <w:rPr>
          <w:sz w:val="24"/>
          <w:szCs w:val="24"/>
        </w:rPr>
        <w:t xml:space="preserve"> </w:t>
      </w:r>
    </w:p>
    <w:p w14:paraId="3BE0D189" w14:textId="39F7F4F3" w:rsidR="005936C8" w:rsidRPr="007537AE" w:rsidRDefault="005936C8" w:rsidP="005936C8">
      <w:pPr>
        <w:pStyle w:val="ListParagraph"/>
        <w:numPr>
          <w:ilvl w:val="0"/>
          <w:numId w:val="34"/>
        </w:numPr>
        <w:spacing w:after="160" w:line="259" w:lineRule="auto"/>
        <w:rPr>
          <w:sz w:val="24"/>
          <w:szCs w:val="24"/>
        </w:rPr>
      </w:pPr>
      <w:r w:rsidRPr="007537AE">
        <w:rPr>
          <w:sz w:val="24"/>
          <w:szCs w:val="24"/>
        </w:rPr>
        <w:lastRenderedPageBreak/>
        <w:t>Oracle functionality – recruitment and performance management (if appropriate)</w:t>
      </w:r>
      <w:r w:rsidR="00172A98">
        <w:rPr>
          <w:sz w:val="24"/>
          <w:szCs w:val="24"/>
        </w:rPr>
        <w:t>.</w:t>
      </w:r>
    </w:p>
    <w:p w14:paraId="3AD34372" w14:textId="787CE711" w:rsidR="005936C8" w:rsidRPr="007537AE" w:rsidRDefault="005936C8" w:rsidP="005936C8">
      <w:pPr>
        <w:pStyle w:val="ListParagraph"/>
        <w:numPr>
          <w:ilvl w:val="0"/>
          <w:numId w:val="34"/>
        </w:numPr>
        <w:spacing w:after="160" w:line="259" w:lineRule="auto"/>
        <w:rPr>
          <w:sz w:val="24"/>
          <w:szCs w:val="24"/>
        </w:rPr>
      </w:pPr>
      <w:r w:rsidRPr="007537AE">
        <w:rPr>
          <w:sz w:val="24"/>
          <w:szCs w:val="24"/>
        </w:rPr>
        <w:t>Staffing establishment and revised procedure guidance</w:t>
      </w:r>
      <w:r w:rsidR="00172A98">
        <w:rPr>
          <w:sz w:val="24"/>
          <w:szCs w:val="24"/>
        </w:rPr>
        <w:t>.</w:t>
      </w:r>
    </w:p>
    <w:p w14:paraId="5F389181" w14:textId="77777777" w:rsidR="000A75E8" w:rsidRDefault="000A75E8" w:rsidP="000A75E8">
      <w:pPr>
        <w:pStyle w:val="ListParagraph"/>
      </w:pPr>
    </w:p>
    <w:p w14:paraId="414E4787" w14:textId="6F3E9782" w:rsidR="00DC7D6E" w:rsidRPr="00172A98" w:rsidRDefault="005936C8" w:rsidP="00DC7D6E">
      <w:pPr>
        <w:pStyle w:val="Default"/>
        <w:numPr>
          <w:ilvl w:val="1"/>
          <w:numId w:val="41"/>
        </w:numPr>
        <w:spacing w:after="120"/>
        <w:ind w:hanging="852"/>
        <w:rPr>
          <w:rFonts w:ascii="Trebuchet MS" w:hAnsi="Trebuchet MS"/>
        </w:rPr>
      </w:pPr>
      <w:r>
        <w:rPr>
          <w:rFonts w:ascii="Trebuchet MS" w:hAnsi="Trebuchet MS"/>
        </w:rPr>
        <w:t xml:space="preserve">The pay and grade projected is nearing completion in that a new pay and grade structure is in place. We do still need to hear appeals to outcome of roles. This we are hoping to have completed by June. </w:t>
      </w:r>
    </w:p>
    <w:p w14:paraId="74DAFAC3" w14:textId="16657F6E" w:rsidR="002B55F0" w:rsidRPr="00172A98" w:rsidRDefault="00027B5C" w:rsidP="00C80B3B">
      <w:pPr>
        <w:pStyle w:val="Default"/>
        <w:spacing w:after="120"/>
        <w:jc w:val="both"/>
        <w:rPr>
          <w:b/>
          <w:bCs/>
          <w:highlight w:val="yellow"/>
        </w:rPr>
      </w:pPr>
      <w:r w:rsidRPr="00172A98">
        <w:rPr>
          <w:rFonts w:ascii="Trebuchet MS" w:hAnsi="Trebuchet MS"/>
          <w:b/>
          <w:bCs/>
        </w:rPr>
        <w:t xml:space="preserve"> </w:t>
      </w:r>
      <w:r w:rsidR="00172A98" w:rsidRPr="00172A98">
        <w:rPr>
          <w:rFonts w:ascii="Trebuchet MS" w:hAnsi="Trebuchet MS"/>
          <w:b/>
          <w:bCs/>
        </w:rPr>
        <w:t>Governance Links</w:t>
      </w:r>
    </w:p>
    <w:tbl>
      <w:tblPr>
        <w:tblStyle w:val="TableGrid"/>
        <w:tblW w:w="10060" w:type="dxa"/>
        <w:tblLook w:val="04A0" w:firstRow="1" w:lastRow="0" w:firstColumn="1" w:lastColumn="0" w:noHBand="0" w:noVBand="1"/>
      </w:tblPr>
      <w:tblGrid>
        <w:gridCol w:w="421"/>
        <w:gridCol w:w="9639"/>
      </w:tblGrid>
      <w:tr w:rsidR="00B26F64" w:rsidRPr="00475014" w14:paraId="0D324E9D" w14:textId="77777777" w:rsidTr="00172A98">
        <w:tc>
          <w:tcPr>
            <w:tcW w:w="421" w:type="dxa"/>
            <w:shd w:val="clear" w:color="auto" w:fill="auto"/>
          </w:tcPr>
          <w:p w14:paraId="051333E6" w14:textId="77777777" w:rsidR="00B26F64" w:rsidRPr="00475014" w:rsidRDefault="00B26F64" w:rsidP="0076103C">
            <w:pPr>
              <w:spacing w:before="120"/>
              <w:rPr>
                <w:sz w:val="24"/>
                <w:szCs w:val="24"/>
              </w:rPr>
            </w:pPr>
            <w:r w:rsidRPr="00475014">
              <w:rPr>
                <w:sz w:val="24"/>
                <w:szCs w:val="24"/>
              </w:rPr>
              <w:t>1</w:t>
            </w:r>
          </w:p>
        </w:tc>
        <w:tc>
          <w:tcPr>
            <w:tcW w:w="9639" w:type="dxa"/>
            <w:shd w:val="clear" w:color="auto" w:fill="auto"/>
          </w:tcPr>
          <w:p w14:paraId="4CBAB268" w14:textId="77777777" w:rsidR="0076103C" w:rsidRPr="00475014" w:rsidRDefault="0098730C" w:rsidP="0076103C">
            <w:pPr>
              <w:spacing w:before="120" w:after="120"/>
              <w:rPr>
                <w:b/>
                <w:sz w:val="24"/>
                <w:szCs w:val="24"/>
              </w:rPr>
            </w:pPr>
            <w:r w:rsidRPr="00475014">
              <w:rPr>
                <w:b/>
                <w:sz w:val="24"/>
                <w:szCs w:val="24"/>
              </w:rPr>
              <w:t>Finance and Resources</w:t>
            </w:r>
          </w:p>
          <w:p w14:paraId="315B0DEF" w14:textId="77777777" w:rsidR="00B26F64" w:rsidRPr="00475014" w:rsidRDefault="00D47D96" w:rsidP="009C6FFE">
            <w:pPr>
              <w:spacing w:after="120"/>
              <w:rPr>
                <w:sz w:val="24"/>
                <w:szCs w:val="24"/>
              </w:rPr>
            </w:pPr>
            <w:r w:rsidRPr="00475014">
              <w:rPr>
                <w:sz w:val="24"/>
                <w:szCs w:val="24"/>
              </w:rPr>
              <w:t>Delivery of the People Strategy will be within available administration funding</w:t>
            </w:r>
            <w:r w:rsidR="00042CAC" w:rsidRPr="00475014">
              <w:rPr>
                <w:sz w:val="24"/>
                <w:szCs w:val="24"/>
              </w:rPr>
              <w:t>.</w:t>
            </w:r>
            <w:r w:rsidRPr="00475014">
              <w:rPr>
                <w:sz w:val="24"/>
                <w:szCs w:val="24"/>
              </w:rPr>
              <w:t xml:space="preserve">  Availability of staff resources to deliver is within the staffing establishment.</w:t>
            </w:r>
          </w:p>
        </w:tc>
      </w:tr>
      <w:tr w:rsidR="0098730C" w:rsidRPr="00475014" w14:paraId="0C49B831" w14:textId="77777777" w:rsidTr="00172A98">
        <w:tc>
          <w:tcPr>
            <w:tcW w:w="421" w:type="dxa"/>
          </w:tcPr>
          <w:p w14:paraId="5DFE86C5" w14:textId="77777777" w:rsidR="0098730C" w:rsidRPr="00475014" w:rsidRDefault="0098730C" w:rsidP="0076103C">
            <w:pPr>
              <w:spacing w:before="120"/>
              <w:rPr>
                <w:sz w:val="24"/>
                <w:szCs w:val="24"/>
              </w:rPr>
            </w:pPr>
            <w:r w:rsidRPr="00475014">
              <w:rPr>
                <w:sz w:val="24"/>
                <w:szCs w:val="24"/>
              </w:rPr>
              <w:t>2</w:t>
            </w:r>
          </w:p>
        </w:tc>
        <w:tc>
          <w:tcPr>
            <w:tcW w:w="9639" w:type="dxa"/>
          </w:tcPr>
          <w:p w14:paraId="08851414" w14:textId="77777777" w:rsidR="0076103C" w:rsidRPr="00475014" w:rsidRDefault="0098730C" w:rsidP="0076103C">
            <w:pPr>
              <w:spacing w:before="120" w:after="120"/>
              <w:rPr>
                <w:b/>
                <w:sz w:val="24"/>
                <w:szCs w:val="24"/>
              </w:rPr>
            </w:pPr>
            <w:r w:rsidRPr="00475014">
              <w:rPr>
                <w:b/>
                <w:sz w:val="24"/>
                <w:szCs w:val="24"/>
              </w:rPr>
              <w:t xml:space="preserve">Risk </w:t>
            </w:r>
          </w:p>
          <w:p w14:paraId="745FF4F1" w14:textId="77777777" w:rsidR="00D85E1D" w:rsidRPr="00475014" w:rsidRDefault="00D85E1D" w:rsidP="00D85E1D">
            <w:pPr>
              <w:autoSpaceDE w:val="0"/>
              <w:autoSpaceDN w:val="0"/>
              <w:adjustRightInd w:val="0"/>
              <w:rPr>
                <w:rFonts w:cs="TrebuchetMS"/>
                <w:sz w:val="24"/>
                <w:szCs w:val="24"/>
              </w:rPr>
            </w:pPr>
            <w:r w:rsidRPr="00475014">
              <w:rPr>
                <w:rFonts w:cs="TrebuchetMS"/>
                <w:sz w:val="24"/>
                <w:szCs w:val="24"/>
              </w:rPr>
              <w:t xml:space="preserve">Risks will be escalated as appropriate and significant risks flagged </w:t>
            </w:r>
            <w:proofErr w:type="gramStart"/>
            <w:r w:rsidRPr="00475014">
              <w:rPr>
                <w:rFonts w:cs="TrebuchetMS"/>
                <w:sz w:val="24"/>
                <w:szCs w:val="24"/>
              </w:rPr>
              <w:t>to</w:t>
            </w:r>
            <w:proofErr w:type="gramEnd"/>
            <w:r w:rsidRPr="00475014">
              <w:rPr>
                <w:rFonts w:cs="TrebuchetMS"/>
                <w:sz w:val="24"/>
                <w:szCs w:val="24"/>
              </w:rPr>
              <w:t xml:space="preserve"> the</w:t>
            </w:r>
          </w:p>
          <w:p w14:paraId="057FA0D5" w14:textId="78FE3387" w:rsidR="0098730C" w:rsidRPr="00475014" w:rsidRDefault="00D85E1D" w:rsidP="00172A98">
            <w:pPr>
              <w:rPr>
                <w:sz w:val="24"/>
                <w:szCs w:val="24"/>
              </w:rPr>
            </w:pPr>
            <w:r w:rsidRPr="00475014">
              <w:rPr>
                <w:rFonts w:cs="TrebuchetMS"/>
                <w:sz w:val="24"/>
                <w:szCs w:val="24"/>
              </w:rPr>
              <w:t>Board or relevant Committee</w:t>
            </w:r>
            <w:r w:rsidR="00170998" w:rsidRPr="00475014">
              <w:rPr>
                <w:sz w:val="24"/>
                <w:szCs w:val="24"/>
              </w:rPr>
              <w:t xml:space="preserve">. </w:t>
            </w:r>
          </w:p>
        </w:tc>
      </w:tr>
      <w:tr w:rsidR="00B26F64" w:rsidRPr="00475014" w14:paraId="1189AF61" w14:textId="77777777" w:rsidTr="00172A98">
        <w:tc>
          <w:tcPr>
            <w:tcW w:w="421" w:type="dxa"/>
          </w:tcPr>
          <w:p w14:paraId="032BD4BF" w14:textId="77777777" w:rsidR="00B26F64" w:rsidRPr="00475014" w:rsidRDefault="0098730C" w:rsidP="0076103C">
            <w:pPr>
              <w:spacing w:before="120"/>
              <w:rPr>
                <w:sz w:val="24"/>
                <w:szCs w:val="24"/>
              </w:rPr>
            </w:pPr>
            <w:r w:rsidRPr="00475014">
              <w:rPr>
                <w:sz w:val="24"/>
                <w:szCs w:val="24"/>
              </w:rPr>
              <w:t>3</w:t>
            </w:r>
          </w:p>
          <w:p w14:paraId="438D458E" w14:textId="77777777" w:rsidR="00B26F64" w:rsidRPr="00475014" w:rsidRDefault="00B26F64" w:rsidP="00B86375">
            <w:pPr>
              <w:rPr>
                <w:sz w:val="24"/>
                <w:szCs w:val="24"/>
              </w:rPr>
            </w:pPr>
          </w:p>
        </w:tc>
        <w:tc>
          <w:tcPr>
            <w:tcW w:w="9639" w:type="dxa"/>
          </w:tcPr>
          <w:p w14:paraId="1DB22BD6" w14:textId="77777777" w:rsidR="009962F8" w:rsidRPr="00475014" w:rsidRDefault="00B26F64" w:rsidP="0076103C">
            <w:pPr>
              <w:spacing w:before="120" w:after="120"/>
              <w:rPr>
                <w:b/>
                <w:sz w:val="24"/>
                <w:szCs w:val="24"/>
              </w:rPr>
            </w:pPr>
            <w:r w:rsidRPr="00475014">
              <w:rPr>
                <w:b/>
                <w:sz w:val="24"/>
                <w:szCs w:val="24"/>
              </w:rPr>
              <w:t>Legal</w:t>
            </w:r>
            <w:r w:rsidR="0098730C" w:rsidRPr="00475014">
              <w:rPr>
                <w:b/>
                <w:sz w:val="24"/>
                <w:szCs w:val="24"/>
              </w:rPr>
              <w:t xml:space="preserve"> and Compliance</w:t>
            </w:r>
          </w:p>
          <w:p w14:paraId="574873A7" w14:textId="77777777" w:rsidR="001B6D84" w:rsidRPr="00475014" w:rsidRDefault="00042CAC" w:rsidP="009C6FFE">
            <w:pPr>
              <w:spacing w:after="120"/>
              <w:rPr>
                <w:sz w:val="24"/>
                <w:szCs w:val="24"/>
              </w:rPr>
            </w:pPr>
            <w:r w:rsidRPr="00475014">
              <w:rPr>
                <w:sz w:val="24"/>
                <w:szCs w:val="24"/>
              </w:rPr>
              <w:t>No issues to note</w:t>
            </w:r>
            <w:r w:rsidR="000E3435" w:rsidRPr="00475014">
              <w:rPr>
                <w:sz w:val="24"/>
                <w:szCs w:val="24"/>
              </w:rPr>
              <w:t>.</w:t>
            </w:r>
          </w:p>
        </w:tc>
      </w:tr>
      <w:tr w:rsidR="0098730C" w:rsidRPr="00475014" w14:paraId="6D53B3A6" w14:textId="77777777" w:rsidTr="00172A98">
        <w:tc>
          <w:tcPr>
            <w:tcW w:w="421" w:type="dxa"/>
          </w:tcPr>
          <w:p w14:paraId="6A19CA51" w14:textId="77777777" w:rsidR="0098730C" w:rsidRPr="00475014" w:rsidRDefault="0098730C" w:rsidP="0076103C">
            <w:pPr>
              <w:spacing w:before="120"/>
              <w:rPr>
                <w:sz w:val="24"/>
                <w:szCs w:val="24"/>
              </w:rPr>
            </w:pPr>
            <w:r w:rsidRPr="00475014">
              <w:rPr>
                <w:sz w:val="24"/>
                <w:szCs w:val="24"/>
              </w:rPr>
              <w:t>4</w:t>
            </w:r>
          </w:p>
        </w:tc>
        <w:tc>
          <w:tcPr>
            <w:tcW w:w="9639" w:type="dxa"/>
          </w:tcPr>
          <w:p w14:paraId="7A737A76" w14:textId="77777777" w:rsidR="0098730C" w:rsidRPr="00475014" w:rsidRDefault="0098730C" w:rsidP="0076103C">
            <w:pPr>
              <w:spacing w:before="120" w:after="120"/>
              <w:rPr>
                <w:b/>
                <w:sz w:val="24"/>
                <w:szCs w:val="24"/>
              </w:rPr>
            </w:pPr>
            <w:r w:rsidRPr="00475014">
              <w:rPr>
                <w:b/>
                <w:sz w:val="24"/>
                <w:szCs w:val="24"/>
              </w:rPr>
              <w:t>Performance</w:t>
            </w:r>
          </w:p>
          <w:p w14:paraId="3B2DF66E" w14:textId="77777777" w:rsidR="002C77DC" w:rsidRPr="00475014" w:rsidRDefault="00D47D96" w:rsidP="009C6FFE">
            <w:pPr>
              <w:spacing w:after="120"/>
              <w:rPr>
                <w:sz w:val="24"/>
                <w:szCs w:val="24"/>
              </w:rPr>
            </w:pPr>
            <w:r w:rsidRPr="00475014">
              <w:rPr>
                <w:sz w:val="24"/>
                <w:szCs w:val="24"/>
              </w:rPr>
              <w:t>The report covers the key indicators used to inform the wellbeing and performance of SLAB from a People perspective</w:t>
            </w:r>
            <w:r w:rsidR="000E3435" w:rsidRPr="00475014">
              <w:rPr>
                <w:sz w:val="24"/>
                <w:szCs w:val="24"/>
              </w:rPr>
              <w:t>.</w:t>
            </w:r>
          </w:p>
        </w:tc>
      </w:tr>
      <w:tr w:rsidR="0098730C" w:rsidRPr="00475014" w14:paraId="19DFE553" w14:textId="77777777" w:rsidTr="00172A98">
        <w:tc>
          <w:tcPr>
            <w:tcW w:w="421" w:type="dxa"/>
          </w:tcPr>
          <w:p w14:paraId="3F1FD167" w14:textId="77777777" w:rsidR="0098730C" w:rsidRPr="00475014" w:rsidRDefault="0098730C" w:rsidP="0076103C">
            <w:pPr>
              <w:spacing w:before="120"/>
              <w:rPr>
                <w:sz w:val="24"/>
                <w:szCs w:val="24"/>
              </w:rPr>
            </w:pPr>
            <w:r w:rsidRPr="00475014">
              <w:rPr>
                <w:sz w:val="24"/>
                <w:szCs w:val="24"/>
              </w:rPr>
              <w:t>5</w:t>
            </w:r>
          </w:p>
        </w:tc>
        <w:tc>
          <w:tcPr>
            <w:tcW w:w="9639" w:type="dxa"/>
          </w:tcPr>
          <w:p w14:paraId="42B13E0D" w14:textId="77777777" w:rsidR="0098730C" w:rsidRPr="00475014" w:rsidRDefault="0098730C" w:rsidP="0076103C">
            <w:pPr>
              <w:spacing w:before="120" w:after="120"/>
              <w:rPr>
                <w:b/>
                <w:sz w:val="24"/>
                <w:szCs w:val="24"/>
              </w:rPr>
            </w:pPr>
            <w:r w:rsidRPr="00475014">
              <w:rPr>
                <w:b/>
                <w:sz w:val="24"/>
                <w:szCs w:val="24"/>
              </w:rPr>
              <w:t>Equalities</w:t>
            </w:r>
            <w:r w:rsidR="009962F8" w:rsidRPr="00475014">
              <w:rPr>
                <w:b/>
                <w:sz w:val="24"/>
                <w:szCs w:val="24"/>
              </w:rPr>
              <w:t xml:space="preserve"> Impact</w:t>
            </w:r>
          </w:p>
          <w:p w14:paraId="24A64633" w14:textId="77777777" w:rsidR="0076103C" w:rsidRPr="00475014" w:rsidRDefault="00042CAC" w:rsidP="009C6FFE">
            <w:pPr>
              <w:spacing w:after="120"/>
              <w:rPr>
                <w:sz w:val="24"/>
                <w:szCs w:val="24"/>
              </w:rPr>
            </w:pPr>
            <w:r w:rsidRPr="00475014">
              <w:rPr>
                <w:sz w:val="24"/>
                <w:szCs w:val="24"/>
              </w:rPr>
              <w:t>Not applicable</w:t>
            </w:r>
            <w:r w:rsidR="002C77DC" w:rsidRPr="00475014">
              <w:rPr>
                <w:sz w:val="24"/>
                <w:szCs w:val="24"/>
              </w:rPr>
              <w:t>.</w:t>
            </w:r>
          </w:p>
        </w:tc>
      </w:tr>
      <w:tr w:rsidR="0098730C" w:rsidRPr="00475014" w14:paraId="73EF04C0" w14:textId="77777777" w:rsidTr="00172A98">
        <w:tc>
          <w:tcPr>
            <w:tcW w:w="421" w:type="dxa"/>
          </w:tcPr>
          <w:p w14:paraId="3D6D6FFA" w14:textId="77777777" w:rsidR="0098730C" w:rsidRPr="00475014" w:rsidRDefault="0098730C" w:rsidP="0076103C">
            <w:pPr>
              <w:spacing w:before="120"/>
              <w:rPr>
                <w:sz w:val="24"/>
                <w:szCs w:val="24"/>
              </w:rPr>
            </w:pPr>
            <w:r w:rsidRPr="00475014">
              <w:rPr>
                <w:sz w:val="24"/>
                <w:szCs w:val="24"/>
              </w:rPr>
              <w:t>6</w:t>
            </w:r>
          </w:p>
        </w:tc>
        <w:tc>
          <w:tcPr>
            <w:tcW w:w="9639" w:type="dxa"/>
          </w:tcPr>
          <w:p w14:paraId="2A6DA6F5" w14:textId="77777777" w:rsidR="0098730C" w:rsidRPr="00475014" w:rsidRDefault="0098730C" w:rsidP="0076103C">
            <w:pPr>
              <w:spacing w:before="120" w:after="120"/>
              <w:rPr>
                <w:b/>
                <w:sz w:val="24"/>
                <w:szCs w:val="24"/>
              </w:rPr>
            </w:pPr>
            <w:r w:rsidRPr="00475014">
              <w:rPr>
                <w:b/>
                <w:sz w:val="24"/>
                <w:szCs w:val="24"/>
              </w:rPr>
              <w:t>Privacy Impact and Data Protection</w:t>
            </w:r>
          </w:p>
          <w:p w14:paraId="4BAAD660" w14:textId="77777777" w:rsidR="0076103C" w:rsidRPr="00475014" w:rsidRDefault="00042CAC" w:rsidP="00042CAC">
            <w:pPr>
              <w:spacing w:after="120"/>
              <w:rPr>
                <w:sz w:val="24"/>
                <w:szCs w:val="24"/>
              </w:rPr>
            </w:pPr>
            <w:r w:rsidRPr="00475014">
              <w:rPr>
                <w:sz w:val="24"/>
                <w:szCs w:val="24"/>
              </w:rPr>
              <w:t>Not applicable</w:t>
            </w:r>
            <w:r w:rsidR="002C77DC" w:rsidRPr="00475014">
              <w:rPr>
                <w:sz w:val="24"/>
                <w:szCs w:val="24"/>
              </w:rPr>
              <w:t>.</w:t>
            </w:r>
          </w:p>
        </w:tc>
      </w:tr>
      <w:tr w:rsidR="0098730C" w:rsidRPr="00475014" w14:paraId="76A179E2" w14:textId="77777777" w:rsidTr="00172A98">
        <w:tc>
          <w:tcPr>
            <w:tcW w:w="421" w:type="dxa"/>
          </w:tcPr>
          <w:p w14:paraId="33963ED3" w14:textId="77777777" w:rsidR="0098730C" w:rsidRPr="00475014" w:rsidRDefault="0098730C" w:rsidP="0076103C">
            <w:pPr>
              <w:spacing w:before="120"/>
              <w:rPr>
                <w:sz w:val="24"/>
                <w:szCs w:val="24"/>
              </w:rPr>
            </w:pPr>
            <w:r w:rsidRPr="00475014">
              <w:rPr>
                <w:sz w:val="24"/>
                <w:szCs w:val="24"/>
              </w:rPr>
              <w:t>7</w:t>
            </w:r>
          </w:p>
        </w:tc>
        <w:tc>
          <w:tcPr>
            <w:tcW w:w="9639" w:type="dxa"/>
          </w:tcPr>
          <w:p w14:paraId="25F4EEE8" w14:textId="77777777" w:rsidR="0098730C" w:rsidRPr="00475014" w:rsidRDefault="0098730C" w:rsidP="0076103C">
            <w:pPr>
              <w:spacing w:before="120" w:after="120"/>
              <w:rPr>
                <w:b/>
                <w:sz w:val="24"/>
                <w:szCs w:val="24"/>
              </w:rPr>
            </w:pPr>
            <w:r w:rsidRPr="00475014">
              <w:rPr>
                <w:b/>
                <w:sz w:val="24"/>
                <w:szCs w:val="24"/>
              </w:rPr>
              <w:t>Communications and Engagement</w:t>
            </w:r>
          </w:p>
          <w:p w14:paraId="407E1458" w14:textId="77777777" w:rsidR="00D47D96" w:rsidRPr="00475014" w:rsidRDefault="002C77DC" w:rsidP="00D47D96">
            <w:pPr>
              <w:spacing w:after="120"/>
              <w:rPr>
                <w:sz w:val="24"/>
                <w:szCs w:val="24"/>
              </w:rPr>
            </w:pPr>
            <w:r w:rsidRPr="00D303E2">
              <w:rPr>
                <w:sz w:val="24"/>
                <w:szCs w:val="24"/>
              </w:rPr>
              <w:t xml:space="preserve">This paper </w:t>
            </w:r>
            <w:r w:rsidR="00D47D96" w:rsidRPr="00D303E2">
              <w:rPr>
                <w:sz w:val="24"/>
                <w:szCs w:val="24"/>
              </w:rPr>
              <w:t xml:space="preserve">will be </w:t>
            </w:r>
            <w:r w:rsidR="0076103C" w:rsidRPr="00D303E2">
              <w:rPr>
                <w:sz w:val="24"/>
                <w:szCs w:val="24"/>
              </w:rPr>
              <w:t>published</w:t>
            </w:r>
            <w:r w:rsidRPr="00D303E2">
              <w:rPr>
                <w:sz w:val="24"/>
                <w:szCs w:val="24"/>
              </w:rPr>
              <w:t>.</w:t>
            </w:r>
            <w:r w:rsidR="00D47D96" w:rsidRPr="00475014">
              <w:rPr>
                <w:sz w:val="24"/>
                <w:szCs w:val="24"/>
              </w:rPr>
              <w:t xml:space="preserve"> Key information is also included in the Annual Report and financial statements.</w:t>
            </w:r>
          </w:p>
          <w:p w14:paraId="3FDF5A8C" w14:textId="77777777" w:rsidR="00D47D96" w:rsidRPr="00475014" w:rsidRDefault="00D47D96" w:rsidP="00D47D96">
            <w:pPr>
              <w:spacing w:after="120"/>
              <w:rPr>
                <w:sz w:val="24"/>
                <w:szCs w:val="24"/>
              </w:rPr>
            </w:pPr>
            <w:r w:rsidRPr="00475014">
              <w:rPr>
                <w:sz w:val="24"/>
                <w:szCs w:val="24"/>
              </w:rPr>
              <w:t xml:space="preserve">GMB are a key stakeholder and engaged through Joint Consultative Committee meetings. </w:t>
            </w:r>
          </w:p>
        </w:tc>
      </w:tr>
    </w:tbl>
    <w:p w14:paraId="2BCDC8D1" w14:textId="77777777" w:rsidR="00204CF6" w:rsidRPr="00475014" w:rsidRDefault="00204CF6" w:rsidP="00F72146">
      <w:pPr>
        <w:rPr>
          <w:sz w:val="24"/>
          <w:szCs w:val="24"/>
        </w:rPr>
      </w:pPr>
    </w:p>
    <w:tbl>
      <w:tblPr>
        <w:tblStyle w:val="TableGrid"/>
        <w:tblW w:w="10060" w:type="dxa"/>
        <w:tblLook w:val="04A0" w:firstRow="1" w:lastRow="0" w:firstColumn="1" w:lastColumn="0" w:noHBand="0" w:noVBand="1"/>
      </w:tblPr>
      <w:tblGrid>
        <w:gridCol w:w="10060"/>
      </w:tblGrid>
      <w:tr w:rsidR="004A2996" w:rsidRPr="00475014" w14:paraId="0E23024C" w14:textId="77777777" w:rsidTr="00275C9E">
        <w:tc>
          <w:tcPr>
            <w:tcW w:w="10060" w:type="dxa"/>
            <w:shd w:val="clear" w:color="auto" w:fill="D9D9D9" w:themeFill="background1" w:themeFillShade="D9"/>
          </w:tcPr>
          <w:p w14:paraId="109DBB31" w14:textId="77777777" w:rsidR="004A2996" w:rsidRPr="00475014" w:rsidRDefault="004A2996" w:rsidP="009C0DAF">
            <w:pPr>
              <w:rPr>
                <w:b/>
                <w:sz w:val="24"/>
                <w:szCs w:val="24"/>
              </w:rPr>
            </w:pPr>
            <w:r w:rsidRPr="00475014">
              <w:rPr>
                <w:b/>
                <w:sz w:val="24"/>
                <w:szCs w:val="24"/>
              </w:rPr>
              <w:t>Conclusions and next steps</w:t>
            </w:r>
          </w:p>
        </w:tc>
      </w:tr>
      <w:tr w:rsidR="004A2996" w:rsidRPr="00475014" w14:paraId="172F3839" w14:textId="77777777" w:rsidTr="00275C9E">
        <w:tc>
          <w:tcPr>
            <w:tcW w:w="10060" w:type="dxa"/>
            <w:tcBorders>
              <w:right w:val="single" w:sz="4" w:space="0" w:color="auto"/>
            </w:tcBorders>
          </w:tcPr>
          <w:p w14:paraId="701BD9A0" w14:textId="3E21ACED" w:rsidR="00D47D96" w:rsidRPr="00475014" w:rsidRDefault="000E3435" w:rsidP="00D47D96">
            <w:pPr>
              <w:spacing w:before="120" w:after="120"/>
              <w:rPr>
                <w:sz w:val="24"/>
                <w:szCs w:val="24"/>
              </w:rPr>
            </w:pPr>
            <w:r w:rsidRPr="00475014">
              <w:rPr>
                <w:sz w:val="24"/>
                <w:szCs w:val="24"/>
              </w:rPr>
              <w:t xml:space="preserve">The Board is asked to </w:t>
            </w:r>
            <w:r w:rsidR="00D47D96" w:rsidRPr="00475014">
              <w:rPr>
                <w:sz w:val="24"/>
                <w:szCs w:val="24"/>
              </w:rPr>
              <w:t>note</w:t>
            </w:r>
            <w:r w:rsidR="00172A98">
              <w:rPr>
                <w:sz w:val="24"/>
                <w:szCs w:val="24"/>
              </w:rPr>
              <w:t>:</w:t>
            </w:r>
          </w:p>
          <w:p w14:paraId="7778BBEB" w14:textId="054BA8FC" w:rsidR="00042CAC" w:rsidRPr="00475014" w:rsidRDefault="00D47D96" w:rsidP="00D47D96">
            <w:pPr>
              <w:pStyle w:val="ListParagraph"/>
              <w:numPr>
                <w:ilvl w:val="0"/>
                <w:numId w:val="32"/>
              </w:numPr>
              <w:spacing w:before="120" w:after="120"/>
              <w:rPr>
                <w:sz w:val="24"/>
                <w:szCs w:val="24"/>
              </w:rPr>
            </w:pPr>
            <w:r w:rsidRPr="00475014">
              <w:rPr>
                <w:sz w:val="24"/>
                <w:szCs w:val="24"/>
              </w:rPr>
              <w:t xml:space="preserve">the progress against the People Strategy </w:t>
            </w:r>
          </w:p>
          <w:p w14:paraId="6DCE1CAE" w14:textId="2CF3C808" w:rsidR="00D47D96" w:rsidRPr="00475014" w:rsidRDefault="00D47D96" w:rsidP="00D47D96">
            <w:pPr>
              <w:pStyle w:val="ListParagraph"/>
              <w:numPr>
                <w:ilvl w:val="0"/>
                <w:numId w:val="32"/>
              </w:numPr>
              <w:spacing w:before="120" w:after="120"/>
              <w:rPr>
                <w:sz w:val="24"/>
                <w:szCs w:val="24"/>
              </w:rPr>
            </w:pPr>
            <w:r w:rsidRPr="00475014">
              <w:rPr>
                <w:sz w:val="24"/>
                <w:szCs w:val="24"/>
              </w:rPr>
              <w:t>the key indicators for SLAB</w:t>
            </w:r>
            <w:r w:rsidR="00172A98">
              <w:rPr>
                <w:sz w:val="24"/>
                <w:szCs w:val="24"/>
              </w:rPr>
              <w:t>.</w:t>
            </w:r>
          </w:p>
        </w:tc>
      </w:tr>
    </w:tbl>
    <w:p w14:paraId="098CA3AC" w14:textId="77777777" w:rsidR="004A2996" w:rsidRPr="00475014" w:rsidRDefault="004A2996" w:rsidP="00F72146">
      <w:pPr>
        <w:rPr>
          <w:sz w:val="24"/>
          <w:szCs w:val="24"/>
        </w:rPr>
      </w:pPr>
    </w:p>
    <w:tbl>
      <w:tblPr>
        <w:tblStyle w:val="TableGrid"/>
        <w:tblW w:w="10060" w:type="dxa"/>
        <w:tblLook w:val="04A0" w:firstRow="1" w:lastRow="0" w:firstColumn="1" w:lastColumn="0" w:noHBand="0" w:noVBand="1"/>
      </w:tblPr>
      <w:tblGrid>
        <w:gridCol w:w="10060"/>
      </w:tblGrid>
      <w:tr w:rsidR="00204CF6" w:rsidRPr="00475014" w14:paraId="21AA9F19" w14:textId="77777777" w:rsidTr="00275C9E">
        <w:tc>
          <w:tcPr>
            <w:tcW w:w="10060" w:type="dxa"/>
            <w:shd w:val="clear" w:color="auto" w:fill="D9D9D9" w:themeFill="background1" w:themeFillShade="D9"/>
          </w:tcPr>
          <w:p w14:paraId="736FC377" w14:textId="77777777" w:rsidR="00204CF6" w:rsidRPr="00475014" w:rsidRDefault="00204CF6" w:rsidP="002A1837">
            <w:pPr>
              <w:rPr>
                <w:b/>
                <w:sz w:val="24"/>
                <w:szCs w:val="24"/>
              </w:rPr>
            </w:pPr>
            <w:r w:rsidRPr="00475014">
              <w:rPr>
                <w:b/>
                <w:sz w:val="24"/>
                <w:szCs w:val="24"/>
              </w:rPr>
              <w:t>Appendices/Further Reading</w:t>
            </w:r>
          </w:p>
        </w:tc>
      </w:tr>
      <w:tr w:rsidR="00204CF6" w:rsidRPr="00475014" w14:paraId="6B02225B" w14:textId="77777777" w:rsidTr="00275C9E">
        <w:tc>
          <w:tcPr>
            <w:tcW w:w="10060" w:type="dxa"/>
            <w:tcBorders>
              <w:right w:val="single" w:sz="4" w:space="0" w:color="auto"/>
            </w:tcBorders>
          </w:tcPr>
          <w:p w14:paraId="29A64718" w14:textId="4386D90C" w:rsidR="00204CF6" w:rsidRPr="00475014" w:rsidRDefault="00172A98" w:rsidP="00D47D96">
            <w:pPr>
              <w:spacing w:before="120" w:after="120"/>
              <w:rPr>
                <w:sz w:val="24"/>
                <w:szCs w:val="24"/>
              </w:rPr>
            </w:pPr>
            <w:r>
              <w:rPr>
                <w:sz w:val="24"/>
                <w:szCs w:val="24"/>
              </w:rPr>
              <w:t>N/A.</w:t>
            </w:r>
          </w:p>
        </w:tc>
      </w:tr>
    </w:tbl>
    <w:p w14:paraId="60917A61" w14:textId="77777777" w:rsidR="002B2481" w:rsidRPr="00475014" w:rsidRDefault="002B2481" w:rsidP="00744E37">
      <w:pPr>
        <w:rPr>
          <w:sz w:val="24"/>
          <w:szCs w:val="24"/>
        </w:rPr>
      </w:pPr>
    </w:p>
    <w:sectPr w:rsidR="002B2481" w:rsidRPr="00475014" w:rsidSect="00451E40">
      <w:headerReference w:type="default" r:id="rId18"/>
      <w:footerReference w:type="default" r:id="rId19"/>
      <w:headerReference w:type="first" r:id="rId20"/>
      <w:footerReference w:type="first" r:id="rId21"/>
      <w:pgSz w:w="11906" w:h="16838"/>
      <w:pgMar w:top="567" w:right="851" w:bottom="567" w:left="993" w:header="680" w:footer="624"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D6173" w14:textId="77777777" w:rsidR="00451E40" w:rsidRDefault="00451E40" w:rsidP="00EB61A3">
      <w:r>
        <w:separator/>
      </w:r>
    </w:p>
  </w:endnote>
  <w:endnote w:type="continuationSeparator" w:id="0">
    <w:p w14:paraId="23A40EF7" w14:textId="77777777" w:rsidR="00451E40" w:rsidRDefault="00451E40" w:rsidP="00EB61A3">
      <w:r>
        <w:continuationSeparator/>
      </w:r>
    </w:p>
  </w:endnote>
  <w:endnote w:type="continuationNotice" w:id="1">
    <w:p w14:paraId="6C1C7D46" w14:textId="77777777" w:rsidR="00451E40" w:rsidRDefault="00451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AE36" w14:textId="441D6A84" w:rsidR="00F926AA" w:rsidRPr="008D07CE" w:rsidRDefault="008D07CE" w:rsidP="008D07CE">
    <w:pPr>
      <w:pStyle w:val="Footer"/>
      <w:rPr>
        <w:iCs/>
        <w:sz w:val="24"/>
        <w:szCs w:val="24"/>
      </w:rPr>
    </w:pPr>
    <w:r w:rsidRPr="008D07CE">
      <w:rPr>
        <w:iCs/>
        <w:sz w:val="24"/>
        <w:szCs w:val="24"/>
        <w:lang w:val="en-US"/>
      </w:rPr>
      <w:t>The Scottish Legal Aid Board Report: Annual People Report</w:t>
    </w:r>
    <w:r w:rsidRPr="008D07CE">
      <w:rPr>
        <w:iCs/>
        <w:sz w:val="24"/>
        <w:szCs w:val="24"/>
        <w:lang w:val="en-US"/>
      </w:rPr>
      <w:t xml:space="preserve">                                  </w:t>
    </w:r>
    <w:r w:rsidR="00F926AA" w:rsidRPr="008D07CE">
      <w:rPr>
        <w:iCs/>
        <w:sz w:val="24"/>
        <w:szCs w:val="24"/>
        <w:lang w:val="en-US"/>
      </w:rPr>
      <w:fldChar w:fldCharType="begin"/>
    </w:r>
    <w:r w:rsidR="00F926AA" w:rsidRPr="008D07CE">
      <w:rPr>
        <w:iCs/>
        <w:sz w:val="24"/>
        <w:szCs w:val="24"/>
        <w:lang w:val="en-US"/>
      </w:rPr>
      <w:instrText xml:space="preserve"> PAGE   \* MERGEFORMAT </w:instrText>
    </w:r>
    <w:r w:rsidR="00F926AA" w:rsidRPr="008D07CE">
      <w:rPr>
        <w:iCs/>
        <w:sz w:val="24"/>
        <w:szCs w:val="24"/>
        <w:lang w:val="en-US"/>
      </w:rPr>
      <w:fldChar w:fldCharType="separate"/>
    </w:r>
    <w:r w:rsidR="00D80D93" w:rsidRPr="008D07CE">
      <w:rPr>
        <w:iCs/>
        <w:noProof/>
        <w:sz w:val="24"/>
        <w:szCs w:val="24"/>
        <w:lang w:val="en-US"/>
      </w:rPr>
      <w:t>11</w:t>
    </w:r>
    <w:r w:rsidR="00F926AA" w:rsidRPr="008D07CE">
      <w:rPr>
        <w:iCs/>
        <w:noProof/>
        <w:sz w:val="24"/>
        <w:szCs w:val="24"/>
        <w:lang w:val="en-US"/>
      </w:rPr>
      <w:fldChar w:fldCharType="end"/>
    </w:r>
  </w:p>
  <w:p w14:paraId="785F3D8F" w14:textId="77777777" w:rsidR="00F926AA" w:rsidRPr="008D07CE" w:rsidRDefault="00F926AA">
    <w:pPr>
      <w:pStyle w:val="Footer"/>
      <w:rPr>
        <w:iC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C87CF" w14:textId="701DF565" w:rsidR="00F926AA" w:rsidRDefault="00F926AA" w:rsidP="00EC4B90">
    <w:pPr>
      <w:pStyle w:val="Footer"/>
      <w:jc w:val="right"/>
    </w:pPr>
    <w:r w:rsidRPr="00EC4B90">
      <w:rPr>
        <w:i/>
        <w:color w:val="0070C0"/>
        <w:sz w:val="20"/>
        <w:lang w:val="en-US"/>
      </w:rPr>
      <w:fldChar w:fldCharType="begin"/>
    </w:r>
    <w:r w:rsidRPr="00EC4B90">
      <w:rPr>
        <w:i/>
        <w:color w:val="0070C0"/>
        <w:sz w:val="20"/>
        <w:lang w:val="en-US"/>
      </w:rPr>
      <w:instrText xml:space="preserve"> PAGE   \* MERGEFORMAT </w:instrText>
    </w:r>
    <w:r w:rsidRPr="00EC4B90">
      <w:rPr>
        <w:i/>
        <w:color w:val="0070C0"/>
        <w:sz w:val="20"/>
        <w:lang w:val="en-US"/>
      </w:rPr>
      <w:fldChar w:fldCharType="separate"/>
    </w:r>
    <w:r w:rsidR="00D80D93">
      <w:rPr>
        <w:i/>
        <w:noProof/>
        <w:color w:val="0070C0"/>
        <w:sz w:val="20"/>
        <w:lang w:val="en-US"/>
      </w:rPr>
      <w:t>1</w:t>
    </w:r>
    <w:r w:rsidRPr="00EC4B90">
      <w:rPr>
        <w:i/>
        <w:noProof/>
        <w:color w:val="0070C0"/>
        <w:sz w:val="20"/>
        <w:lang w:val="en-US"/>
      </w:rPr>
      <w:fldChar w:fldCharType="end"/>
    </w:r>
    <w:r>
      <w:rPr>
        <w:i/>
        <w:noProof/>
        <w:color w:val="0070C0"/>
        <w:sz w:val="20"/>
        <w:lang w:val="en-US"/>
      </w:rPr>
      <w:t xml:space="preserve">. </w:t>
    </w:r>
    <w:r w:rsidRPr="003253DA">
      <w:rPr>
        <w:i/>
        <w:color w:val="0070C0"/>
        <w:sz w:val="20"/>
        <w:lang w:val="en-US"/>
      </w:rPr>
      <w:t xml:space="preserve">The Scottish Legal Aid Board </w:t>
    </w:r>
    <w:r w:rsidR="00023E8B">
      <w:rPr>
        <w:i/>
        <w:color w:val="0070C0"/>
        <w:sz w:val="20"/>
        <w:lang w:val="en-US"/>
      </w:rPr>
      <w:t>Report: A</w:t>
    </w:r>
    <w:r w:rsidR="00D629CB">
      <w:rPr>
        <w:i/>
        <w:color w:val="0070C0"/>
        <w:sz w:val="20"/>
        <w:lang w:val="en-US"/>
      </w:rPr>
      <w:t>nn</w:t>
    </w:r>
    <w:r w:rsidR="00023E8B">
      <w:rPr>
        <w:i/>
        <w:color w:val="0070C0"/>
        <w:sz w:val="20"/>
        <w:lang w:val="en-US"/>
      </w:rPr>
      <w:t xml:space="preserve">ual People Report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A8FBF" w14:textId="77777777" w:rsidR="00451E40" w:rsidRDefault="00451E40" w:rsidP="00EB61A3">
      <w:r>
        <w:separator/>
      </w:r>
    </w:p>
  </w:footnote>
  <w:footnote w:type="continuationSeparator" w:id="0">
    <w:p w14:paraId="7DFE70EB" w14:textId="77777777" w:rsidR="00451E40" w:rsidRDefault="00451E40" w:rsidP="00EB61A3">
      <w:r>
        <w:continuationSeparator/>
      </w:r>
    </w:p>
  </w:footnote>
  <w:footnote w:type="continuationNotice" w:id="1">
    <w:p w14:paraId="7763D9DF" w14:textId="77777777" w:rsidR="00451E40" w:rsidRDefault="00451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D4213" w14:textId="77777777" w:rsidR="00F926AA" w:rsidRDefault="00F926AA" w:rsidP="006C3165">
    <w:pPr>
      <w:pStyle w:val="Header"/>
    </w:pPr>
    <w:r>
      <w:rPr>
        <w:noProof/>
        <w:lang w:eastAsia="en-GB"/>
      </w:rPr>
      <w:drawing>
        <wp:anchor distT="0" distB="0" distL="114300" distR="114300" simplePos="0" relativeHeight="251658243" behindDoc="1" locked="0" layoutInCell="1" allowOverlap="1" wp14:anchorId="63361E20" wp14:editId="7F222E0B">
          <wp:simplePos x="0" y="0"/>
          <wp:positionH relativeFrom="page">
            <wp:posOffset>8982075</wp:posOffset>
          </wp:positionH>
          <wp:positionV relativeFrom="page">
            <wp:posOffset>342900</wp:posOffset>
          </wp:positionV>
          <wp:extent cx="1466850" cy="155067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06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5" behindDoc="0" locked="0" layoutInCell="1" allowOverlap="1" wp14:anchorId="4F970D21" wp14:editId="7A72724F">
          <wp:simplePos x="0" y="0"/>
          <wp:positionH relativeFrom="page">
            <wp:align>left</wp:align>
          </wp:positionH>
          <wp:positionV relativeFrom="page">
            <wp:align>top</wp:align>
          </wp:positionV>
          <wp:extent cx="841375" cy="914400"/>
          <wp:effectExtent l="0" t="0" r="0" b="0"/>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914400"/>
                  </a:xfrm>
                  <a:prstGeom prst="rect">
                    <a:avLst/>
                  </a:prstGeom>
                  <a:noFill/>
                </pic:spPr>
              </pic:pic>
            </a:graphicData>
          </a:graphic>
        </wp:anchor>
      </w:drawing>
    </w:r>
    <w:r>
      <w:rPr>
        <w:noProof/>
        <w:lang w:eastAsia="en-GB"/>
      </w:rPr>
      <w:drawing>
        <wp:anchor distT="0" distB="0" distL="114300" distR="114300" simplePos="0" relativeHeight="251658244" behindDoc="1" locked="0" layoutInCell="1" allowOverlap="1" wp14:anchorId="48FD75F0" wp14:editId="5010717E">
          <wp:simplePos x="0" y="0"/>
          <wp:positionH relativeFrom="page">
            <wp:align>right</wp:align>
          </wp:positionH>
          <wp:positionV relativeFrom="page">
            <wp:align>top</wp:align>
          </wp:positionV>
          <wp:extent cx="1466850" cy="1551205"/>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285CB37D" w14:textId="77777777" w:rsidR="00F926AA" w:rsidRDefault="00F92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EB4A5" w14:textId="54EDBA96" w:rsidR="00F926AA" w:rsidRPr="00D303E2" w:rsidRDefault="00D303E2" w:rsidP="00D303E2">
    <w:pPr>
      <w:pStyle w:val="Header"/>
      <w:jc w:val="center"/>
      <w:rPr>
        <w:b/>
        <w:sz w:val="20"/>
        <w:szCs w:val="20"/>
        <w:highlight w:val="yellow"/>
      </w:rPr>
    </w:pPr>
    <w:r w:rsidRPr="00664DB5">
      <w:rPr>
        <w:noProof/>
        <w:highlight w:val="yellow"/>
        <w:lang w:eastAsia="en-GB"/>
      </w:rPr>
      <w:drawing>
        <wp:anchor distT="0" distB="0" distL="114300" distR="114300" simplePos="0" relativeHeight="251658242" behindDoc="0" locked="0" layoutInCell="1" allowOverlap="1" wp14:anchorId="762011F8" wp14:editId="21DED786">
          <wp:simplePos x="0" y="0"/>
          <wp:positionH relativeFrom="page">
            <wp:posOffset>190500</wp:posOffset>
          </wp:positionH>
          <wp:positionV relativeFrom="page">
            <wp:posOffset>209550</wp:posOffset>
          </wp:positionV>
          <wp:extent cx="841375" cy="914400"/>
          <wp:effectExtent l="0" t="0" r="0" b="0"/>
          <wp:wrapTopAndBottom/>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914400"/>
                  </a:xfrm>
                  <a:prstGeom prst="rect">
                    <a:avLst/>
                  </a:prstGeom>
                  <a:noFill/>
                </pic:spPr>
              </pic:pic>
            </a:graphicData>
          </a:graphic>
        </wp:anchor>
      </w:drawing>
    </w:r>
    <w:r w:rsidR="00F926AA">
      <w:tab/>
    </w:r>
    <w:r w:rsidR="00F926AA">
      <w:tab/>
    </w:r>
    <w:r w:rsidR="00F926AA" w:rsidRPr="00664DB5">
      <w:rPr>
        <w:noProof/>
        <w:highlight w:val="yellow"/>
        <w:lang w:eastAsia="en-GB"/>
      </w:rPr>
      <w:drawing>
        <wp:anchor distT="0" distB="0" distL="114300" distR="114300" simplePos="0" relativeHeight="251658241" behindDoc="1" locked="0" layoutInCell="1" allowOverlap="1" wp14:anchorId="067930B1" wp14:editId="7CFF06F8">
          <wp:simplePos x="0" y="0"/>
          <wp:positionH relativeFrom="page">
            <wp:align>right</wp:align>
          </wp:positionH>
          <wp:positionV relativeFrom="page">
            <wp:align>top</wp:align>
          </wp:positionV>
          <wp:extent cx="1466850" cy="155120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sidR="00F926AA" w:rsidRPr="00664DB5">
      <w:rPr>
        <w:noProof/>
        <w:highlight w:val="yellow"/>
        <w:lang w:eastAsia="en-GB"/>
      </w:rPr>
      <w:drawing>
        <wp:anchor distT="0" distB="0" distL="114300" distR="114300" simplePos="0" relativeHeight="251658240" behindDoc="1" locked="0" layoutInCell="1" allowOverlap="1" wp14:anchorId="289C6749" wp14:editId="1D0520E2">
          <wp:simplePos x="0" y="0"/>
          <wp:positionH relativeFrom="page">
            <wp:posOffset>9229725</wp:posOffset>
          </wp:positionH>
          <wp:positionV relativeFrom="page">
            <wp:posOffset>0</wp:posOffset>
          </wp:positionV>
          <wp:extent cx="1466850" cy="155120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p>
  <w:p w14:paraId="61A50FD5" w14:textId="77777777" w:rsidR="00F926AA" w:rsidRDefault="00F92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2034"/>
    <w:multiLevelType w:val="hybridMultilevel"/>
    <w:tmpl w:val="986860A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1708"/>
    <w:multiLevelType w:val="multilevel"/>
    <w:tmpl w:val="5FE2CAF6"/>
    <w:lvl w:ilvl="0">
      <w:start w:val="4"/>
      <w:numFmt w:val="decimal"/>
      <w:lvlText w:val="%1"/>
      <w:lvlJc w:val="left"/>
      <w:pPr>
        <w:ind w:left="426" w:hanging="426"/>
      </w:pPr>
      <w:rPr>
        <w:rFonts w:hint="default"/>
      </w:rPr>
    </w:lvl>
    <w:lvl w:ilvl="1">
      <w:start w:val="1"/>
      <w:numFmt w:val="decimal"/>
      <w:lvlText w:val="%1.%2"/>
      <w:lvlJc w:val="left"/>
      <w:pPr>
        <w:ind w:left="852" w:hanging="426"/>
      </w:pPr>
      <w:rPr>
        <w:rFonts w:hint="default"/>
      </w:rPr>
    </w:lvl>
    <w:lvl w:ilvl="2">
      <w:start w:val="1"/>
      <w:numFmt w:val="decimal"/>
      <w:lvlText w:val="%1.%2.%3"/>
      <w:lvlJc w:val="left"/>
      <w:pPr>
        <w:ind w:left="1638" w:hanging="786"/>
      </w:pPr>
      <w:rPr>
        <w:rFonts w:hint="default"/>
      </w:rPr>
    </w:lvl>
    <w:lvl w:ilvl="3">
      <w:start w:val="1"/>
      <w:numFmt w:val="decimal"/>
      <w:lvlText w:val="%1.%2.%3.%4"/>
      <w:lvlJc w:val="left"/>
      <w:pPr>
        <w:ind w:left="2424" w:hanging="1146"/>
      </w:pPr>
      <w:rPr>
        <w:rFonts w:hint="default"/>
      </w:rPr>
    </w:lvl>
    <w:lvl w:ilvl="4">
      <w:start w:val="1"/>
      <w:numFmt w:val="decimal"/>
      <w:lvlText w:val="%1.%2.%3.%4.%5"/>
      <w:lvlJc w:val="left"/>
      <w:pPr>
        <w:ind w:left="2850" w:hanging="1146"/>
      </w:pPr>
      <w:rPr>
        <w:rFonts w:hint="default"/>
      </w:rPr>
    </w:lvl>
    <w:lvl w:ilvl="5">
      <w:start w:val="1"/>
      <w:numFmt w:val="decimal"/>
      <w:lvlText w:val="%1.%2.%3.%4.%5.%6"/>
      <w:lvlJc w:val="left"/>
      <w:pPr>
        <w:ind w:left="3636" w:hanging="1506"/>
      </w:pPr>
      <w:rPr>
        <w:rFonts w:hint="default"/>
      </w:rPr>
    </w:lvl>
    <w:lvl w:ilvl="6">
      <w:start w:val="1"/>
      <w:numFmt w:val="decimal"/>
      <w:lvlText w:val="%1.%2.%3.%4.%5.%6.%7"/>
      <w:lvlJc w:val="left"/>
      <w:pPr>
        <w:ind w:left="4062" w:hanging="1506"/>
      </w:pPr>
      <w:rPr>
        <w:rFonts w:hint="default"/>
      </w:rPr>
    </w:lvl>
    <w:lvl w:ilvl="7">
      <w:start w:val="1"/>
      <w:numFmt w:val="decimal"/>
      <w:lvlText w:val="%1.%2.%3.%4.%5.%6.%7.%8"/>
      <w:lvlJc w:val="left"/>
      <w:pPr>
        <w:ind w:left="4848" w:hanging="1866"/>
      </w:pPr>
      <w:rPr>
        <w:rFonts w:hint="default"/>
      </w:rPr>
    </w:lvl>
    <w:lvl w:ilvl="8">
      <w:start w:val="1"/>
      <w:numFmt w:val="decimal"/>
      <w:lvlText w:val="%1.%2.%3.%4.%5.%6.%7.%8.%9"/>
      <w:lvlJc w:val="left"/>
      <w:pPr>
        <w:ind w:left="5634" w:hanging="2226"/>
      </w:pPr>
      <w:rPr>
        <w:rFonts w:hint="default"/>
      </w:rPr>
    </w:lvl>
  </w:abstractNum>
  <w:abstractNum w:abstractNumId="2" w15:restartNumberingAfterBreak="0">
    <w:nsid w:val="04F845C6"/>
    <w:multiLevelType w:val="hybridMultilevel"/>
    <w:tmpl w:val="43B27210"/>
    <w:lvl w:ilvl="0" w:tplc="68227E86">
      <w:numFmt w:val="bullet"/>
      <w:lvlText w:val="-"/>
      <w:lvlJc w:val="left"/>
      <w:pPr>
        <w:ind w:left="1145" w:hanging="360"/>
      </w:pPr>
      <w:rPr>
        <w:rFonts w:ascii="Trebuchet MS" w:eastAsia="Times New Roman" w:hAnsi="Trebuchet MS"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67A2C35"/>
    <w:multiLevelType w:val="hybridMultilevel"/>
    <w:tmpl w:val="3182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67425"/>
    <w:multiLevelType w:val="hybridMultilevel"/>
    <w:tmpl w:val="03042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B96CCB"/>
    <w:multiLevelType w:val="hybridMultilevel"/>
    <w:tmpl w:val="1B24A41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CF54ADF"/>
    <w:multiLevelType w:val="hybridMultilevel"/>
    <w:tmpl w:val="4022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7A11"/>
    <w:multiLevelType w:val="hybridMultilevel"/>
    <w:tmpl w:val="6B7CE7A6"/>
    <w:lvl w:ilvl="0" w:tplc="F91EA12A">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F074B"/>
    <w:multiLevelType w:val="multilevel"/>
    <w:tmpl w:val="0C5A31CE"/>
    <w:lvl w:ilvl="0">
      <w:start w:val="2"/>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12853"/>
    <w:multiLevelType w:val="hybridMultilevel"/>
    <w:tmpl w:val="EEB8BFAE"/>
    <w:lvl w:ilvl="0" w:tplc="08090001">
      <w:start w:val="1"/>
      <w:numFmt w:val="bullet"/>
      <w:lvlText w:val=""/>
      <w:lvlJc w:val="left"/>
      <w:pPr>
        <w:ind w:left="525" w:hanging="360"/>
      </w:pPr>
      <w:rPr>
        <w:rFonts w:ascii="Symbol" w:hAnsi="Symbol"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0" w15:restartNumberingAfterBreak="0">
    <w:nsid w:val="1D045A53"/>
    <w:multiLevelType w:val="hybridMultilevel"/>
    <w:tmpl w:val="BF20A1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D44BA3"/>
    <w:multiLevelType w:val="hybridMultilevel"/>
    <w:tmpl w:val="EE32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F20C5"/>
    <w:multiLevelType w:val="hybridMultilevel"/>
    <w:tmpl w:val="6A1E8E82"/>
    <w:lvl w:ilvl="0" w:tplc="2BC0EDCC">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B55E44"/>
    <w:multiLevelType w:val="multilevel"/>
    <w:tmpl w:val="3B8E26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DBE1801"/>
    <w:multiLevelType w:val="hybridMultilevel"/>
    <w:tmpl w:val="5D8678E2"/>
    <w:lvl w:ilvl="0" w:tplc="FE3CDB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470006"/>
    <w:multiLevelType w:val="hybridMultilevel"/>
    <w:tmpl w:val="CD1E802C"/>
    <w:lvl w:ilvl="0" w:tplc="9DF444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2A203A"/>
    <w:multiLevelType w:val="hybridMultilevel"/>
    <w:tmpl w:val="A06A735A"/>
    <w:lvl w:ilvl="0" w:tplc="AED0CE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213EB1"/>
    <w:multiLevelType w:val="hybridMultilevel"/>
    <w:tmpl w:val="C0AAEE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37353319"/>
    <w:multiLevelType w:val="hybridMultilevel"/>
    <w:tmpl w:val="E4761F6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0"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3EA91C0B"/>
    <w:multiLevelType w:val="hybridMultilevel"/>
    <w:tmpl w:val="F410B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952C23"/>
    <w:multiLevelType w:val="multilevel"/>
    <w:tmpl w:val="EA1CF73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1DC5534"/>
    <w:multiLevelType w:val="hybridMultilevel"/>
    <w:tmpl w:val="32CAFD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2F20BC9"/>
    <w:multiLevelType w:val="hybridMultilevel"/>
    <w:tmpl w:val="57AA68CA"/>
    <w:lvl w:ilvl="0" w:tplc="08090001">
      <w:start w:val="1"/>
      <w:numFmt w:val="bullet"/>
      <w:lvlText w:val=""/>
      <w:lvlJc w:val="left"/>
      <w:pPr>
        <w:ind w:left="437" w:hanging="360"/>
      </w:pPr>
      <w:rPr>
        <w:rFonts w:ascii="Symbol" w:hAnsi="Symbol" w:hint="default"/>
      </w:rPr>
    </w:lvl>
    <w:lvl w:ilvl="1" w:tplc="08090003">
      <w:start w:val="1"/>
      <w:numFmt w:val="bullet"/>
      <w:lvlText w:val="o"/>
      <w:lvlJc w:val="left"/>
      <w:pPr>
        <w:ind w:left="1157" w:hanging="360"/>
      </w:pPr>
      <w:rPr>
        <w:rFonts w:ascii="Courier New" w:hAnsi="Courier New" w:cs="Courier New" w:hint="default"/>
      </w:rPr>
    </w:lvl>
    <w:lvl w:ilvl="2" w:tplc="08090005">
      <w:start w:val="1"/>
      <w:numFmt w:val="bullet"/>
      <w:lvlText w:val=""/>
      <w:lvlJc w:val="left"/>
      <w:pPr>
        <w:ind w:left="1877" w:hanging="360"/>
      </w:pPr>
      <w:rPr>
        <w:rFonts w:ascii="Wingdings" w:hAnsi="Wingdings" w:hint="default"/>
      </w:rPr>
    </w:lvl>
    <w:lvl w:ilvl="3" w:tplc="08090001">
      <w:start w:val="1"/>
      <w:numFmt w:val="bullet"/>
      <w:lvlText w:val=""/>
      <w:lvlJc w:val="left"/>
      <w:pPr>
        <w:ind w:left="2597" w:hanging="360"/>
      </w:pPr>
      <w:rPr>
        <w:rFonts w:ascii="Symbol" w:hAnsi="Symbol" w:hint="default"/>
      </w:rPr>
    </w:lvl>
    <w:lvl w:ilvl="4" w:tplc="08090003">
      <w:start w:val="1"/>
      <w:numFmt w:val="bullet"/>
      <w:lvlText w:val="o"/>
      <w:lvlJc w:val="left"/>
      <w:pPr>
        <w:ind w:left="3317" w:hanging="360"/>
      </w:pPr>
      <w:rPr>
        <w:rFonts w:ascii="Courier New" w:hAnsi="Courier New" w:cs="Courier New" w:hint="default"/>
      </w:rPr>
    </w:lvl>
    <w:lvl w:ilvl="5" w:tplc="08090005">
      <w:start w:val="1"/>
      <w:numFmt w:val="bullet"/>
      <w:lvlText w:val=""/>
      <w:lvlJc w:val="left"/>
      <w:pPr>
        <w:ind w:left="4037" w:hanging="360"/>
      </w:pPr>
      <w:rPr>
        <w:rFonts w:ascii="Wingdings" w:hAnsi="Wingdings" w:hint="default"/>
      </w:rPr>
    </w:lvl>
    <w:lvl w:ilvl="6" w:tplc="08090001">
      <w:start w:val="1"/>
      <w:numFmt w:val="bullet"/>
      <w:lvlText w:val=""/>
      <w:lvlJc w:val="left"/>
      <w:pPr>
        <w:ind w:left="4757" w:hanging="360"/>
      </w:pPr>
      <w:rPr>
        <w:rFonts w:ascii="Symbol" w:hAnsi="Symbol" w:hint="default"/>
      </w:rPr>
    </w:lvl>
    <w:lvl w:ilvl="7" w:tplc="08090003">
      <w:start w:val="1"/>
      <w:numFmt w:val="bullet"/>
      <w:lvlText w:val="o"/>
      <w:lvlJc w:val="left"/>
      <w:pPr>
        <w:ind w:left="5477" w:hanging="360"/>
      </w:pPr>
      <w:rPr>
        <w:rFonts w:ascii="Courier New" w:hAnsi="Courier New" w:cs="Courier New" w:hint="default"/>
      </w:rPr>
    </w:lvl>
    <w:lvl w:ilvl="8" w:tplc="08090005">
      <w:start w:val="1"/>
      <w:numFmt w:val="bullet"/>
      <w:lvlText w:val=""/>
      <w:lvlJc w:val="left"/>
      <w:pPr>
        <w:ind w:left="6197" w:hanging="360"/>
      </w:pPr>
      <w:rPr>
        <w:rFonts w:ascii="Wingdings" w:hAnsi="Wingdings" w:hint="default"/>
      </w:rPr>
    </w:lvl>
  </w:abstractNum>
  <w:abstractNum w:abstractNumId="25" w15:restartNumberingAfterBreak="0">
    <w:nsid w:val="453958A7"/>
    <w:multiLevelType w:val="hybridMultilevel"/>
    <w:tmpl w:val="2BC0D470"/>
    <w:lvl w:ilvl="0" w:tplc="8A2AE6F0">
      <w:start w:val="1"/>
      <w:numFmt w:val="decimal"/>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AE60D6"/>
    <w:multiLevelType w:val="hybridMultilevel"/>
    <w:tmpl w:val="F0BA8F0E"/>
    <w:lvl w:ilvl="0" w:tplc="242ACFA2">
      <w:numFmt w:val="bullet"/>
      <w:lvlText w:val="-"/>
      <w:lvlJc w:val="left"/>
      <w:pPr>
        <w:ind w:left="720" w:hanging="360"/>
      </w:pPr>
      <w:rPr>
        <w:rFonts w:ascii="Trebuchet MS" w:eastAsia="Times New Roman"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A58BE"/>
    <w:multiLevelType w:val="hybridMultilevel"/>
    <w:tmpl w:val="86E45A48"/>
    <w:lvl w:ilvl="0" w:tplc="B4C2FD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667F2C"/>
    <w:multiLevelType w:val="hybridMultilevel"/>
    <w:tmpl w:val="95740DBA"/>
    <w:lvl w:ilvl="0" w:tplc="F7422D0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334FC"/>
    <w:multiLevelType w:val="hybridMultilevel"/>
    <w:tmpl w:val="D004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F3623F"/>
    <w:multiLevelType w:val="hybridMultilevel"/>
    <w:tmpl w:val="AEB6083E"/>
    <w:lvl w:ilvl="0" w:tplc="10DA01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1318BB"/>
    <w:multiLevelType w:val="hybridMultilevel"/>
    <w:tmpl w:val="F6F00B32"/>
    <w:lvl w:ilvl="0" w:tplc="2CFAB7C0">
      <w:numFmt w:val="bullet"/>
      <w:lvlText w:val="-"/>
      <w:lvlJc w:val="left"/>
      <w:pPr>
        <w:ind w:left="717" w:hanging="360"/>
      </w:pPr>
      <w:rPr>
        <w:rFonts w:ascii="Trebuchet MS" w:eastAsia="Times New Roman" w:hAnsi="Trebuchet MS" w:cs="Trebuchet M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55CA7E41"/>
    <w:multiLevelType w:val="hybridMultilevel"/>
    <w:tmpl w:val="AD18FC52"/>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3" w15:restartNumberingAfterBreak="0">
    <w:nsid w:val="57A935E0"/>
    <w:multiLevelType w:val="hybridMultilevel"/>
    <w:tmpl w:val="3676B8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4" w15:restartNumberingAfterBreak="0">
    <w:nsid w:val="5D26445F"/>
    <w:multiLevelType w:val="hybridMultilevel"/>
    <w:tmpl w:val="40CC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4A1E80"/>
    <w:multiLevelType w:val="hybridMultilevel"/>
    <w:tmpl w:val="7F7880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5EAA5C80"/>
    <w:multiLevelType w:val="hybridMultilevel"/>
    <w:tmpl w:val="0ED6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6B5664"/>
    <w:multiLevelType w:val="hybridMultilevel"/>
    <w:tmpl w:val="141A8C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99B23ED"/>
    <w:multiLevelType w:val="hybridMultilevel"/>
    <w:tmpl w:val="CB04F68C"/>
    <w:lvl w:ilvl="0" w:tplc="08090001">
      <w:start w:val="1"/>
      <w:numFmt w:val="bullet"/>
      <w:lvlText w:val=""/>
      <w:lvlJc w:val="left"/>
      <w:pPr>
        <w:ind w:left="-64" w:hanging="360"/>
      </w:pPr>
      <w:rPr>
        <w:rFonts w:ascii="Symbol" w:hAnsi="Symbol" w:hint="default"/>
      </w:rPr>
    </w:lvl>
    <w:lvl w:ilvl="1" w:tplc="08090003" w:tentative="1">
      <w:start w:val="1"/>
      <w:numFmt w:val="bullet"/>
      <w:lvlText w:val="o"/>
      <w:lvlJc w:val="left"/>
      <w:pPr>
        <w:ind w:left="656" w:hanging="360"/>
      </w:pPr>
      <w:rPr>
        <w:rFonts w:ascii="Courier New" w:hAnsi="Courier New" w:cs="Courier New" w:hint="default"/>
      </w:rPr>
    </w:lvl>
    <w:lvl w:ilvl="2" w:tplc="08090005" w:tentative="1">
      <w:start w:val="1"/>
      <w:numFmt w:val="bullet"/>
      <w:lvlText w:val=""/>
      <w:lvlJc w:val="left"/>
      <w:pPr>
        <w:ind w:left="1376" w:hanging="360"/>
      </w:pPr>
      <w:rPr>
        <w:rFonts w:ascii="Wingdings" w:hAnsi="Wingdings" w:hint="default"/>
      </w:rPr>
    </w:lvl>
    <w:lvl w:ilvl="3" w:tplc="08090001" w:tentative="1">
      <w:start w:val="1"/>
      <w:numFmt w:val="bullet"/>
      <w:lvlText w:val=""/>
      <w:lvlJc w:val="left"/>
      <w:pPr>
        <w:ind w:left="2096" w:hanging="360"/>
      </w:pPr>
      <w:rPr>
        <w:rFonts w:ascii="Symbol" w:hAnsi="Symbol" w:hint="default"/>
      </w:rPr>
    </w:lvl>
    <w:lvl w:ilvl="4" w:tplc="08090003" w:tentative="1">
      <w:start w:val="1"/>
      <w:numFmt w:val="bullet"/>
      <w:lvlText w:val="o"/>
      <w:lvlJc w:val="left"/>
      <w:pPr>
        <w:ind w:left="2816" w:hanging="360"/>
      </w:pPr>
      <w:rPr>
        <w:rFonts w:ascii="Courier New" w:hAnsi="Courier New" w:cs="Courier New" w:hint="default"/>
      </w:rPr>
    </w:lvl>
    <w:lvl w:ilvl="5" w:tplc="08090005" w:tentative="1">
      <w:start w:val="1"/>
      <w:numFmt w:val="bullet"/>
      <w:lvlText w:val=""/>
      <w:lvlJc w:val="left"/>
      <w:pPr>
        <w:ind w:left="3536" w:hanging="360"/>
      </w:pPr>
      <w:rPr>
        <w:rFonts w:ascii="Wingdings" w:hAnsi="Wingdings" w:hint="default"/>
      </w:rPr>
    </w:lvl>
    <w:lvl w:ilvl="6" w:tplc="08090001" w:tentative="1">
      <w:start w:val="1"/>
      <w:numFmt w:val="bullet"/>
      <w:lvlText w:val=""/>
      <w:lvlJc w:val="left"/>
      <w:pPr>
        <w:ind w:left="4256" w:hanging="360"/>
      </w:pPr>
      <w:rPr>
        <w:rFonts w:ascii="Symbol" w:hAnsi="Symbol" w:hint="default"/>
      </w:rPr>
    </w:lvl>
    <w:lvl w:ilvl="7" w:tplc="08090003" w:tentative="1">
      <w:start w:val="1"/>
      <w:numFmt w:val="bullet"/>
      <w:lvlText w:val="o"/>
      <w:lvlJc w:val="left"/>
      <w:pPr>
        <w:ind w:left="4976" w:hanging="360"/>
      </w:pPr>
      <w:rPr>
        <w:rFonts w:ascii="Courier New" w:hAnsi="Courier New" w:cs="Courier New" w:hint="default"/>
      </w:rPr>
    </w:lvl>
    <w:lvl w:ilvl="8" w:tplc="08090005" w:tentative="1">
      <w:start w:val="1"/>
      <w:numFmt w:val="bullet"/>
      <w:lvlText w:val=""/>
      <w:lvlJc w:val="left"/>
      <w:pPr>
        <w:ind w:left="5696" w:hanging="360"/>
      </w:pPr>
      <w:rPr>
        <w:rFonts w:ascii="Wingdings" w:hAnsi="Wingdings" w:hint="default"/>
      </w:rPr>
    </w:lvl>
  </w:abstractNum>
  <w:abstractNum w:abstractNumId="39" w15:restartNumberingAfterBreak="0">
    <w:nsid w:val="6D285921"/>
    <w:multiLevelType w:val="hybridMultilevel"/>
    <w:tmpl w:val="EF40EBE6"/>
    <w:lvl w:ilvl="0" w:tplc="B1021A2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D03E99"/>
    <w:multiLevelType w:val="hybridMultilevel"/>
    <w:tmpl w:val="545E1CF6"/>
    <w:lvl w:ilvl="0" w:tplc="4EB01048">
      <w:start w:val="1"/>
      <w:numFmt w:val="decimal"/>
      <w:lvlText w:val="%1."/>
      <w:lvlJc w:val="left"/>
      <w:pPr>
        <w:ind w:left="360" w:hanging="360"/>
      </w:pPr>
      <w:rPr>
        <w:rFonts w:cs="Trebuchet M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B87995"/>
    <w:multiLevelType w:val="hybridMultilevel"/>
    <w:tmpl w:val="38046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3923A4"/>
    <w:multiLevelType w:val="hybridMultilevel"/>
    <w:tmpl w:val="6090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343F7"/>
    <w:multiLevelType w:val="hybridMultilevel"/>
    <w:tmpl w:val="ADE4A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003927"/>
    <w:multiLevelType w:val="hybridMultilevel"/>
    <w:tmpl w:val="8B1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091832">
    <w:abstractNumId w:val="20"/>
  </w:num>
  <w:num w:numId="2" w16cid:durableId="1368607670">
    <w:abstractNumId w:val="13"/>
  </w:num>
  <w:num w:numId="3" w16cid:durableId="398209542">
    <w:abstractNumId w:val="40"/>
  </w:num>
  <w:num w:numId="4" w16cid:durableId="1630629146">
    <w:abstractNumId w:val="5"/>
  </w:num>
  <w:num w:numId="5" w16cid:durableId="118691158">
    <w:abstractNumId w:val="33"/>
  </w:num>
  <w:num w:numId="6" w16cid:durableId="957416970">
    <w:abstractNumId w:val="2"/>
  </w:num>
  <w:num w:numId="7" w16cid:durableId="1368527238">
    <w:abstractNumId w:val="44"/>
  </w:num>
  <w:num w:numId="8" w16cid:durableId="2128306356">
    <w:abstractNumId w:val="23"/>
  </w:num>
  <w:num w:numId="9" w16cid:durableId="1460294835">
    <w:abstractNumId w:val="21"/>
  </w:num>
  <w:num w:numId="10" w16cid:durableId="1359772422">
    <w:abstractNumId w:val="32"/>
  </w:num>
  <w:num w:numId="11" w16cid:durableId="1278485885">
    <w:abstractNumId w:val="17"/>
  </w:num>
  <w:num w:numId="12" w16cid:durableId="94717214">
    <w:abstractNumId w:val="37"/>
  </w:num>
  <w:num w:numId="13" w16cid:durableId="1255892534">
    <w:abstractNumId w:val="36"/>
  </w:num>
  <w:num w:numId="14" w16cid:durableId="291138440">
    <w:abstractNumId w:val="29"/>
  </w:num>
  <w:num w:numId="15" w16cid:durableId="770710269">
    <w:abstractNumId w:val="26"/>
  </w:num>
  <w:num w:numId="16" w16cid:durableId="1537505579">
    <w:abstractNumId w:val="31"/>
  </w:num>
  <w:num w:numId="17" w16cid:durableId="453402426">
    <w:abstractNumId w:val="0"/>
  </w:num>
  <w:num w:numId="18" w16cid:durableId="1550068189">
    <w:abstractNumId w:val="7"/>
  </w:num>
  <w:num w:numId="19" w16cid:durableId="1196386289">
    <w:abstractNumId w:val="28"/>
  </w:num>
  <w:num w:numId="20" w16cid:durableId="1137575076">
    <w:abstractNumId w:val="11"/>
  </w:num>
  <w:num w:numId="21" w16cid:durableId="401801393">
    <w:abstractNumId w:val="30"/>
  </w:num>
  <w:num w:numId="22" w16cid:durableId="1078285508">
    <w:abstractNumId w:val="43"/>
  </w:num>
  <w:num w:numId="23" w16cid:durableId="1289169810">
    <w:abstractNumId w:val="25"/>
  </w:num>
  <w:num w:numId="24" w16cid:durableId="1108310069">
    <w:abstractNumId w:val="12"/>
  </w:num>
  <w:num w:numId="25" w16cid:durableId="229459555">
    <w:abstractNumId w:val="3"/>
  </w:num>
  <w:num w:numId="26" w16cid:durableId="684720379">
    <w:abstractNumId w:val="18"/>
  </w:num>
  <w:num w:numId="27" w16cid:durableId="524749940">
    <w:abstractNumId w:val="34"/>
  </w:num>
  <w:num w:numId="28" w16cid:durableId="975722525">
    <w:abstractNumId w:val="39"/>
  </w:num>
  <w:num w:numId="29" w16cid:durableId="469057730">
    <w:abstractNumId w:val="16"/>
  </w:num>
  <w:num w:numId="30" w16cid:durableId="1925139808">
    <w:abstractNumId w:val="27"/>
  </w:num>
  <w:num w:numId="31" w16cid:durableId="1008023284">
    <w:abstractNumId w:val="15"/>
  </w:num>
  <w:num w:numId="32" w16cid:durableId="353269650">
    <w:abstractNumId w:val="10"/>
  </w:num>
  <w:num w:numId="33" w16cid:durableId="2067484658">
    <w:abstractNumId w:val="9"/>
  </w:num>
  <w:num w:numId="34" w16cid:durableId="2081975319">
    <w:abstractNumId w:val="4"/>
  </w:num>
  <w:num w:numId="35" w16cid:durableId="1685472432">
    <w:abstractNumId w:val="19"/>
  </w:num>
  <w:num w:numId="36" w16cid:durableId="752778983">
    <w:abstractNumId w:val="42"/>
  </w:num>
  <w:num w:numId="37" w16cid:durableId="1040668056">
    <w:abstractNumId w:val="24"/>
  </w:num>
  <w:num w:numId="38" w16cid:durableId="122771610">
    <w:abstractNumId w:val="38"/>
  </w:num>
  <w:num w:numId="39" w16cid:durableId="19358561">
    <w:abstractNumId w:val="14"/>
  </w:num>
  <w:num w:numId="40" w16cid:durableId="930551335">
    <w:abstractNumId w:val="22"/>
  </w:num>
  <w:num w:numId="41" w16cid:durableId="199822996">
    <w:abstractNumId w:val="1"/>
  </w:num>
  <w:num w:numId="42" w16cid:durableId="518351122">
    <w:abstractNumId w:val="35"/>
  </w:num>
  <w:num w:numId="43" w16cid:durableId="865791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067787">
    <w:abstractNumId w:val="6"/>
  </w:num>
  <w:num w:numId="45" w16cid:durableId="255019098">
    <w:abstractNumId w:val="8"/>
  </w:num>
  <w:num w:numId="46" w16cid:durableId="685179446">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3ED"/>
    <w:rsid w:val="00000317"/>
    <w:rsid w:val="00000D87"/>
    <w:rsid w:val="0000121C"/>
    <w:rsid w:val="000013CE"/>
    <w:rsid w:val="00001AA3"/>
    <w:rsid w:val="00004164"/>
    <w:rsid w:val="00006259"/>
    <w:rsid w:val="00007ED6"/>
    <w:rsid w:val="000100DD"/>
    <w:rsid w:val="00010D97"/>
    <w:rsid w:val="0001114B"/>
    <w:rsid w:val="00012451"/>
    <w:rsid w:val="00014876"/>
    <w:rsid w:val="00015A0B"/>
    <w:rsid w:val="00016211"/>
    <w:rsid w:val="0001793B"/>
    <w:rsid w:val="00023E8B"/>
    <w:rsid w:val="00024BAA"/>
    <w:rsid w:val="00024D0A"/>
    <w:rsid w:val="00027B5C"/>
    <w:rsid w:val="0003007E"/>
    <w:rsid w:val="00033565"/>
    <w:rsid w:val="00033614"/>
    <w:rsid w:val="00033D05"/>
    <w:rsid w:val="000344D3"/>
    <w:rsid w:val="000345B0"/>
    <w:rsid w:val="00034BF7"/>
    <w:rsid w:val="00034F4C"/>
    <w:rsid w:val="00036343"/>
    <w:rsid w:val="00036F46"/>
    <w:rsid w:val="00040C90"/>
    <w:rsid w:val="00042CAC"/>
    <w:rsid w:val="00042E2C"/>
    <w:rsid w:val="000470D4"/>
    <w:rsid w:val="00050C19"/>
    <w:rsid w:val="00051F00"/>
    <w:rsid w:val="00051F15"/>
    <w:rsid w:val="00052E90"/>
    <w:rsid w:val="0005451F"/>
    <w:rsid w:val="00054A3C"/>
    <w:rsid w:val="00056762"/>
    <w:rsid w:val="000605FF"/>
    <w:rsid w:val="00061A9D"/>
    <w:rsid w:val="00061F2B"/>
    <w:rsid w:val="00063620"/>
    <w:rsid w:val="00063A53"/>
    <w:rsid w:val="000641C7"/>
    <w:rsid w:val="000656AC"/>
    <w:rsid w:val="00066977"/>
    <w:rsid w:val="00067EF5"/>
    <w:rsid w:val="00070461"/>
    <w:rsid w:val="000709B2"/>
    <w:rsid w:val="00071E9E"/>
    <w:rsid w:val="00072DC5"/>
    <w:rsid w:val="00073F1F"/>
    <w:rsid w:val="00074279"/>
    <w:rsid w:val="00076EB2"/>
    <w:rsid w:val="0008390F"/>
    <w:rsid w:val="00084CDD"/>
    <w:rsid w:val="00086215"/>
    <w:rsid w:val="000919A9"/>
    <w:rsid w:val="00093023"/>
    <w:rsid w:val="000934AC"/>
    <w:rsid w:val="00094797"/>
    <w:rsid w:val="00095F82"/>
    <w:rsid w:val="000A1CFD"/>
    <w:rsid w:val="000A366A"/>
    <w:rsid w:val="000A36FA"/>
    <w:rsid w:val="000A70E9"/>
    <w:rsid w:val="000A75E8"/>
    <w:rsid w:val="000A7FA3"/>
    <w:rsid w:val="000B0B57"/>
    <w:rsid w:val="000B2DF9"/>
    <w:rsid w:val="000B4DBD"/>
    <w:rsid w:val="000B534B"/>
    <w:rsid w:val="000B69BF"/>
    <w:rsid w:val="000C04A6"/>
    <w:rsid w:val="000C156A"/>
    <w:rsid w:val="000C1B2A"/>
    <w:rsid w:val="000C3F30"/>
    <w:rsid w:val="000C43ED"/>
    <w:rsid w:val="000C4431"/>
    <w:rsid w:val="000C6219"/>
    <w:rsid w:val="000C6E2C"/>
    <w:rsid w:val="000C71CE"/>
    <w:rsid w:val="000C7686"/>
    <w:rsid w:val="000D1D5B"/>
    <w:rsid w:val="000D27E2"/>
    <w:rsid w:val="000D2998"/>
    <w:rsid w:val="000D34F2"/>
    <w:rsid w:val="000D43A6"/>
    <w:rsid w:val="000D5D8E"/>
    <w:rsid w:val="000D6446"/>
    <w:rsid w:val="000D6EA3"/>
    <w:rsid w:val="000D7023"/>
    <w:rsid w:val="000D705C"/>
    <w:rsid w:val="000D7492"/>
    <w:rsid w:val="000E0514"/>
    <w:rsid w:val="000E093E"/>
    <w:rsid w:val="000E0BD1"/>
    <w:rsid w:val="000E1F56"/>
    <w:rsid w:val="000E200B"/>
    <w:rsid w:val="000E3435"/>
    <w:rsid w:val="000E3471"/>
    <w:rsid w:val="000E368D"/>
    <w:rsid w:val="000E5213"/>
    <w:rsid w:val="000E54A2"/>
    <w:rsid w:val="000E563A"/>
    <w:rsid w:val="000E62B7"/>
    <w:rsid w:val="000E664A"/>
    <w:rsid w:val="000E72A2"/>
    <w:rsid w:val="000F002D"/>
    <w:rsid w:val="000F0580"/>
    <w:rsid w:val="000F143B"/>
    <w:rsid w:val="000F1921"/>
    <w:rsid w:val="000F26CC"/>
    <w:rsid w:val="000F4639"/>
    <w:rsid w:val="000F603D"/>
    <w:rsid w:val="000F7A82"/>
    <w:rsid w:val="000F7F36"/>
    <w:rsid w:val="000F7FE9"/>
    <w:rsid w:val="00100068"/>
    <w:rsid w:val="00101A53"/>
    <w:rsid w:val="001022B1"/>
    <w:rsid w:val="00102FC6"/>
    <w:rsid w:val="00103C07"/>
    <w:rsid w:val="00104BA5"/>
    <w:rsid w:val="00105DF4"/>
    <w:rsid w:val="00106F16"/>
    <w:rsid w:val="00107282"/>
    <w:rsid w:val="00111483"/>
    <w:rsid w:val="00111FF3"/>
    <w:rsid w:val="00112F9A"/>
    <w:rsid w:val="00113B35"/>
    <w:rsid w:val="00114605"/>
    <w:rsid w:val="0011553F"/>
    <w:rsid w:val="001162B9"/>
    <w:rsid w:val="0011636D"/>
    <w:rsid w:val="00116C04"/>
    <w:rsid w:val="00117C91"/>
    <w:rsid w:val="00122258"/>
    <w:rsid w:val="001236ED"/>
    <w:rsid w:val="00124A3E"/>
    <w:rsid w:val="00126ADB"/>
    <w:rsid w:val="00127768"/>
    <w:rsid w:val="00127B2F"/>
    <w:rsid w:val="00127BDB"/>
    <w:rsid w:val="00130654"/>
    <w:rsid w:val="001313ED"/>
    <w:rsid w:val="00131D43"/>
    <w:rsid w:val="00132CEF"/>
    <w:rsid w:val="00134C62"/>
    <w:rsid w:val="00136C9F"/>
    <w:rsid w:val="0013740A"/>
    <w:rsid w:val="00141842"/>
    <w:rsid w:val="0014287E"/>
    <w:rsid w:val="00142FE7"/>
    <w:rsid w:val="00144FFE"/>
    <w:rsid w:val="001477B8"/>
    <w:rsid w:val="00147F44"/>
    <w:rsid w:val="001510EE"/>
    <w:rsid w:val="00152C88"/>
    <w:rsid w:val="00154024"/>
    <w:rsid w:val="00154704"/>
    <w:rsid w:val="00154B8A"/>
    <w:rsid w:val="00155805"/>
    <w:rsid w:val="00155B3F"/>
    <w:rsid w:val="001566AC"/>
    <w:rsid w:val="00157519"/>
    <w:rsid w:val="00160698"/>
    <w:rsid w:val="00161856"/>
    <w:rsid w:val="00161E76"/>
    <w:rsid w:val="001626D3"/>
    <w:rsid w:val="00164878"/>
    <w:rsid w:val="001655F5"/>
    <w:rsid w:val="00165D87"/>
    <w:rsid w:val="0016696E"/>
    <w:rsid w:val="00170998"/>
    <w:rsid w:val="00172A98"/>
    <w:rsid w:val="00173523"/>
    <w:rsid w:val="0017353C"/>
    <w:rsid w:val="001736EA"/>
    <w:rsid w:val="00174A5C"/>
    <w:rsid w:val="00175255"/>
    <w:rsid w:val="00180763"/>
    <w:rsid w:val="00180AF1"/>
    <w:rsid w:val="00182289"/>
    <w:rsid w:val="00182FA7"/>
    <w:rsid w:val="00183523"/>
    <w:rsid w:val="00183527"/>
    <w:rsid w:val="0018357C"/>
    <w:rsid w:val="0018575F"/>
    <w:rsid w:val="00186635"/>
    <w:rsid w:val="00190C39"/>
    <w:rsid w:val="00191EC1"/>
    <w:rsid w:val="00192C85"/>
    <w:rsid w:val="00192F13"/>
    <w:rsid w:val="00193B57"/>
    <w:rsid w:val="00194BEE"/>
    <w:rsid w:val="001957AA"/>
    <w:rsid w:val="00195F8C"/>
    <w:rsid w:val="001A0267"/>
    <w:rsid w:val="001A4218"/>
    <w:rsid w:val="001A4E7F"/>
    <w:rsid w:val="001A6B79"/>
    <w:rsid w:val="001A763B"/>
    <w:rsid w:val="001B01D8"/>
    <w:rsid w:val="001B1392"/>
    <w:rsid w:val="001B1BC9"/>
    <w:rsid w:val="001B23FE"/>
    <w:rsid w:val="001B2FE2"/>
    <w:rsid w:val="001B3156"/>
    <w:rsid w:val="001B474D"/>
    <w:rsid w:val="001B490B"/>
    <w:rsid w:val="001B4CBD"/>
    <w:rsid w:val="001B5107"/>
    <w:rsid w:val="001B6D84"/>
    <w:rsid w:val="001B71D3"/>
    <w:rsid w:val="001B74E0"/>
    <w:rsid w:val="001C0A15"/>
    <w:rsid w:val="001C676D"/>
    <w:rsid w:val="001C76FD"/>
    <w:rsid w:val="001D02FE"/>
    <w:rsid w:val="001D0CB9"/>
    <w:rsid w:val="001D2CFC"/>
    <w:rsid w:val="001D3580"/>
    <w:rsid w:val="001D44A5"/>
    <w:rsid w:val="001D5819"/>
    <w:rsid w:val="001D6D25"/>
    <w:rsid w:val="001E03A7"/>
    <w:rsid w:val="001E0D45"/>
    <w:rsid w:val="001E1975"/>
    <w:rsid w:val="001E49E5"/>
    <w:rsid w:val="001E4DE4"/>
    <w:rsid w:val="001E4FCF"/>
    <w:rsid w:val="001E57C2"/>
    <w:rsid w:val="001E5A31"/>
    <w:rsid w:val="001E6FB0"/>
    <w:rsid w:val="001E75EA"/>
    <w:rsid w:val="001F17F5"/>
    <w:rsid w:val="001F7FED"/>
    <w:rsid w:val="00200348"/>
    <w:rsid w:val="0020321E"/>
    <w:rsid w:val="002032D3"/>
    <w:rsid w:val="0020376F"/>
    <w:rsid w:val="00203CA2"/>
    <w:rsid w:val="00204CF6"/>
    <w:rsid w:val="00205332"/>
    <w:rsid w:val="002055CC"/>
    <w:rsid w:val="00210BA4"/>
    <w:rsid w:val="00210CF8"/>
    <w:rsid w:val="0021150B"/>
    <w:rsid w:val="00211BE8"/>
    <w:rsid w:val="00211C22"/>
    <w:rsid w:val="002124FC"/>
    <w:rsid w:val="0021370F"/>
    <w:rsid w:val="0022184D"/>
    <w:rsid w:val="00221C3E"/>
    <w:rsid w:val="002222A9"/>
    <w:rsid w:val="00222859"/>
    <w:rsid w:val="0022291C"/>
    <w:rsid w:val="00223684"/>
    <w:rsid w:val="00224836"/>
    <w:rsid w:val="002265D6"/>
    <w:rsid w:val="00226617"/>
    <w:rsid w:val="00226EF9"/>
    <w:rsid w:val="0022746D"/>
    <w:rsid w:val="002310E2"/>
    <w:rsid w:val="002313EE"/>
    <w:rsid w:val="0023453A"/>
    <w:rsid w:val="00234C49"/>
    <w:rsid w:val="00234CAF"/>
    <w:rsid w:val="00234D74"/>
    <w:rsid w:val="002364F2"/>
    <w:rsid w:val="0023662B"/>
    <w:rsid w:val="00240407"/>
    <w:rsid w:val="002448BD"/>
    <w:rsid w:val="00246439"/>
    <w:rsid w:val="00247131"/>
    <w:rsid w:val="00247C38"/>
    <w:rsid w:val="0025100D"/>
    <w:rsid w:val="00251FDC"/>
    <w:rsid w:val="002539AE"/>
    <w:rsid w:val="00255050"/>
    <w:rsid w:val="002550C8"/>
    <w:rsid w:val="002564C5"/>
    <w:rsid w:val="002565BE"/>
    <w:rsid w:val="00262633"/>
    <w:rsid w:val="00262697"/>
    <w:rsid w:val="00266032"/>
    <w:rsid w:val="00266444"/>
    <w:rsid w:val="00266B05"/>
    <w:rsid w:val="00271E4D"/>
    <w:rsid w:val="00272745"/>
    <w:rsid w:val="00275425"/>
    <w:rsid w:val="002754F0"/>
    <w:rsid w:val="00275C9E"/>
    <w:rsid w:val="00275D97"/>
    <w:rsid w:val="002776D0"/>
    <w:rsid w:val="00277A70"/>
    <w:rsid w:val="00277B7C"/>
    <w:rsid w:val="00280E54"/>
    <w:rsid w:val="002811A7"/>
    <w:rsid w:val="00281B98"/>
    <w:rsid w:val="002839A7"/>
    <w:rsid w:val="00283E3A"/>
    <w:rsid w:val="00283E81"/>
    <w:rsid w:val="0028426B"/>
    <w:rsid w:val="00286257"/>
    <w:rsid w:val="00286BFB"/>
    <w:rsid w:val="002909E8"/>
    <w:rsid w:val="00291BB8"/>
    <w:rsid w:val="00294066"/>
    <w:rsid w:val="0029548C"/>
    <w:rsid w:val="002966BD"/>
    <w:rsid w:val="00296830"/>
    <w:rsid w:val="00297CFB"/>
    <w:rsid w:val="00297DE2"/>
    <w:rsid w:val="002A023A"/>
    <w:rsid w:val="002A072E"/>
    <w:rsid w:val="002A0749"/>
    <w:rsid w:val="002A0F37"/>
    <w:rsid w:val="002A1837"/>
    <w:rsid w:val="002A39C5"/>
    <w:rsid w:val="002A4C34"/>
    <w:rsid w:val="002A63A8"/>
    <w:rsid w:val="002A6C9F"/>
    <w:rsid w:val="002A7954"/>
    <w:rsid w:val="002B2481"/>
    <w:rsid w:val="002B2694"/>
    <w:rsid w:val="002B2C2E"/>
    <w:rsid w:val="002B33C9"/>
    <w:rsid w:val="002B3948"/>
    <w:rsid w:val="002B44B4"/>
    <w:rsid w:val="002B55F0"/>
    <w:rsid w:val="002B5643"/>
    <w:rsid w:val="002B5D65"/>
    <w:rsid w:val="002B737B"/>
    <w:rsid w:val="002B74B3"/>
    <w:rsid w:val="002B7FFB"/>
    <w:rsid w:val="002C16D3"/>
    <w:rsid w:val="002C1BC9"/>
    <w:rsid w:val="002C20F1"/>
    <w:rsid w:val="002C2267"/>
    <w:rsid w:val="002C2A25"/>
    <w:rsid w:val="002C598A"/>
    <w:rsid w:val="002C5A50"/>
    <w:rsid w:val="002C658B"/>
    <w:rsid w:val="002C75AC"/>
    <w:rsid w:val="002C77DC"/>
    <w:rsid w:val="002D0165"/>
    <w:rsid w:val="002D2867"/>
    <w:rsid w:val="002D318B"/>
    <w:rsid w:val="002D4C04"/>
    <w:rsid w:val="002D55AC"/>
    <w:rsid w:val="002D5D04"/>
    <w:rsid w:val="002D7A2A"/>
    <w:rsid w:val="002E1937"/>
    <w:rsid w:val="002E334A"/>
    <w:rsid w:val="002E376D"/>
    <w:rsid w:val="002E520C"/>
    <w:rsid w:val="002E5C65"/>
    <w:rsid w:val="002E65F4"/>
    <w:rsid w:val="002E6CC1"/>
    <w:rsid w:val="002F0B09"/>
    <w:rsid w:val="002F0C60"/>
    <w:rsid w:val="002F0C6E"/>
    <w:rsid w:val="002F163A"/>
    <w:rsid w:val="002F5561"/>
    <w:rsid w:val="002F6620"/>
    <w:rsid w:val="00300F9C"/>
    <w:rsid w:val="00303287"/>
    <w:rsid w:val="003038AC"/>
    <w:rsid w:val="00304773"/>
    <w:rsid w:val="003049B5"/>
    <w:rsid w:val="003053B9"/>
    <w:rsid w:val="0030589A"/>
    <w:rsid w:val="00305C77"/>
    <w:rsid w:val="00305EE1"/>
    <w:rsid w:val="00306BF1"/>
    <w:rsid w:val="00307886"/>
    <w:rsid w:val="0031324E"/>
    <w:rsid w:val="003133C3"/>
    <w:rsid w:val="003151E0"/>
    <w:rsid w:val="00316CF9"/>
    <w:rsid w:val="00316E3D"/>
    <w:rsid w:val="00317EFF"/>
    <w:rsid w:val="00321C99"/>
    <w:rsid w:val="00322814"/>
    <w:rsid w:val="003235BD"/>
    <w:rsid w:val="00330907"/>
    <w:rsid w:val="00330F5E"/>
    <w:rsid w:val="00331208"/>
    <w:rsid w:val="003317BC"/>
    <w:rsid w:val="00332750"/>
    <w:rsid w:val="00333C9D"/>
    <w:rsid w:val="00334D54"/>
    <w:rsid w:val="0033780F"/>
    <w:rsid w:val="0034002C"/>
    <w:rsid w:val="00340424"/>
    <w:rsid w:val="00340D8F"/>
    <w:rsid w:val="0034115E"/>
    <w:rsid w:val="0034135F"/>
    <w:rsid w:val="00341FBA"/>
    <w:rsid w:val="00341FEB"/>
    <w:rsid w:val="0034269B"/>
    <w:rsid w:val="00345A9F"/>
    <w:rsid w:val="00345D75"/>
    <w:rsid w:val="003473D9"/>
    <w:rsid w:val="00347FDE"/>
    <w:rsid w:val="00350998"/>
    <w:rsid w:val="003511C7"/>
    <w:rsid w:val="00352826"/>
    <w:rsid w:val="00357A56"/>
    <w:rsid w:val="00357B77"/>
    <w:rsid w:val="00361BC3"/>
    <w:rsid w:val="00362113"/>
    <w:rsid w:val="00362B59"/>
    <w:rsid w:val="00363035"/>
    <w:rsid w:val="00364D93"/>
    <w:rsid w:val="00365372"/>
    <w:rsid w:val="00365930"/>
    <w:rsid w:val="00365B58"/>
    <w:rsid w:val="00366020"/>
    <w:rsid w:val="00372DBB"/>
    <w:rsid w:val="00373027"/>
    <w:rsid w:val="00374684"/>
    <w:rsid w:val="003761AD"/>
    <w:rsid w:val="003775B5"/>
    <w:rsid w:val="00380191"/>
    <w:rsid w:val="00380A2E"/>
    <w:rsid w:val="00382903"/>
    <w:rsid w:val="00382F64"/>
    <w:rsid w:val="003831EA"/>
    <w:rsid w:val="003837EB"/>
    <w:rsid w:val="00384603"/>
    <w:rsid w:val="00386430"/>
    <w:rsid w:val="003867E5"/>
    <w:rsid w:val="00387529"/>
    <w:rsid w:val="00390110"/>
    <w:rsid w:val="00394456"/>
    <w:rsid w:val="00395347"/>
    <w:rsid w:val="003A0869"/>
    <w:rsid w:val="003A1007"/>
    <w:rsid w:val="003A249C"/>
    <w:rsid w:val="003A4957"/>
    <w:rsid w:val="003A614B"/>
    <w:rsid w:val="003A7AE4"/>
    <w:rsid w:val="003B0128"/>
    <w:rsid w:val="003B13DB"/>
    <w:rsid w:val="003B55B1"/>
    <w:rsid w:val="003B5E92"/>
    <w:rsid w:val="003B606E"/>
    <w:rsid w:val="003B6682"/>
    <w:rsid w:val="003B68A5"/>
    <w:rsid w:val="003B6D72"/>
    <w:rsid w:val="003C003E"/>
    <w:rsid w:val="003C02C2"/>
    <w:rsid w:val="003C3A71"/>
    <w:rsid w:val="003C3BFE"/>
    <w:rsid w:val="003C44A0"/>
    <w:rsid w:val="003C466A"/>
    <w:rsid w:val="003C475D"/>
    <w:rsid w:val="003C512E"/>
    <w:rsid w:val="003C52A1"/>
    <w:rsid w:val="003C5DEA"/>
    <w:rsid w:val="003C69CD"/>
    <w:rsid w:val="003C781B"/>
    <w:rsid w:val="003C7DDC"/>
    <w:rsid w:val="003D02D0"/>
    <w:rsid w:val="003D1779"/>
    <w:rsid w:val="003D1FEE"/>
    <w:rsid w:val="003D2DD8"/>
    <w:rsid w:val="003D4732"/>
    <w:rsid w:val="003D5D8E"/>
    <w:rsid w:val="003E2C29"/>
    <w:rsid w:val="003E2D72"/>
    <w:rsid w:val="003E3EA8"/>
    <w:rsid w:val="003E4194"/>
    <w:rsid w:val="003E602F"/>
    <w:rsid w:val="003E774C"/>
    <w:rsid w:val="003F001E"/>
    <w:rsid w:val="003F0411"/>
    <w:rsid w:val="003F0BE7"/>
    <w:rsid w:val="003F1F59"/>
    <w:rsid w:val="003F5315"/>
    <w:rsid w:val="003F5786"/>
    <w:rsid w:val="003F590B"/>
    <w:rsid w:val="003F7950"/>
    <w:rsid w:val="003F7F66"/>
    <w:rsid w:val="0040009A"/>
    <w:rsid w:val="00400D45"/>
    <w:rsid w:val="00400E98"/>
    <w:rsid w:val="00403612"/>
    <w:rsid w:val="004047C7"/>
    <w:rsid w:val="00404991"/>
    <w:rsid w:val="00404AD6"/>
    <w:rsid w:val="00405190"/>
    <w:rsid w:val="0040621F"/>
    <w:rsid w:val="00406986"/>
    <w:rsid w:val="00406F17"/>
    <w:rsid w:val="00410109"/>
    <w:rsid w:val="00412194"/>
    <w:rsid w:val="0041257F"/>
    <w:rsid w:val="00412D54"/>
    <w:rsid w:val="00413FFB"/>
    <w:rsid w:val="00414F9E"/>
    <w:rsid w:val="00416A7D"/>
    <w:rsid w:val="00417007"/>
    <w:rsid w:val="00421BAE"/>
    <w:rsid w:val="00422193"/>
    <w:rsid w:val="0042231A"/>
    <w:rsid w:val="00422AF7"/>
    <w:rsid w:val="00422B13"/>
    <w:rsid w:val="0042411C"/>
    <w:rsid w:val="00425313"/>
    <w:rsid w:val="00425B9A"/>
    <w:rsid w:val="00425D9E"/>
    <w:rsid w:val="00430263"/>
    <w:rsid w:val="004304B7"/>
    <w:rsid w:val="00430B45"/>
    <w:rsid w:val="00430F04"/>
    <w:rsid w:val="00431065"/>
    <w:rsid w:val="00431498"/>
    <w:rsid w:val="00431E0A"/>
    <w:rsid w:val="00431FFC"/>
    <w:rsid w:val="00432059"/>
    <w:rsid w:val="00432CCD"/>
    <w:rsid w:val="0043356A"/>
    <w:rsid w:val="004335B4"/>
    <w:rsid w:val="004342D9"/>
    <w:rsid w:val="00434828"/>
    <w:rsid w:val="00434B60"/>
    <w:rsid w:val="00434C6D"/>
    <w:rsid w:val="0043658D"/>
    <w:rsid w:val="00436BD9"/>
    <w:rsid w:val="0043717B"/>
    <w:rsid w:val="00437559"/>
    <w:rsid w:val="004400DC"/>
    <w:rsid w:val="004411A6"/>
    <w:rsid w:val="0044621F"/>
    <w:rsid w:val="00447CA5"/>
    <w:rsid w:val="00447EA8"/>
    <w:rsid w:val="00450D20"/>
    <w:rsid w:val="00451E40"/>
    <w:rsid w:val="004520CB"/>
    <w:rsid w:val="00455AF8"/>
    <w:rsid w:val="004567B7"/>
    <w:rsid w:val="00456BCA"/>
    <w:rsid w:val="00457106"/>
    <w:rsid w:val="004574C7"/>
    <w:rsid w:val="00457FFA"/>
    <w:rsid w:val="004613F4"/>
    <w:rsid w:val="00461CEB"/>
    <w:rsid w:val="004620C3"/>
    <w:rsid w:val="00463C67"/>
    <w:rsid w:val="0046723E"/>
    <w:rsid w:val="0046751B"/>
    <w:rsid w:val="00467554"/>
    <w:rsid w:val="0046759C"/>
    <w:rsid w:val="00467E85"/>
    <w:rsid w:val="00470B61"/>
    <w:rsid w:val="00471B79"/>
    <w:rsid w:val="00471E89"/>
    <w:rsid w:val="004729EC"/>
    <w:rsid w:val="00473104"/>
    <w:rsid w:val="0047363E"/>
    <w:rsid w:val="004744C4"/>
    <w:rsid w:val="00474678"/>
    <w:rsid w:val="00474B57"/>
    <w:rsid w:val="00474CB1"/>
    <w:rsid w:val="00475014"/>
    <w:rsid w:val="00476F49"/>
    <w:rsid w:val="0048147D"/>
    <w:rsid w:val="00481A25"/>
    <w:rsid w:val="004846B5"/>
    <w:rsid w:val="0048716C"/>
    <w:rsid w:val="0049069D"/>
    <w:rsid w:val="00493A10"/>
    <w:rsid w:val="0049597A"/>
    <w:rsid w:val="004966F3"/>
    <w:rsid w:val="004A11C7"/>
    <w:rsid w:val="004A1216"/>
    <w:rsid w:val="004A2255"/>
    <w:rsid w:val="004A2996"/>
    <w:rsid w:val="004A3EF0"/>
    <w:rsid w:val="004A523B"/>
    <w:rsid w:val="004A729B"/>
    <w:rsid w:val="004A7606"/>
    <w:rsid w:val="004B0434"/>
    <w:rsid w:val="004B0E7E"/>
    <w:rsid w:val="004B140A"/>
    <w:rsid w:val="004B7DE4"/>
    <w:rsid w:val="004C0D36"/>
    <w:rsid w:val="004C16E8"/>
    <w:rsid w:val="004C27F8"/>
    <w:rsid w:val="004C3086"/>
    <w:rsid w:val="004C364B"/>
    <w:rsid w:val="004C4D2A"/>
    <w:rsid w:val="004C5352"/>
    <w:rsid w:val="004C6873"/>
    <w:rsid w:val="004D0082"/>
    <w:rsid w:val="004D03ED"/>
    <w:rsid w:val="004D1DE9"/>
    <w:rsid w:val="004D34AD"/>
    <w:rsid w:val="004D351B"/>
    <w:rsid w:val="004D7C06"/>
    <w:rsid w:val="004E38CD"/>
    <w:rsid w:val="004E4F87"/>
    <w:rsid w:val="004E5B3A"/>
    <w:rsid w:val="004E6B6E"/>
    <w:rsid w:val="004F0CAE"/>
    <w:rsid w:val="004F0FCF"/>
    <w:rsid w:val="004F1089"/>
    <w:rsid w:val="004F2996"/>
    <w:rsid w:val="004F4F6E"/>
    <w:rsid w:val="004F56BB"/>
    <w:rsid w:val="004F57D3"/>
    <w:rsid w:val="004F6DB7"/>
    <w:rsid w:val="004F7F36"/>
    <w:rsid w:val="00503B53"/>
    <w:rsid w:val="00504363"/>
    <w:rsid w:val="00505947"/>
    <w:rsid w:val="00506B5E"/>
    <w:rsid w:val="00507349"/>
    <w:rsid w:val="00510F6E"/>
    <w:rsid w:val="005126E6"/>
    <w:rsid w:val="005141FC"/>
    <w:rsid w:val="005208CE"/>
    <w:rsid w:val="00520987"/>
    <w:rsid w:val="0052151B"/>
    <w:rsid w:val="005218C6"/>
    <w:rsid w:val="00521EF4"/>
    <w:rsid w:val="00523005"/>
    <w:rsid w:val="005234DC"/>
    <w:rsid w:val="00526C99"/>
    <w:rsid w:val="005272E6"/>
    <w:rsid w:val="0052757E"/>
    <w:rsid w:val="005304E7"/>
    <w:rsid w:val="0053321A"/>
    <w:rsid w:val="00534214"/>
    <w:rsid w:val="0053573C"/>
    <w:rsid w:val="00535D9E"/>
    <w:rsid w:val="00536033"/>
    <w:rsid w:val="0054151F"/>
    <w:rsid w:val="00543F04"/>
    <w:rsid w:val="00544FD1"/>
    <w:rsid w:val="00550DEE"/>
    <w:rsid w:val="00551907"/>
    <w:rsid w:val="005524A6"/>
    <w:rsid w:val="00552708"/>
    <w:rsid w:val="00552D5B"/>
    <w:rsid w:val="00554363"/>
    <w:rsid w:val="00555DBC"/>
    <w:rsid w:val="00557748"/>
    <w:rsid w:val="00557769"/>
    <w:rsid w:val="00557DCF"/>
    <w:rsid w:val="00560108"/>
    <w:rsid w:val="005609DE"/>
    <w:rsid w:val="00560BCD"/>
    <w:rsid w:val="005614F5"/>
    <w:rsid w:val="00561943"/>
    <w:rsid w:val="005623A9"/>
    <w:rsid w:val="00562A89"/>
    <w:rsid w:val="00564BC0"/>
    <w:rsid w:val="00564DCA"/>
    <w:rsid w:val="00565885"/>
    <w:rsid w:val="005662A0"/>
    <w:rsid w:val="00567BAA"/>
    <w:rsid w:val="00567CF4"/>
    <w:rsid w:val="00571583"/>
    <w:rsid w:val="00576202"/>
    <w:rsid w:val="005801C2"/>
    <w:rsid w:val="00580DBC"/>
    <w:rsid w:val="00581429"/>
    <w:rsid w:val="00582233"/>
    <w:rsid w:val="00583998"/>
    <w:rsid w:val="00584BA6"/>
    <w:rsid w:val="00586B70"/>
    <w:rsid w:val="00590291"/>
    <w:rsid w:val="005910AC"/>
    <w:rsid w:val="00591169"/>
    <w:rsid w:val="00591F97"/>
    <w:rsid w:val="0059237E"/>
    <w:rsid w:val="00592C63"/>
    <w:rsid w:val="005936C8"/>
    <w:rsid w:val="0059376C"/>
    <w:rsid w:val="00595939"/>
    <w:rsid w:val="005972E4"/>
    <w:rsid w:val="00597E02"/>
    <w:rsid w:val="005A1761"/>
    <w:rsid w:val="005A1B98"/>
    <w:rsid w:val="005A2C69"/>
    <w:rsid w:val="005A336E"/>
    <w:rsid w:val="005A5B12"/>
    <w:rsid w:val="005A61C5"/>
    <w:rsid w:val="005A7254"/>
    <w:rsid w:val="005B082A"/>
    <w:rsid w:val="005B1355"/>
    <w:rsid w:val="005B2AEC"/>
    <w:rsid w:val="005B2C0E"/>
    <w:rsid w:val="005B42CE"/>
    <w:rsid w:val="005B5FFC"/>
    <w:rsid w:val="005B61EC"/>
    <w:rsid w:val="005B6B17"/>
    <w:rsid w:val="005B7399"/>
    <w:rsid w:val="005B73BF"/>
    <w:rsid w:val="005B7575"/>
    <w:rsid w:val="005B77DC"/>
    <w:rsid w:val="005C4FF3"/>
    <w:rsid w:val="005C51BA"/>
    <w:rsid w:val="005C6232"/>
    <w:rsid w:val="005C696F"/>
    <w:rsid w:val="005D021C"/>
    <w:rsid w:val="005D1901"/>
    <w:rsid w:val="005D194A"/>
    <w:rsid w:val="005D19BF"/>
    <w:rsid w:val="005D336F"/>
    <w:rsid w:val="005D6D9B"/>
    <w:rsid w:val="005D785C"/>
    <w:rsid w:val="005E3CA2"/>
    <w:rsid w:val="005E4207"/>
    <w:rsid w:val="005E7275"/>
    <w:rsid w:val="005E7298"/>
    <w:rsid w:val="005F55F1"/>
    <w:rsid w:val="005F58FE"/>
    <w:rsid w:val="005F638A"/>
    <w:rsid w:val="005F6458"/>
    <w:rsid w:val="005F6C68"/>
    <w:rsid w:val="006058A4"/>
    <w:rsid w:val="00606720"/>
    <w:rsid w:val="00606DD2"/>
    <w:rsid w:val="00607E08"/>
    <w:rsid w:val="006108A0"/>
    <w:rsid w:val="0061108A"/>
    <w:rsid w:val="00613989"/>
    <w:rsid w:val="00613F2F"/>
    <w:rsid w:val="00615333"/>
    <w:rsid w:val="00615E91"/>
    <w:rsid w:val="006177D9"/>
    <w:rsid w:val="006201DB"/>
    <w:rsid w:val="00620466"/>
    <w:rsid w:val="00621ED3"/>
    <w:rsid w:val="00622A8F"/>
    <w:rsid w:val="00623880"/>
    <w:rsid w:val="00624D6A"/>
    <w:rsid w:val="0062522C"/>
    <w:rsid w:val="00626359"/>
    <w:rsid w:val="00630216"/>
    <w:rsid w:val="006308AD"/>
    <w:rsid w:val="00631338"/>
    <w:rsid w:val="00632ED8"/>
    <w:rsid w:val="00632F6E"/>
    <w:rsid w:val="00634616"/>
    <w:rsid w:val="006352FA"/>
    <w:rsid w:val="00635547"/>
    <w:rsid w:val="00635BAE"/>
    <w:rsid w:val="006378CE"/>
    <w:rsid w:val="006423A5"/>
    <w:rsid w:val="006444CC"/>
    <w:rsid w:val="00647286"/>
    <w:rsid w:val="00647A54"/>
    <w:rsid w:val="00647EDF"/>
    <w:rsid w:val="006503C7"/>
    <w:rsid w:val="006507D0"/>
    <w:rsid w:val="006514DF"/>
    <w:rsid w:val="00651FFD"/>
    <w:rsid w:val="00652BEF"/>
    <w:rsid w:val="00652C18"/>
    <w:rsid w:val="00655EFE"/>
    <w:rsid w:val="00662375"/>
    <w:rsid w:val="00664DB5"/>
    <w:rsid w:val="006662AA"/>
    <w:rsid w:val="0066691A"/>
    <w:rsid w:val="00670029"/>
    <w:rsid w:val="00671914"/>
    <w:rsid w:val="00671A56"/>
    <w:rsid w:val="0067232F"/>
    <w:rsid w:val="00672DED"/>
    <w:rsid w:val="0067311F"/>
    <w:rsid w:val="00673E4C"/>
    <w:rsid w:val="00674450"/>
    <w:rsid w:val="00675137"/>
    <w:rsid w:val="00675A05"/>
    <w:rsid w:val="00675C31"/>
    <w:rsid w:val="00676D67"/>
    <w:rsid w:val="00677628"/>
    <w:rsid w:val="0068059F"/>
    <w:rsid w:val="006811C4"/>
    <w:rsid w:val="0068348E"/>
    <w:rsid w:val="006846DE"/>
    <w:rsid w:val="0068578D"/>
    <w:rsid w:val="00691E45"/>
    <w:rsid w:val="0069215B"/>
    <w:rsid w:val="00693833"/>
    <w:rsid w:val="00694DAF"/>
    <w:rsid w:val="00695CBF"/>
    <w:rsid w:val="00696BC7"/>
    <w:rsid w:val="0069752C"/>
    <w:rsid w:val="0069767E"/>
    <w:rsid w:val="006976E2"/>
    <w:rsid w:val="0069776E"/>
    <w:rsid w:val="006A1845"/>
    <w:rsid w:val="006A2AB1"/>
    <w:rsid w:val="006A2EAC"/>
    <w:rsid w:val="006A748A"/>
    <w:rsid w:val="006A7B6C"/>
    <w:rsid w:val="006B0F32"/>
    <w:rsid w:val="006B22C9"/>
    <w:rsid w:val="006B39EF"/>
    <w:rsid w:val="006B3F47"/>
    <w:rsid w:val="006B4686"/>
    <w:rsid w:val="006B505A"/>
    <w:rsid w:val="006B6949"/>
    <w:rsid w:val="006B735E"/>
    <w:rsid w:val="006B77CA"/>
    <w:rsid w:val="006C0122"/>
    <w:rsid w:val="006C03E3"/>
    <w:rsid w:val="006C0A88"/>
    <w:rsid w:val="006C3165"/>
    <w:rsid w:val="006C3CF1"/>
    <w:rsid w:val="006C3F98"/>
    <w:rsid w:val="006C3FF1"/>
    <w:rsid w:val="006C4CC1"/>
    <w:rsid w:val="006C66FB"/>
    <w:rsid w:val="006D01D2"/>
    <w:rsid w:val="006D20D0"/>
    <w:rsid w:val="006D31A6"/>
    <w:rsid w:val="006D4FBF"/>
    <w:rsid w:val="006D5684"/>
    <w:rsid w:val="006D5852"/>
    <w:rsid w:val="006D626A"/>
    <w:rsid w:val="006D6FA3"/>
    <w:rsid w:val="006E0AEE"/>
    <w:rsid w:val="006E1FDC"/>
    <w:rsid w:val="006E26F0"/>
    <w:rsid w:val="006E2815"/>
    <w:rsid w:val="006E432C"/>
    <w:rsid w:val="006E5262"/>
    <w:rsid w:val="006E5595"/>
    <w:rsid w:val="006E5CCC"/>
    <w:rsid w:val="006E6808"/>
    <w:rsid w:val="006E75A2"/>
    <w:rsid w:val="006F06D7"/>
    <w:rsid w:val="006F0853"/>
    <w:rsid w:val="006F0E58"/>
    <w:rsid w:val="006F1221"/>
    <w:rsid w:val="006F1AD4"/>
    <w:rsid w:val="006F1ECB"/>
    <w:rsid w:val="006F263E"/>
    <w:rsid w:val="006F2761"/>
    <w:rsid w:val="006F2C6D"/>
    <w:rsid w:val="006F367B"/>
    <w:rsid w:val="006F3AB1"/>
    <w:rsid w:val="006F4156"/>
    <w:rsid w:val="006F53CA"/>
    <w:rsid w:val="006F7622"/>
    <w:rsid w:val="006F76DB"/>
    <w:rsid w:val="006F7ABF"/>
    <w:rsid w:val="00700442"/>
    <w:rsid w:val="00700467"/>
    <w:rsid w:val="007006AA"/>
    <w:rsid w:val="007018D2"/>
    <w:rsid w:val="00701F92"/>
    <w:rsid w:val="007021BC"/>
    <w:rsid w:val="00702770"/>
    <w:rsid w:val="00704223"/>
    <w:rsid w:val="00704977"/>
    <w:rsid w:val="0070768C"/>
    <w:rsid w:val="00707D8E"/>
    <w:rsid w:val="0071356F"/>
    <w:rsid w:val="00713BD0"/>
    <w:rsid w:val="007143C9"/>
    <w:rsid w:val="00714597"/>
    <w:rsid w:val="007147AC"/>
    <w:rsid w:val="00714F3D"/>
    <w:rsid w:val="0071592F"/>
    <w:rsid w:val="00716413"/>
    <w:rsid w:val="00716CD4"/>
    <w:rsid w:val="00722786"/>
    <w:rsid w:val="00725EB9"/>
    <w:rsid w:val="0072707E"/>
    <w:rsid w:val="007301E0"/>
    <w:rsid w:val="0073110C"/>
    <w:rsid w:val="00731240"/>
    <w:rsid w:val="00731944"/>
    <w:rsid w:val="00734E02"/>
    <w:rsid w:val="00735215"/>
    <w:rsid w:val="00736091"/>
    <w:rsid w:val="00737155"/>
    <w:rsid w:val="007404F2"/>
    <w:rsid w:val="00740ED1"/>
    <w:rsid w:val="00741AC1"/>
    <w:rsid w:val="00744561"/>
    <w:rsid w:val="007449FF"/>
    <w:rsid w:val="00744E37"/>
    <w:rsid w:val="007453A1"/>
    <w:rsid w:val="00745D50"/>
    <w:rsid w:val="00747535"/>
    <w:rsid w:val="00750FDC"/>
    <w:rsid w:val="00751312"/>
    <w:rsid w:val="0075338A"/>
    <w:rsid w:val="007537AE"/>
    <w:rsid w:val="007539D5"/>
    <w:rsid w:val="00755007"/>
    <w:rsid w:val="00755647"/>
    <w:rsid w:val="00755856"/>
    <w:rsid w:val="00757817"/>
    <w:rsid w:val="00760333"/>
    <w:rsid w:val="0076103C"/>
    <w:rsid w:val="007611D5"/>
    <w:rsid w:val="00762817"/>
    <w:rsid w:val="0076292A"/>
    <w:rsid w:val="007633F7"/>
    <w:rsid w:val="00763BCD"/>
    <w:rsid w:val="00763D2B"/>
    <w:rsid w:val="0076504C"/>
    <w:rsid w:val="0076617E"/>
    <w:rsid w:val="00767B93"/>
    <w:rsid w:val="007745CF"/>
    <w:rsid w:val="00775BA8"/>
    <w:rsid w:val="00775C3E"/>
    <w:rsid w:val="00776C33"/>
    <w:rsid w:val="00777096"/>
    <w:rsid w:val="00780145"/>
    <w:rsid w:val="00782541"/>
    <w:rsid w:val="00783D4C"/>
    <w:rsid w:val="00784A9D"/>
    <w:rsid w:val="007906F1"/>
    <w:rsid w:val="00790FB1"/>
    <w:rsid w:val="007917D4"/>
    <w:rsid w:val="00791FFD"/>
    <w:rsid w:val="00793DC9"/>
    <w:rsid w:val="00794006"/>
    <w:rsid w:val="00795903"/>
    <w:rsid w:val="0079605E"/>
    <w:rsid w:val="007963FF"/>
    <w:rsid w:val="007A02E4"/>
    <w:rsid w:val="007A2947"/>
    <w:rsid w:val="007A2E31"/>
    <w:rsid w:val="007A40FF"/>
    <w:rsid w:val="007A42EA"/>
    <w:rsid w:val="007A5197"/>
    <w:rsid w:val="007A5B5B"/>
    <w:rsid w:val="007A7F6F"/>
    <w:rsid w:val="007B5CBF"/>
    <w:rsid w:val="007B74B9"/>
    <w:rsid w:val="007C3DA4"/>
    <w:rsid w:val="007C48C5"/>
    <w:rsid w:val="007C515E"/>
    <w:rsid w:val="007C69C5"/>
    <w:rsid w:val="007C7265"/>
    <w:rsid w:val="007C78F1"/>
    <w:rsid w:val="007C796D"/>
    <w:rsid w:val="007D0F24"/>
    <w:rsid w:val="007D34F3"/>
    <w:rsid w:val="007D3814"/>
    <w:rsid w:val="007D44EA"/>
    <w:rsid w:val="007D4DF4"/>
    <w:rsid w:val="007D6DE0"/>
    <w:rsid w:val="007D7A0E"/>
    <w:rsid w:val="007E3087"/>
    <w:rsid w:val="007E576A"/>
    <w:rsid w:val="007E593A"/>
    <w:rsid w:val="007E654D"/>
    <w:rsid w:val="007F2DC0"/>
    <w:rsid w:val="007F2F1A"/>
    <w:rsid w:val="007F3569"/>
    <w:rsid w:val="007F44C3"/>
    <w:rsid w:val="007F4A79"/>
    <w:rsid w:val="007F5B06"/>
    <w:rsid w:val="007F6361"/>
    <w:rsid w:val="007F6D4A"/>
    <w:rsid w:val="007F6E68"/>
    <w:rsid w:val="007F74DF"/>
    <w:rsid w:val="007F7B19"/>
    <w:rsid w:val="00800166"/>
    <w:rsid w:val="00800EFB"/>
    <w:rsid w:val="0080200F"/>
    <w:rsid w:val="00802E2A"/>
    <w:rsid w:val="00803DBD"/>
    <w:rsid w:val="0080461A"/>
    <w:rsid w:val="00804684"/>
    <w:rsid w:val="0081043B"/>
    <w:rsid w:val="008108FA"/>
    <w:rsid w:val="00810B28"/>
    <w:rsid w:val="00812086"/>
    <w:rsid w:val="0081272F"/>
    <w:rsid w:val="00813FCF"/>
    <w:rsid w:val="0081423F"/>
    <w:rsid w:val="00814954"/>
    <w:rsid w:val="00821D57"/>
    <w:rsid w:val="008223F1"/>
    <w:rsid w:val="00823889"/>
    <w:rsid w:val="008246C8"/>
    <w:rsid w:val="00827700"/>
    <w:rsid w:val="00831F57"/>
    <w:rsid w:val="00832E8B"/>
    <w:rsid w:val="0083358F"/>
    <w:rsid w:val="00840E3D"/>
    <w:rsid w:val="0084267F"/>
    <w:rsid w:val="008445DF"/>
    <w:rsid w:val="00844BA6"/>
    <w:rsid w:val="00844F42"/>
    <w:rsid w:val="00845B83"/>
    <w:rsid w:val="00845BA4"/>
    <w:rsid w:val="0084702A"/>
    <w:rsid w:val="00847CC1"/>
    <w:rsid w:val="0085089D"/>
    <w:rsid w:val="00853C6E"/>
    <w:rsid w:val="00855502"/>
    <w:rsid w:val="0085574A"/>
    <w:rsid w:val="00856355"/>
    <w:rsid w:val="008573C4"/>
    <w:rsid w:val="00857A95"/>
    <w:rsid w:val="008609B0"/>
    <w:rsid w:val="00861BE0"/>
    <w:rsid w:val="00862395"/>
    <w:rsid w:val="008648A4"/>
    <w:rsid w:val="00864A16"/>
    <w:rsid w:val="008654E7"/>
    <w:rsid w:val="00865F18"/>
    <w:rsid w:val="0087074A"/>
    <w:rsid w:val="008717C0"/>
    <w:rsid w:val="00871F20"/>
    <w:rsid w:val="00873481"/>
    <w:rsid w:val="00874B41"/>
    <w:rsid w:val="008766CB"/>
    <w:rsid w:val="00876D29"/>
    <w:rsid w:val="00881528"/>
    <w:rsid w:val="0088285A"/>
    <w:rsid w:val="0088652B"/>
    <w:rsid w:val="008870C1"/>
    <w:rsid w:val="00890A0F"/>
    <w:rsid w:val="008925F4"/>
    <w:rsid w:val="008929D9"/>
    <w:rsid w:val="00892ED3"/>
    <w:rsid w:val="008947C4"/>
    <w:rsid w:val="008A23F6"/>
    <w:rsid w:val="008A2A7F"/>
    <w:rsid w:val="008A2FFC"/>
    <w:rsid w:val="008A42FA"/>
    <w:rsid w:val="008A4FC2"/>
    <w:rsid w:val="008B00A4"/>
    <w:rsid w:val="008B08DB"/>
    <w:rsid w:val="008B11CC"/>
    <w:rsid w:val="008B143C"/>
    <w:rsid w:val="008B18FE"/>
    <w:rsid w:val="008B2E2D"/>
    <w:rsid w:val="008B42E7"/>
    <w:rsid w:val="008B54C1"/>
    <w:rsid w:val="008B55E9"/>
    <w:rsid w:val="008B6643"/>
    <w:rsid w:val="008B7F7C"/>
    <w:rsid w:val="008C0393"/>
    <w:rsid w:val="008C2137"/>
    <w:rsid w:val="008C231F"/>
    <w:rsid w:val="008C2683"/>
    <w:rsid w:val="008C576B"/>
    <w:rsid w:val="008C5D15"/>
    <w:rsid w:val="008C6DFD"/>
    <w:rsid w:val="008C73AA"/>
    <w:rsid w:val="008D07CE"/>
    <w:rsid w:val="008D1A3B"/>
    <w:rsid w:val="008D21E8"/>
    <w:rsid w:val="008D2E72"/>
    <w:rsid w:val="008D3471"/>
    <w:rsid w:val="008D3846"/>
    <w:rsid w:val="008D3EAB"/>
    <w:rsid w:val="008E1FA8"/>
    <w:rsid w:val="008E3407"/>
    <w:rsid w:val="008E374E"/>
    <w:rsid w:val="008E4FE6"/>
    <w:rsid w:val="008E5092"/>
    <w:rsid w:val="008E5A99"/>
    <w:rsid w:val="008E5B7F"/>
    <w:rsid w:val="008E5CB2"/>
    <w:rsid w:val="008E79E9"/>
    <w:rsid w:val="008F0431"/>
    <w:rsid w:val="008F066B"/>
    <w:rsid w:val="008F06EB"/>
    <w:rsid w:val="008F0FE4"/>
    <w:rsid w:val="008F1167"/>
    <w:rsid w:val="008F41AA"/>
    <w:rsid w:val="008F4B62"/>
    <w:rsid w:val="008F4E0B"/>
    <w:rsid w:val="008F5957"/>
    <w:rsid w:val="008F6744"/>
    <w:rsid w:val="008F7340"/>
    <w:rsid w:val="009002D0"/>
    <w:rsid w:val="009019A2"/>
    <w:rsid w:val="0090282B"/>
    <w:rsid w:val="00902C75"/>
    <w:rsid w:val="00902CC1"/>
    <w:rsid w:val="00902EB9"/>
    <w:rsid w:val="009035C5"/>
    <w:rsid w:val="00903DAC"/>
    <w:rsid w:val="0090503B"/>
    <w:rsid w:val="00907502"/>
    <w:rsid w:val="00907E56"/>
    <w:rsid w:val="00911587"/>
    <w:rsid w:val="00911A3F"/>
    <w:rsid w:val="00913EE3"/>
    <w:rsid w:val="009153E6"/>
    <w:rsid w:val="00915414"/>
    <w:rsid w:val="00916E14"/>
    <w:rsid w:val="00920D68"/>
    <w:rsid w:val="00921AB3"/>
    <w:rsid w:val="009276FA"/>
    <w:rsid w:val="009279D2"/>
    <w:rsid w:val="00931D55"/>
    <w:rsid w:val="00932221"/>
    <w:rsid w:val="0093507C"/>
    <w:rsid w:val="009378AE"/>
    <w:rsid w:val="00941F9B"/>
    <w:rsid w:val="00944B90"/>
    <w:rsid w:val="00945CA7"/>
    <w:rsid w:val="00946657"/>
    <w:rsid w:val="00950084"/>
    <w:rsid w:val="00950DAF"/>
    <w:rsid w:val="0095208F"/>
    <w:rsid w:val="00954526"/>
    <w:rsid w:val="009557CE"/>
    <w:rsid w:val="009575D4"/>
    <w:rsid w:val="0096060F"/>
    <w:rsid w:val="00960EA3"/>
    <w:rsid w:val="009613CE"/>
    <w:rsid w:val="00961CC8"/>
    <w:rsid w:val="00965AB2"/>
    <w:rsid w:val="00966BE9"/>
    <w:rsid w:val="00967478"/>
    <w:rsid w:val="009676B2"/>
    <w:rsid w:val="00967AD1"/>
    <w:rsid w:val="00967B90"/>
    <w:rsid w:val="00967BCA"/>
    <w:rsid w:val="009714EB"/>
    <w:rsid w:val="00971FFD"/>
    <w:rsid w:val="009725D6"/>
    <w:rsid w:val="00973147"/>
    <w:rsid w:val="00973E9D"/>
    <w:rsid w:val="00974302"/>
    <w:rsid w:val="00975401"/>
    <w:rsid w:val="00976A45"/>
    <w:rsid w:val="009812E9"/>
    <w:rsid w:val="00983CA1"/>
    <w:rsid w:val="00983F6C"/>
    <w:rsid w:val="00984B6B"/>
    <w:rsid w:val="0098730C"/>
    <w:rsid w:val="009904A0"/>
    <w:rsid w:val="00990EC6"/>
    <w:rsid w:val="0099263B"/>
    <w:rsid w:val="00994DC1"/>
    <w:rsid w:val="009962F8"/>
    <w:rsid w:val="00997BE7"/>
    <w:rsid w:val="009A025B"/>
    <w:rsid w:val="009A19D8"/>
    <w:rsid w:val="009A1B69"/>
    <w:rsid w:val="009A416D"/>
    <w:rsid w:val="009A43AC"/>
    <w:rsid w:val="009A5302"/>
    <w:rsid w:val="009A60D2"/>
    <w:rsid w:val="009A782E"/>
    <w:rsid w:val="009A7833"/>
    <w:rsid w:val="009B3BB4"/>
    <w:rsid w:val="009B5D8A"/>
    <w:rsid w:val="009B6917"/>
    <w:rsid w:val="009C0DAF"/>
    <w:rsid w:val="009C1DCD"/>
    <w:rsid w:val="009C30B1"/>
    <w:rsid w:val="009C4A90"/>
    <w:rsid w:val="009C54A4"/>
    <w:rsid w:val="009C6FFE"/>
    <w:rsid w:val="009C7E28"/>
    <w:rsid w:val="009D068A"/>
    <w:rsid w:val="009D11F9"/>
    <w:rsid w:val="009D2260"/>
    <w:rsid w:val="009D3109"/>
    <w:rsid w:val="009D3934"/>
    <w:rsid w:val="009D4E80"/>
    <w:rsid w:val="009D5968"/>
    <w:rsid w:val="009E08A1"/>
    <w:rsid w:val="009E1402"/>
    <w:rsid w:val="009E1664"/>
    <w:rsid w:val="009E1BBE"/>
    <w:rsid w:val="009E287C"/>
    <w:rsid w:val="009E2DC6"/>
    <w:rsid w:val="009E4C50"/>
    <w:rsid w:val="009E5DEF"/>
    <w:rsid w:val="009E73EC"/>
    <w:rsid w:val="009F046F"/>
    <w:rsid w:val="009F1697"/>
    <w:rsid w:val="009F1DCE"/>
    <w:rsid w:val="009F26F8"/>
    <w:rsid w:val="009F302A"/>
    <w:rsid w:val="009F30A4"/>
    <w:rsid w:val="009F5166"/>
    <w:rsid w:val="009F5431"/>
    <w:rsid w:val="009F54EC"/>
    <w:rsid w:val="009F66FC"/>
    <w:rsid w:val="009F6CDD"/>
    <w:rsid w:val="009F76A6"/>
    <w:rsid w:val="009F7C5F"/>
    <w:rsid w:val="009F7F2A"/>
    <w:rsid w:val="00A00103"/>
    <w:rsid w:val="00A00FEF"/>
    <w:rsid w:val="00A05BE9"/>
    <w:rsid w:val="00A06F86"/>
    <w:rsid w:val="00A07911"/>
    <w:rsid w:val="00A134CA"/>
    <w:rsid w:val="00A1375D"/>
    <w:rsid w:val="00A13915"/>
    <w:rsid w:val="00A14B5C"/>
    <w:rsid w:val="00A172DB"/>
    <w:rsid w:val="00A17A78"/>
    <w:rsid w:val="00A17AB7"/>
    <w:rsid w:val="00A22778"/>
    <w:rsid w:val="00A2441D"/>
    <w:rsid w:val="00A25AB3"/>
    <w:rsid w:val="00A27442"/>
    <w:rsid w:val="00A317E6"/>
    <w:rsid w:val="00A331D2"/>
    <w:rsid w:val="00A33A38"/>
    <w:rsid w:val="00A34D12"/>
    <w:rsid w:val="00A351DE"/>
    <w:rsid w:val="00A36664"/>
    <w:rsid w:val="00A36ED9"/>
    <w:rsid w:val="00A37736"/>
    <w:rsid w:val="00A40D68"/>
    <w:rsid w:val="00A42264"/>
    <w:rsid w:val="00A42641"/>
    <w:rsid w:val="00A42A0A"/>
    <w:rsid w:val="00A43D7E"/>
    <w:rsid w:val="00A451DE"/>
    <w:rsid w:val="00A45804"/>
    <w:rsid w:val="00A5173C"/>
    <w:rsid w:val="00A51836"/>
    <w:rsid w:val="00A5196C"/>
    <w:rsid w:val="00A526F8"/>
    <w:rsid w:val="00A561DE"/>
    <w:rsid w:val="00A5650E"/>
    <w:rsid w:val="00A57B78"/>
    <w:rsid w:val="00A62957"/>
    <w:rsid w:val="00A64497"/>
    <w:rsid w:val="00A64535"/>
    <w:rsid w:val="00A65C4D"/>
    <w:rsid w:val="00A667BB"/>
    <w:rsid w:val="00A67940"/>
    <w:rsid w:val="00A701AD"/>
    <w:rsid w:val="00A70626"/>
    <w:rsid w:val="00A71F21"/>
    <w:rsid w:val="00A72AFA"/>
    <w:rsid w:val="00A72D19"/>
    <w:rsid w:val="00A7368B"/>
    <w:rsid w:val="00A742D1"/>
    <w:rsid w:val="00A74DE3"/>
    <w:rsid w:val="00A75EF0"/>
    <w:rsid w:val="00A771B7"/>
    <w:rsid w:val="00A81463"/>
    <w:rsid w:val="00A81AC3"/>
    <w:rsid w:val="00A82DD4"/>
    <w:rsid w:val="00A86CE1"/>
    <w:rsid w:val="00A8721E"/>
    <w:rsid w:val="00A87DD3"/>
    <w:rsid w:val="00A9083A"/>
    <w:rsid w:val="00A90877"/>
    <w:rsid w:val="00A9177B"/>
    <w:rsid w:val="00A92F4E"/>
    <w:rsid w:val="00A9416B"/>
    <w:rsid w:val="00A94408"/>
    <w:rsid w:val="00A95049"/>
    <w:rsid w:val="00A95061"/>
    <w:rsid w:val="00A97FED"/>
    <w:rsid w:val="00AA2194"/>
    <w:rsid w:val="00AA450E"/>
    <w:rsid w:val="00AA522C"/>
    <w:rsid w:val="00AA55D3"/>
    <w:rsid w:val="00AA6E92"/>
    <w:rsid w:val="00AB4123"/>
    <w:rsid w:val="00AB5449"/>
    <w:rsid w:val="00AB5B6E"/>
    <w:rsid w:val="00AB7492"/>
    <w:rsid w:val="00AB79F3"/>
    <w:rsid w:val="00AB7CF1"/>
    <w:rsid w:val="00AC15CF"/>
    <w:rsid w:val="00AC1BC6"/>
    <w:rsid w:val="00AC1C64"/>
    <w:rsid w:val="00AC27A6"/>
    <w:rsid w:val="00AC31F9"/>
    <w:rsid w:val="00AC469B"/>
    <w:rsid w:val="00AC51A9"/>
    <w:rsid w:val="00AC5246"/>
    <w:rsid w:val="00AC5D99"/>
    <w:rsid w:val="00AC7CE6"/>
    <w:rsid w:val="00AD116B"/>
    <w:rsid w:val="00AD1CE7"/>
    <w:rsid w:val="00AD1FDB"/>
    <w:rsid w:val="00AD2AB1"/>
    <w:rsid w:val="00AD314B"/>
    <w:rsid w:val="00AD47BD"/>
    <w:rsid w:val="00AD52FA"/>
    <w:rsid w:val="00AD70BC"/>
    <w:rsid w:val="00AD7A0A"/>
    <w:rsid w:val="00AE2B98"/>
    <w:rsid w:val="00AE35E9"/>
    <w:rsid w:val="00AE36FF"/>
    <w:rsid w:val="00AE47FF"/>
    <w:rsid w:val="00AE53C4"/>
    <w:rsid w:val="00AE5F8B"/>
    <w:rsid w:val="00AF0FF0"/>
    <w:rsid w:val="00AF210B"/>
    <w:rsid w:val="00AF298B"/>
    <w:rsid w:val="00AF450F"/>
    <w:rsid w:val="00AF598C"/>
    <w:rsid w:val="00AF6F35"/>
    <w:rsid w:val="00B0031E"/>
    <w:rsid w:val="00B01A69"/>
    <w:rsid w:val="00B02044"/>
    <w:rsid w:val="00B03190"/>
    <w:rsid w:val="00B03C6A"/>
    <w:rsid w:val="00B12383"/>
    <w:rsid w:val="00B12DEE"/>
    <w:rsid w:val="00B13F31"/>
    <w:rsid w:val="00B16694"/>
    <w:rsid w:val="00B16803"/>
    <w:rsid w:val="00B2018A"/>
    <w:rsid w:val="00B2036B"/>
    <w:rsid w:val="00B23345"/>
    <w:rsid w:val="00B23D52"/>
    <w:rsid w:val="00B24C33"/>
    <w:rsid w:val="00B269E3"/>
    <w:rsid w:val="00B26B05"/>
    <w:rsid w:val="00B26F64"/>
    <w:rsid w:val="00B27D38"/>
    <w:rsid w:val="00B30E0E"/>
    <w:rsid w:val="00B315CB"/>
    <w:rsid w:val="00B3319F"/>
    <w:rsid w:val="00B3323F"/>
    <w:rsid w:val="00B3387A"/>
    <w:rsid w:val="00B344AD"/>
    <w:rsid w:val="00B35063"/>
    <w:rsid w:val="00B357F1"/>
    <w:rsid w:val="00B36A3B"/>
    <w:rsid w:val="00B416D8"/>
    <w:rsid w:val="00B42FE8"/>
    <w:rsid w:val="00B434AC"/>
    <w:rsid w:val="00B4350F"/>
    <w:rsid w:val="00B44F05"/>
    <w:rsid w:val="00B4745B"/>
    <w:rsid w:val="00B51CC6"/>
    <w:rsid w:val="00B520D7"/>
    <w:rsid w:val="00B5501E"/>
    <w:rsid w:val="00B55CE6"/>
    <w:rsid w:val="00B57013"/>
    <w:rsid w:val="00B579BF"/>
    <w:rsid w:val="00B6158D"/>
    <w:rsid w:val="00B62A19"/>
    <w:rsid w:val="00B64E87"/>
    <w:rsid w:val="00B65BBA"/>
    <w:rsid w:val="00B668B4"/>
    <w:rsid w:val="00B66B25"/>
    <w:rsid w:val="00B67D49"/>
    <w:rsid w:val="00B7127C"/>
    <w:rsid w:val="00B734BB"/>
    <w:rsid w:val="00B758C5"/>
    <w:rsid w:val="00B76E39"/>
    <w:rsid w:val="00B8232B"/>
    <w:rsid w:val="00B823F7"/>
    <w:rsid w:val="00B8423E"/>
    <w:rsid w:val="00B8508D"/>
    <w:rsid w:val="00B86375"/>
    <w:rsid w:val="00B86604"/>
    <w:rsid w:val="00B9262C"/>
    <w:rsid w:val="00B9328A"/>
    <w:rsid w:val="00B948F4"/>
    <w:rsid w:val="00B95551"/>
    <w:rsid w:val="00B95AB7"/>
    <w:rsid w:val="00B95BF5"/>
    <w:rsid w:val="00B96967"/>
    <w:rsid w:val="00B97432"/>
    <w:rsid w:val="00BA0222"/>
    <w:rsid w:val="00BA0E7C"/>
    <w:rsid w:val="00BA3348"/>
    <w:rsid w:val="00BA405D"/>
    <w:rsid w:val="00BA4F9A"/>
    <w:rsid w:val="00BA6982"/>
    <w:rsid w:val="00BB0685"/>
    <w:rsid w:val="00BB5220"/>
    <w:rsid w:val="00BB5293"/>
    <w:rsid w:val="00BB5D72"/>
    <w:rsid w:val="00BB6395"/>
    <w:rsid w:val="00BB64D3"/>
    <w:rsid w:val="00BC0560"/>
    <w:rsid w:val="00BC09DA"/>
    <w:rsid w:val="00BC0DCA"/>
    <w:rsid w:val="00BC1941"/>
    <w:rsid w:val="00BC2A30"/>
    <w:rsid w:val="00BC31F3"/>
    <w:rsid w:val="00BC406A"/>
    <w:rsid w:val="00BC4A9D"/>
    <w:rsid w:val="00BC4BD3"/>
    <w:rsid w:val="00BC5361"/>
    <w:rsid w:val="00BC565C"/>
    <w:rsid w:val="00BC56AD"/>
    <w:rsid w:val="00BC6BE9"/>
    <w:rsid w:val="00BD0F2C"/>
    <w:rsid w:val="00BD23EE"/>
    <w:rsid w:val="00BD2F7E"/>
    <w:rsid w:val="00BD3BD3"/>
    <w:rsid w:val="00BD4DE6"/>
    <w:rsid w:val="00BD6F14"/>
    <w:rsid w:val="00BD7A3C"/>
    <w:rsid w:val="00BE0166"/>
    <w:rsid w:val="00BE08AC"/>
    <w:rsid w:val="00BE08C1"/>
    <w:rsid w:val="00BE1C8D"/>
    <w:rsid w:val="00BE3525"/>
    <w:rsid w:val="00BE3D27"/>
    <w:rsid w:val="00BE61B7"/>
    <w:rsid w:val="00BE729A"/>
    <w:rsid w:val="00BE7F56"/>
    <w:rsid w:val="00BF1F69"/>
    <w:rsid w:val="00BF3DF7"/>
    <w:rsid w:val="00BF3ED0"/>
    <w:rsid w:val="00BF47EE"/>
    <w:rsid w:val="00BF5F7F"/>
    <w:rsid w:val="00C01373"/>
    <w:rsid w:val="00C028C8"/>
    <w:rsid w:val="00C0312B"/>
    <w:rsid w:val="00C04902"/>
    <w:rsid w:val="00C06E37"/>
    <w:rsid w:val="00C101FF"/>
    <w:rsid w:val="00C11C24"/>
    <w:rsid w:val="00C12386"/>
    <w:rsid w:val="00C135A0"/>
    <w:rsid w:val="00C14179"/>
    <w:rsid w:val="00C15A00"/>
    <w:rsid w:val="00C162AD"/>
    <w:rsid w:val="00C166AC"/>
    <w:rsid w:val="00C17710"/>
    <w:rsid w:val="00C20850"/>
    <w:rsid w:val="00C22876"/>
    <w:rsid w:val="00C2348E"/>
    <w:rsid w:val="00C2353E"/>
    <w:rsid w:val="00C26013"/>
    <w:rsid w:val="00C26146"/>
    <w:rsid w:val="00C27610"/>
    <w:rsid w:val="00C30298"/>
    <w:rsid w:val="00C302E7"/>
    <w:rsid w:val="00C30EC7"/>
    <w:rsid w:val="00C3215E"/>
    <w:rsid w:val="00C32CBA"/>
    <w:rsid w:val="00C33332"/>
    <w:rsid w:val="00C33546"/>
    <w:rsid w:val="00C337E4"/>
    <w:rsid w:val="00C33ABC"/>
    <w:rsid w:val="00C353B9"/>
    <w:rsid w:val="00C37D62"/>
    <w:rsid w:val="00C4195C"/>
    <w:rsid w:val="00C42A66"/>
    <w:rsid w:val="00C43063"/>
    <w:rsid w:val="00C465CD"/>
    <w:rsid w:val="00C466A1"/>
    <w:rsid w:val="00C474D6"/>
    <w:rsid w:val="00C525F0"/>
    <w:rsid w:val="00C546B8"/>
    <w:rsid w:val="00C56DD0"/>
    <w:rsid w:val="00C57162"/>
    <w:rsid w:val="00C57294"/>
    <w:rsid w:val="00C621B3"/>
    <w:rsid w:val="00C6243B"/>
    <w:rsid w:val="00C62DDC"/>
    <w:rsid w:val="00C63D7C"/>
    <w:rsid w:val="00C651F6"/>
    <w:rsid w:val="00C654B9"/>
    <w:rsid w:val="00C65CCD"/>
    <w:rsid w:val="00C7051F"/>
    <w:rsid w:val="00C73C92"/>
    <w:rsid w:val="00C749C1"/>
    <w:rsid w:val="00C74A69"/>
    <w:rsid w:val="00C802B6"/>
    <w:rsid w:val="00C8061F"/>
    <w:rsid w:val="00C806EF"/>
    <w:rsid w:val="00C80782"/>
    <w:rsid w:val="00C80B3B"/>
    <w:rsid w:val="00C80B8F"/>
    <w:rsid w:val="00C810E0"/>
    <w:rsid w:val="00C828A8"/>
    <w:rsid w:val="00C82B26"/>
    <w:rsid w:val="00C83C6E"/>
    <w:rsid w:val="00C8623C"/>
    <w:rsid w:val="00C90C44"/>
    <w:rsid w:val="00C91812"/>
    <w:rsid w:val="00C94A5A"/>
    <w:rsid w:val="00C968D1"/>
    <w:rsid w:val="00C969C5"/>
    <w:rsid w:val="00C96BCA"/>
    <w:rsid w:val="00C97294"/>
    <w:rsid w:val="00CA217E"/>
    <w:rsid w:val="00CA24A6"/>
    <w:rsid w:val="00CA29BB"/>
    <w:rsid w:val="00CA34CC"/>
    <w:rsid w:val="00CA3636"/>
    <w:rsid w:val="00CA559A"/>
    <w:rsid w:val="00CA654B"/>
    <w:rsid w:val="00CA6C8D"/>
    <w:rsid w:val="00CA6F51"/>
    <w:rsid w:val="00CA71B4"/>
    <w:rsid w:val="00CB157D"/>
    <w:rsid w:val="00CB201C"/>
    <w:rsid w:val="00CB29A1"/>
    <w:rsid w:val="00CB477C"/>
    <w:rsid w:val="00CB484A"/>
    <w:rsid w:val="00CC01A2"/>
    <w:rsid w:val="00CC0F1B"/>
    <w:rsid w:val="00CC1458"/>
    <w:rsid w:val="00CC1919"/>
    <w:rsid w:val="00CC21B6"/>
    <w:rsid w:val="00CC2243"/>
    <w:rsid w:val="00CC29F2"/>
    <w:rsid w:val="00CC3C0E"/>
    <w:rsid w:val="00CC401E"/>
    <w:rsid w:val="00CC453C"/>
    <w:rsid w:val="00CC4C7F"/>
    <w:rsid w:val="00CD3DAC"/>
    <w:rsid w:val="00CD480F"/>
    <w:rsid w:val="00CD6571"/>
    <w:rsid w:val="00CD66F5"/>
    <w:rsid w:val="00CD7145"/>
    <w:rsid w:val="00CD780B"/>
    <w:rsid w:val="00CE2A36"/>
    <w:rsid w:val="00CE2BE7"/>
    <w:rsid w:val="00CE2C24"/>
    <w:rsid w:val="00CE3474"/>
    <w:rsid w:val="00CE3E77"/>
    <w:rsid w:val="00CE598F"/>
    <w:rsid w:val="00CF052C"/>
    <w:rsid w:val="00CF1F01"/>
    <w:rsid w:val="00CF2433"/>
    <w:rsid w:val="00CF28D0"/>
    <w:rsid w:val="00CF298C"/>
    <w:rsid w:val="00CF373A"/>
    <w:rsid w:val="00CF56CD"/>
    <w:rsid w:val="00CF6D0E"/>
    <w:rsid w:val="00CF72C1"/>
    <w:rsid w:val="00CF7719"/>
    <w:rsid w:val="00CF7D4B"/>
    <w:rsid w:val="00D01FE6"/>
    <w:rsid w:val="00D037AC"/>
    <w:rsid w:val="00D05086"/>
    <w:rsid w:val="00D057C8"/>
    <w:rsid w:val="00D07C81"/>
    <w:rsid w:val="00D10921"/>
    <w:rsid w:val="00D10962"/>
    <w:rsid w:val="00D115AD"/>
    <w:rsid w:val="00D11F29"/>
    <w:rsid w:val="00D1408B"/>
    <w:rsid w:val="00D14E23"/>
    <w:rsid w:val="00D1503B"/>
    <w:rsid w:val="00D1720A"/>
    <w:rsid w:val="00D17EFB"/>
    <w:rsid w:val="00D20667"/>
    <w:rsid w:val="00D207E2"/>
    <w:rsid w:val="00D21212"/>
    <w:rsid w:val="00D21678"/>
    <w:rsid w:val="00D22021"/>
    <w:rsid w:val="00D2221B"/>
    <w:rsid w:val="00D2422D"/>
    <w:rsid w:val="00D244A6"/>
    <w:rsid w:val="00D244E0"/>
    <w:rsid w:val="00D25A4E"/>
    <w:rsid w:val="00D26CBB"/>
    <w:rsid w:val="00D303E2"/>
    <w:rsid w:val="00D30574"/>
    <w:rsid w:val="00D306A3"/>
    <w:rsid w:val="00D30B21"/>
    <w:rsid w:val="00D34223"/>
    <w:rsid w:val="00D347E3"/>
    <w:rsid w:val="00D34934"/>
    <w:rsid w:val="00D351E2"/>
    <w:rsid w:val="00D356E3"/>
    <w:rsid w:val="00D35C28"/>
    <w:rsid w:val="00D3746B"/>
    <w:rsid w:val="00D409F9"/>
    <w:rsid w:val="00D45AD4"/>
    <w:rsid w:val="00D46166"/>
    <w:rsid w:val="00D461DB"/>
    <w:rsid w:val="00D4736F"/>
    <w:rsid w:val="00D47A78"/>
    <w:rsid w:val="00D47D96"/>
    <w:rsid w:val="00D501D5"/>
    <w:rsid w:val="00D5047F"/>
    <w:rsid w:val="00D50A01"/>
    <w:rsid w:val="00D525F6"/>
    <w:rsid w:val="00D532F1"/>
    <w:rsid w:val="00D54120"/>
    <w:rsid w:val="00D56033"/>
    <w:rsid w:val="00D6012C"/>
    <w:rsid w:val="00D60B89"/>
    <w:rsid w:val="00D614F8"/>
    <w:rsid w:val="00D629CB"/>
    <w:rsid w:val="00D662E6"/>
    <w:rsid w:val="00D664C5"/>
    <w:rsid w:val="00D6724F"/>
    <w:rsid w:val="00D67253"/>
    <w:rsid w:val="00D70472"/>
    <w:rsid w:val="00D71E20"/>
    <w:rsid w:val="00D72AFE"/>
    <w:rsid w:val="00D74CCF"/>
    <w:rsid w:val="00D74EA9"/>
    <w:rsid w:val="00D77108"/>
    <w:rsid w:val="00D80D93"/>
    <w:rsid w:val="00D82134"/>
    <w:rsid w:val="00D8239C"/>
    <w:rsid w:val="00D82F86"/>
    <w:rsid w:val="00D8395C"/>
    <w:rsid w:val="00D83C71"/>
    <w:rsid w:val="00D85577"/>
    <w:rsid w:val="00D857A3"/>
    <w:rsid w:val="00D85E1D"/>
    <w:rsid w:val="00D86D79"/>
    <w:rsid w:val="00D86E0B"/>
    <w:rsid w:val="00D86F9E"/>
    <w:rsid w:val="00D87764"/>
    <w:rsid w:val="00D913AE"/>
    <w:rsid w:val="00D91491"/>
    <w:rsid w:val="00D91585"/>
    <w:rsid w:val="00D916DA"/>
    <w:rsid w:val="00D928D4"/>
    <w:rsid w:val="00D93715"/>
    <w:rsid w:val="00D95358"/>
    <w:rsid w:val="00D95B76"/>
    <w:rsid w:val="00D96BEB"/>
    <w:rsid w:val="00D96E3F"/>
    <w:rsid w:val="00D97DC3"/>
    <w:rsid w:val="00DA0483"/>
    <w:rsid w:val="00DA0AFD"/>
    <w:rsid w:val="00DA1437"/>
    <w:rsid w:val="00DA21E1"/>
    <w:rsid w:val="00DA2B8E"/>
    <w:rsid w:val="00DA529D"/>
    <w:rsid w:val="00DA5520"/>
    <w:rsid w:val="00DA5FC0"/>
    <w:rsid w:val="00DA63BF"/>
    <w:rsid w:val="00DB19A9"/>
    <w:rsid w:val="00DB1D19"/>
    <w:rsid w:val="00DB2AC0"/>
    <w:rsid w:val="00DB4686"/>
    <w:rsid w:val="00DB4CB7"/>
    <w:rsid w:val="00DB5FE8"/>
    <w:rsid w:val="00DB703C"/>
    <w:rsid w:val="00DB7B47"/>
    <w:rsid w:val="00DC05B4"/>
    <w:rsid w:val="00DC17EE"/>
    <w:rsid w:val="00DC19EC"/>
    <w:rsid w:val="00DC3289"/>
    <w:rsid w:val="00DC3AA4"/>
    <w:rsid w:val="00DC6621"/>
    <w:rsid w:val="00DC79EC"/>
    <w:rsid w:val="00DC7D6E"/>
    <w:rsid w:val="00DD007E"/>
    <w:rsid w:val="00DD04FF"/>
    <w:rsid w:val="00DD06F2"/>
    <w:rsid w:val="00DD116D"/>
    <w:rsid w:val="00DD13FE"/>
    <w:rsid w:val="00DD365F"/>
    <w:rsid w:val="00DD3712"/>
    <w:rsid w:val="00DD5E90"/>
    <w:rsid w:val="00DD6160"/>
    <w:rsid w:val="00DE17A5"/>
    <w:rsid w:val="00DE249E"/>
    <w:rsid w:val="00DE27E7"/>
    <w:rsid w:val="00DE34A8"/>
    <w:rsid w:val="00DE43CE"/>
    <w:rsid w:val="00DE580E"/>
    <w:rsid w:val="00DE7C50"/>
    <w:rsid w:val="00DE7DEB"/>
    <w:rsid w:val="00DF14D3"/>
    <w:rsid w:val="00DF17FB"/>
    <w:rsid w:val="00DF26A7"/>
    <w:rsid w:val="00DF295D"/>
    <w:rsid w:val="00DF3E63"/>
    <w:rsid w:val="00DF3EC1"/>
    <w:rsid w:val="00DF4908"/>
    <w:rsid w:val="00DF4C72"/>
    <w:rsid w:val="00DF5299"/>
    <w:rsid w:val="00DF53AE"/>
    <w:rsid w:val="00DF6430"/>
    <w:rsid w:val="00DF64FD"/>
    <w:rsid w:val="00DF6601"/>
    <w:rsid w:val="00E004C8"/>
    <w:rsid w:val="00E00DF7"/>
    <w:rsid w:val="00E014D0"/>
    <w:rsid w:val="00E018FA"/>
    <w:rsid w:val="00E02C66"/>
    <w:rsid w:val="00E04A19"/>
    <w:rsid w:val="00E07B9F"/>
    <w:rsid w:val="00E12C39"/>
    <w:rsid w:val="00E12D84"/>
    <w:rsid w:val="00E12F5C"/>
    <w:rsid w:val="00E141FD"/>
    <w:rsid w:val="00E1427B"/>
    <w:rsid w:val="00E1628B"/>
    <w:rsid w:val="00E165D6"/>
    <w:rsid w:val="00E16A23"/>
    <w:rsid w:val="00E16BF4"/>
    <w:rsid w:val="00E16CA2"/>
    <w:rsid w:val="00E16F7E"/>
    <w:rsid w:val="00E16FD5"/>
    <w:rsid w:val="00E175E3"/>
    <w:rsid w:val="00E20A92"/>
    <w:rsid w:val="00E21DAF"/>
    <w:rsid w:val="00E23B70"/>
    <w:rsid w:val="00E23DFD"/>
    <w:rsid w:val="00E24CF8"/>
    <w:rsid w:val="00E27977"/>
    <w:rsid w:val="00E31997"/>
    <w:rsid w:val="00E36ACC"/>
    <w:rsid w:val="00E3700A"/>
    <w:rsid w:val="00E42636"/>
    <w:rsid w:val="00E42EC4"/>
    <w:rsid w:val="00E43E99"/>
    <w:rsid w:val="00E44258"/>
    <w:rsid w:val="00E47890"/>
    <w:rsid w:val="00E50F76"/>
    <w:rsid w:val="00E517C4"/>
    <w:rsid w:val="00E552FB"/>
    <w:rsid w:val="00E55915"/>
    <w:rsid w:val="00E56208"/>
    <w:rsid w:val="00E562AC"/>
    <w:rsid w:val="00E60978"/>
    <w:rsid w:val="00E61FDB"/>
    <w:rsid w:val="00E62CBB"/>
    <w:rsid w:val="00E651C0"/>
    <w:rsid w:val="00E65AD0"/>
    <w:rsid w:val="00E66AB4"/>
    <w:rsid w:val="00E67425"/>
    <w:rsid w:val="00E67FDE"/>
    <w:rsid w:val="00E708B4"/>
    <w:rsid w:val="00E71966"/>
    <w:rsid w:val="00E72BD3"/>
    <w:rsid w:val="00E74117"/>
    <w:rsid w:val="00E74D51"/>
    <w:rsid w:val="00E7537E"/>
    <w:rsid w:val="00E755E4"/>
    <w:rsid w:val="00E811EF"/>
    <w:rsid w:val="00E81737"/>
    <w:rsid w:val="00E81A21"/>
    <w:rsid w:val="00E8212F"/>
    <w:rsid w:val="00E8384C"/>
    <w:rsid w:val="00E8408D"/>
    <w:rsid w:val="00E84346"/>
    <w:rsid w:val="00E8491C"/>
    <w:rsid w:val="00E850DA"/>
    <w:rsid w:val="00E851B4"/>
    <w:rsid w:val="00E85946"/>
    <w:rsid w:val="00E85EAE"/>
    <w:rsid w:val="00E87161"/>
    <w:rsid w:val="00E90DD1"/>
    <w:rsid w:val="00E9245C"/>
    <w:rsid w:val="00E92CD1"/>
    <w:rsid w:val="00E93841"/>
    <w:rsid w:val="00E93AAE"/>
    <w:rsid w:val="00E93C63"/>
    <w:rsid w:val="00E94EB7"/>
    <w:rsid w:val="00E95877"/>
    <w:rsid w:val="00E95B9E"/>
    <w:rsid w:val="00E97A57"/>
    <w:rsid w:val="00E97E56"/>
    <w:rsid w:val="00EA2A9C"/>
    <w:rsid w:val="00EA4355"/>
    <w:rsid w:val="00EA4F06"/>
    <w:rsid w:val="00EA6F0C"/>
    <w:rsid w:val="00EA6F97"/>
    <w:rsid w:val="00EA6FC2"/>
    <w:rsid w:val="00EB0590"/>
    <w:rsid w:val="00EB2551"/>
    <w:rsid w:val="00EB4758"/>
    <w:rsid w:val="00EB4A25"/>
    <w:rsid w:val="00EB4F0F"/>
    <w:rsid w:val="00EB5091"/>
    <w:rsid w:val="00EB61A3"/>
    <w:rsid w:val="00EC1278"/>
    <w:rsid w:val="00EC350B"/>
    <w:rsid w:val="00EC46DB"/>
    <w:rsid w:val="00EC4B90"/>
    <w:rsid w:val="00EC550E"/>
    <w:rsid w:val="00EC5993"/>
    <w:rsid w:val="00EC59E6"/>
    <w:rsid w:val="00EC63B9"/>
    <w:rsid w:val="00EC69FF"/>
    <w:rsid w:val="00EC7451"/>
    <w:rsid w:val="00ED00E8"/>
    <w:rsid w:val="00ED045E"/>
    <w:rsid w:val="00ED0612"/>
    <w:rsid w:val="00ED0943"/>
    <w:rsid w:val="00ED2363"/>
    <w:rsid w:val="00ED2FF4"/>
    <w:rsid w:val="00ED3E9E"/>
    <w:rsid w:val="00ED739A"/>
    <w:rsid w:val="00EE3F68"/>
    <w:rsid w:val="00EE3FB6"/>
    <w:rsid w:val="00EE55FF"/>
    <w:rsid w:val="00EE7A23"/>
    <w:rsid w:val="00EE7F55"/>
    <w:rsid w:val="00EF117D"/>
    <w:rsid w:val="00EF2EF9"/>
    <w:rsid w:val="00EF4754"/>
    <w:rsid w:val="00EF5003"/>
    <w:rsid w:val="00EF5119"/>
    <w:rsid w:val="00EF697F"/>
    <w:rsid w:val="00EF75BD"/>
    <w:rsid w:val="00F00DB6"/>
    <w:rsid w:val="00F00F96"/>
    <w:rsid w:val="00F01C3C"/>
    <w:rsid w:val="00F01C91"/>
    <w:rsid w:val="00F02DE2"/>
    <w:rsid w:val="00F033B2"/>
    <w:rsid w:val="00F05F28"/>
    <w:rsid w:val="00F061AB"/>
    <w:rsid w:val="00F07604"/>
    <w:rsid w:val="00F07D6C"/>
    <w:rsid w:val="00F14B91"/>
    <w:rsid w:val="00F20F3A"/>
    <w:rsid w:val="00F218E8"/>
    <w:rsid w:val="00F2296C"/>
    <w:rsid w:val="00F22FDD"/>
    <w:rsid w:val="00F234C4"/>
    <w:rsid w:val="00F24C3B"/>
    <w:rsid w:val="00F25639"/>
    <w:rsid w:val="00F25957"/>
    <w:rsid w:val="00F264AB"/>
    <w:rsid w:val="00F33B2B"/>
    <w:rsid w:val="00F341AA"/>
    <w:rsid w:val="00F34F4B"/>
    <w:rsid w:val="00F35E4B"/>
    <w:rsid w:val="00F41129"/>
    <w:rsid w:val="00F41479"/>
    <w:rsid w:val="00F41C80"/>
    <w:rsid w:val="00F41E2B"/>
    <w:rsid w:val="00F421BF"/>
    <w:rsid w:val="00F42518"/>
    <w:rsid w:val="00F428C2"/>
    <w:rsid w:val="00F47915"/>
    <w:rsid w:val="00F5069D"/>
    <w:rsid w:val="00F5189D"/>
    <w:rsid w:val="00F52A78"/>
    <w:rsid w:val="00F55855"/>
    <w:rsid w:val="00F56659"/>
    <w:rsid w:val="00F61C3C"/>
    <w:rsid w:val="00F6209D"/>
    <w:rsid w:val="00F648B3"/>
    <w:rsid w:val="00F6590C"/>
    <w:rsid w:val="00F65C54"/>
    <w:rsid w:val="00F666E1"/>
    <w:rsid w:val="00F67B32"/>
    <w:rsid w:val="00F700FA"/>
    <w:rsid w:val="00F71557"/>
    <w:rsid w:val="00F72146"/>
    <w:rsid w:val="00F72B8A"/>
    <w:rsid w:val="00F73130"/>
    <w:rsid w:val="00F73EF3"/>
    <w:rsid w:val="00F75883"/>
    <w:rsid w:val="00F75D29"/>
    <w:rsid w:val="00F810FD"/>
    <w:rsid w:val="00F8402C"/>
    <w:rsid w:val="00F845BD"/>
    <w:rsid w:val="00F85698"/>
    <w:rsid w:val="00F85863"/>
    <w:rsid w:val="00F86B95"/>
    <w:rsid w:val="00F86BD0"/>
    <w:rsid w:val="00F87335"/>
    <w:rsid w:val="00F91D12"/>
    <w:rsid w:val="00F926AA"/>
    <w:rsid w:val="00F9377F"/>
    <w:rsid w:val="00F965C2"/>
    <w:rsid w:val="00FA0765"/>
    <w:rsid w:val="00FA1FFA"/>
    <w:rsid w:val="00FA2C93"/>
    <w:rsid w:val="00FA35D6"/>
    <w:rsid w:val="00FA431F"/>
    <w:rsid w:val="00FA74F1"/>
    <w:rsid w:val="00FB2081"/>
    <w:rsid w:val="00FB2275"/>
    <w:rsid w:val="00FB22C0"/>
    <w:rsid w:val="00FB2C2B"/>
    <w:rsid w:val="00FB3BB4"/>
    <w:rsid w:val="00FB6D76"/>
    <w:rsid w:val="00FB79D1"/>
    <w:rsid w:val="00FB7F2C"/>
    <w:rsid w:val="00FC0F12"/>
    <w:rsid w:val="00FC1320"/>
    <w:rsid w:val="00FC1FCC"/>
    <w:rsid w:val="00FC5F49"/>
    <w:rsid w:val="00FC70FD"/>
    <w:rsid w:val="00FD0301"/>
    <w:rsid w:val="00FD0365"/>
    <w:rsid w:val="00FD0905"/>
    <w:rsid w:val="00FD2EBF"/>
    <w:rsid w:val="00FD3AFE"/>
    <w:rsid w:val="00FD57FE"/>
    <w:rsid w:val="00FD5C75"/>
    <w:rsid w:val="00FD5E37"/>
    <w:rsid w:val="00FD679E"/>
    <w:rsid w:val="00FD760E"/>
    <w:rsid w:val="00FD7759"/>
    <w:rsid w:val="00FD7FE9"/>
    <w:rsid w:val="00FE090F"/>
    <w:rsid w:val="00FE17FC"/>
    <w:rsid w:val="00FE32C8"/>
    <w:rsid w:val="00FE502C"/>
    <w:rsid w:val="00FF0B99"/>
    <w:rsid w:val="00FF2A54"/>
    <w:rsid w:val="00FF6C4D"/>
    <w:rsid w:val="00FF6F42"/>
    <w:rsid w:val="039F3527"/>
    <w:rsid w:val="10897740"/>
    <w:rsid w:val="1213BF6A"/>
    <w:rsid w:val="139054E7"/>
    <w:rsid w:val="2B0AEA84"/>
    <w:rsid w:val="2B74591D"/>
    <w:rsid w:val="3E7B9D58"/>
    <w:rsid w:val="5A1E7071"/>
    <w:rsid w:val="5A98BC4E"/>
    <w:rsid w:val="5F4355CB"/>
    <w:rsid w:val="66E5A68C"/>
    <w:rsid w:val="6BBDEDB9"/>
    <w:rsid w:val="6F3283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B3010"/>
  <w15:docId w15:val="{5E5C0EEC-2CBF-48F6-9FAE-7455A49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63"/>
  </w:style>
  <w:style w:type="paragraph" w:styleId="Heading1">
    <w:name w:val="heading 1"/>
    <w:basedOn w:val="Normal"/>
    <w:next w:val="Normal"/>
    <w:link w:val="Heading1Char"/>
    <w:uiPriority w:val="9"/>
    <w:qFormat/>
    <w:rsid w:val="00741AC1"/>
    <w:pPr>
      <w:outlineLvl w:val="0"/>
    </w:pPr>
    <w:rPr>
      <w:b/>
      <w:sz w:val="28"/>
      <w:szCs w:val="28"/>
    </w:rPr>
  </w:style>
  <w:style w:type="paragraph" w:styleId="Heading2">
    <w:name w:val="heading 2"/>
    <w:basedOn w:val="Normal"/>
    <w:next w:val="Normal"/>
    <w:link w:val="Heading2Char"/>
    <w:uiPriority w:val="9"/>
    <w:unhideWhenUsed/>
    <w:qFormat/>
    <w:rsid w:val="00741AC1"/>
    <w:pPr>
      <w:outlineLvl w:val="1"/>
    </w:pPr>
    <w:rPr>
      <w:b/>
      <w:szCs w:val="24"/>
    </w:rPr>
  </w:style>
  <w:style w:type="paragraph" w:styleId="Heading3">
    <w:name w:val="heading 3"/>
    <w:basedOn w:val="Normal"/>
    <w:next w:val="Normal"/>
    <w:link w:val="Heading3Char"/>
    <w:uiPriority w:val="9"/>
    <w:unhideWhenUsed/>
    <w:qFormat/>
    <w:rsid w:val="00741AC1"/>
    <w:pPr>
      <w:outlineLvl w:val="2"/>
    </w:pPr>
    <w:rPr>
      <w:i/>
    </w:rPr>
  </w:style>
  <w:style w:type="paragraph" w:styleId="Heading4">
    <w:name w:val="heading 4"/>
    <w:basedOn w:val="Normal"/>
    <w:next w:val="Normal"/>
    <w:link w:val="Heading4Char"/>
    <w:uiPriority w:val="9"/>
    <w:semiHidden/>
    <w:unhideWhenUsed/>
    <w:qFormat/>
    <w:rsid w:val="006C3F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B416D8"/>
    <w:pPr>
      <w:ind w:left="720"/>
      <w:contextualSpacing/>
    </w:pPr>
  </w:style>
  <w:style w:type="paragraph" w:customStyle="1" w:styleId="numberedpara">
    <w:name w:val="numbered para"/>
    <w:basedOn w:val="Normal"/>
    <w:rsid w:val="00154704"/>
    <w:pPr>
      <w:numPr>
        <w:numId w:val="1"/>
      </w:numPr>
      <w:spacing w:after="240"/>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62395"/>
    <w:rPr>
      <w:rFonts w:ascii="Tahoma" w:hAnsi="Tahoma" w:cs="Tahoma"/>
      <w:sz w:val="16"/>
      <w:szCs w:val="16"/>
    </w:rPr>
  </w:style>
  <w:style w:type="character" w:customStyle="1" w:styleId="BalloonTextChar">
    <w:name w:val="Balloon Text Char"/>
    <w:basedOn w:val="DefaultParagraphFont"/>
    <w:link w:val="BalloonText"/>
    <w:uiPriority w:val="99"/>
    <w:semiHidden/>
    <w:rsid w:val="00862395"/>
    <w:rPr>
      <w:rFonts w:ascii="Tahoma" w:hAnsi="Tahoma" w:cs="Tahoma"/>
      <w:sz w:val="16"/>
      <w:szCs w:val="16"/>
    </w:rPr>
  </w:style>
  <w:style w:type="paragraph" w:styleId="Header">
    <w:name w:val="header"/>
    <w:basedOn w:val="Normal"/>
    <w:link w:val="HeaderChar"/>
    <w:uiPriority w:val="99"/>
    <w:unhideWhenUsed/>
    <w:rsid w:val="00AA6E92"/>
    <w:pPr>
      <w:tabs>
        <w:tab w:val="center" w:pos="4513"/>
        <w:tab w:val="right" w:pos="9026"/>
      </w:tabs>
    </w:pPr>
  </w:style>
  <w:style w:type="character" w:customStyle="1" w:styleId="HeaderChar">
    <w:name w:val="Header Char"/>
    <w:basedOn w:val="DefaultParagraphFont"/>
    <w:link w:val="Header"/>
    <w:uiPriority w:val="99"/>
    <w:rsid w:val="00AA6E92"/>
  </w:style>
  <w:style w:type="paragraph" w:styleId="Footer">
    <w:name w:val="footer"/>
    <w:basedOn w:val="Normal"/>
    <w:link w:val="FooterChar"/>
    <w:uiPriority w:val="99"/>
    <w:unhideWhenUsed/>
    <w:rsid w:val="00EB61A3"/>
    <w:pPr>
      <w:tabs>
        <w:tab w:val="center" w:pos="4513"/>
        <w:tab w:val="right" w:pos="9026"/>
      </w:tabs>
    </w:pPr>
  </w:style>
  <w:style w:type="character" w:customStyle="1" w:styleId="FooterChar">
    <w:name w:val="Footer Char"/>
    <w:basedOn w:val="DefaultParagraphFont"/>
    <w:link w:val="Footer"/>
    <w:uiPriority w:val="99"/>
    <w:rsid w:val="00EB61A3"/>
    <w:rPr>
      <w:rFonts w:ascii="Arial" w:hAnsi="Arial"/>
    </w:rPr>
  </w:style>
  <w:style w:type="paragraph" w:customStyle="1" w:styleId="legrhs1">
    <w:name w:val="legrhs1"/>
    <w:basedOn w:val="Normal"/>
    <w:rsid w:val="002F0C6E"/>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character" w:customStyle="1" w:styleId="legamendquote1">
    <w:name w:val="legamendquote1"/>
    <w:basedOn w:val="DefaultParagraphFont"/>
    <w:rsid w:val="002F0C6E"/>
    <w:rPr>
      <w:b w:val="0"/>
      <w:bCs w:val="0"/>
      <w:i w:val="0"/>
      <w:iCs w:val="0"/>
    </w:rPr>
  </w:style>
  <w:style w:type="character" w:customStyle="1" w:styleId="legds2">
    <w:name w:val="legds2"/>
    <w:basedOn w:val="DefaultParagraphFont"/>
    <w:rsid w:val="002F0C6E"/>
    <w:rPr>
      <w:vanish w:val="0"/>
      <w:webHidden w:val="0"/>
      <w:specVanish w:val="0"/>
    </w:rPr>
  </w:style>
  <w:style w:type="paragraph" w:customStyle="1" w:styleId="legclearfix2">
    <w:name w:val="legclearfix2"/>
    <w:basedOn w:val="Normal"/>
    <w:rsid w:val="002F0C6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amendingtext">
    <w:name w:val="legamendingtext"/>
    <w:basedOn w:val="DefaultParagraphFont"/>
    <w:rsid w:val="002F0C6E"/>
  </w:style>
  <w:style w:type="paragraph" w:styleId="FootnoteText">
    <w:name w:val="footnote text"/>
    <w:basedOn w:val="Normal"/>
    <w:link w:val="FootnoteTextChar"/>
    <w:uiPriority w:val="99"/>
    <w:semiHidden/>
    <w:unhideWhenUsed/>
    <w:rsid w:val="00F34F4B"/>
    <w:rPr>
      <w:sz w:val="20"/>
      <w:szCs w:val="20"/>
    </w:rPr>
  </w:style>
  <w:style w:type="character" w:customStyle="1" w:styleId="FootnoteTextChar">
    <w:name w:val="Footnote Text Char"/>
    <w:basedOn w:val="DefaultParagraphFont"/>
    <w:link w:val="FootnoteText"/>
    <w:uiPriority w:val="99"/>
    <w:semiHidden/>
    <w:rsid w:val="00F34F4B"/>
    <w:rPr>
      <w:rFonts w:ascii="Arial" w:hAnsi="Arial"/>
      <w:sz w:val="20"/>
      <w:szCs w:val="20"/>
    </w:rPr>
  </w:style>
  <w:style w:type="character" w:styleId="FootnoteReference">
    <w:name w:val="footnote reference"/>
    <w:basedOn w:val="DefaultParagraphFont"/>
    <w:uiPriority w:val="99"/>
    <w:semiHidden/>
    <w:unhideWhenUsed/>
    <w:rsid w:val="00F34F4B"/>
    <w:rPr>
      <w:vertAlign w:val="superscript"/>
    </w:rPr>
  </w:style>
  <w:style w:type="character" w:styleId="CommentReference">
    <w:name w:val="annotation reference"/>
    <w:basedOn w:val="DefaultParagraphFont"/>
    <w:uiPriority w:val="99"/>
    <w:semiHidden/>
    <w:unhideWhenUsed/>
    <w:rsid w:val="001A4218"/>
    <w:rPr>
      <w:sz w:val="16"/>
      <w:szCs w:val="16"/>
    </w:rPr>
  </w:style>
  <w:style w:type="paragraph" w:styleId="CommentText">
    <w:name w:val="annotation text"/>
    <w:basedOn w:val="Normal"/>
    <w:link w:val="CommentTextChar"/>
    <w:uiPriority w:val="99"/>
    <w:unhideWhenUsed/>
    <w:rsid w:val="001A4218"/>
    <w:rPr>
      <w:sz w:val="20"/>
      <w:szCs w:val="20"/>
    </w:rPr>
  </w:style>
  <w:style w:type="character" w:customStyle="1" w:styleId="CommentTextChar">
    <w:name w:val="Comment Text Char"/>
    <w:basedOn w:val="DefaultParagraphFont"/>
    <w:link w:val="CommentText"/>
    <w:uiPriority w:val="99"/>
    <w:rsid w:val="001A42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A4218"/>
    <w:rPr>
      <w:b/>
      <w:bCs/>
    </w:rPr>
  </w:style>
  <w:style w:type="character" w:customStyle="1" w:styleId="CommentSubjectChar">
    <w:name w:val="Comment Subject Char"/>
    <w:basedOn w:val="CommentTextChar"/>
    <w:link w:val="CommentSubject"/>
    <w:uiPriority w:val="99"/>
    <w:semiHidden/>
    <w:rsid w:val="001A4218"/>
    <w:rPr>
      <w:rFonts w:ascii="Arial" w:hAnsi="Arial"/>
      <w:b/>
      <w:bCs/>
      <w:sz w:val="20"/>
      <w:szCs w:val="20"/>
    </w:rPr>
  </w:style>
  <w:style w:type="character" w:styleId="Hyperlink">
    <w:name w:val="Hyperlink"/>
    <w:basedOn w:val="DefaultParagraphFont"/>
    <w:uiPriority w:val="99"/>
    <w:unhideWhenUsed/>
    <w:rsid w:val="00294066"/>
    <w:rPr>
      <w:color w:val="0000FF" w:themeColor="hyperlink"/>
      <w:u w:val="single"/>
    </w:rPr>
  </w:style>
  <w:style w:type="paragraph" w:customStyle="1" w:styleId="StyleNumbered">
    <w:name w:val="Style Numbered"/>
    <w:basedOn w:val="Normal"/>
    <w:rsid w:val="001022B1"/>
    <w:pPr>
      <w:numPr>
        <w:numId w:val="2"/>
      </w:numPr>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1B74E0"/>
    <w:pPr>
      <w:spacing w:after="200"/>
    </w:pPr>
    <w:rPr>
      <w:b/>
      <w:bCs/>
      <w:color w:val="4F81BD" w:themeColor="accent1"/>
    </w:rPr>
  </w:style>
  <w:style w:type="character" w:customStyle="1" w:styleId="Heading1Char">
    <w:name w:val="Heading 1 Char"/>
    <w:basedOn w:val="DefaultParagraphFont"/>
    <w:link w:val="Heading1"/>
    <w:uiPriority w:val="9"/>
    <w:rsid w:val="00741AC1"/>
    <w:rPr>
      <w:rFonts w:ascii="Arial" w:hAnsi="Arial"/>
      <w:b/>
      <w:sz w:val="28"/>
      <w:szCs w:val="28"/>
    </w:rPr>
  </w:style>
  <w:style w:type="paragraph" w:styleId="TOCHeading">
    <w:name w:val="TOC Heading"/>
    <w:basedOn w:val="Heading1"/>
    <w:next w:val="Normal"/>
    <w:uiPriority w:val="39"/>
    <w:unhideWhenUsed/>
    <w:qFormat/>
    <w:rsid w:val="00741AC1"/>
    <w:pPr>
      <w:spacing w:line="276" w:lineRule="auto"/>
      <w:outlineLvl w:val="9"/>
    </w:pPr>
    <w:rPr>
      <w:lang w:val="en-US" w:eastAsia="ja-JP"/>
    </w:rPr>
  </w:style>
  <w:style w:type="paragraph" w:styleId="TOC2">
    <w:name w:val="toc 2"/>
    <w:basedOn w:val="Normal"/>
    <w:next w:val="Normal"/>
    <w:autoRedefine/>
    <w:uiPriority w:val="39"/>
    <w:unhideWhenUsed/>
    <w:qFormat/>
    <w:rsid w:val="00741AC1"/>
    <w:pPr>
      <w:spacing w:after="100" w:line="276" w:lineRule="auto"/>
      <w:ind w:left="220"/>
    </w:pPr>
    <w:rPr>
      <w:rFonts w:asciiTheme="minorHAnsi" w:eastAsiaTheme="minorEastAsia" w:hAnsiTheme="minorHAnsi"/>
      <w:lang w:val="en-US" w:eastAsia="ja-JP"/>
    </w:rPr>
  </w:style>
  <w:style w:type="paragraph" w:styleId="TOC1">
    <w:name w:val="toc 1"/>
    <w:basedOn w:val="Normal"/>
    <w:next w:val="Normal"/>
    <w:autoRedefine/>
    <w:uiPriority w:val="39"/>
    <w:unhideWhenUsed/>
    <w:qFormat/>
    <w:rsid w:val="00741AC1"/>
    <w:pPr>
      <w:spacing w:after="100" w:line="276" w:lineRule="auto"/>
    </w:pPr>
    <w:rPr>
      <w:rFonts w:asciiTheme="minorHAnsi" w:eastAsiaTheme="minorEastAsia" w:hAnsiTheme="minorHAnsi"/>
      <w:lang w:val="en-US" w:eastAsia="ja-JP"/>
    </w:rPr>
  </w:style>
  <w:style w:type="paragraph" w:styleId="TOC3">
    <w:name w:val="toc 3"/>
    <w:basedOn w:val="Normal"/>
    <w:next w:val="Normal"/>
    <w:autoRedefine/>
    <w:uiPriority w:val="39"/>
    <w:unhideWhenUsed/>
    <w:qFormat/>
    <w:rsid w:val="00741AC1"/>
    <w:pPr>
      <w:spacing w:after="100" w:line="276" w:lineRule="auto"/>
      <w:ind w:left="440"/>
    </w:pPr>
    <w:rPr>
      <w:rFonts w:asciiTheme="minorHAnsi" w:eastAsiaTheme="minorEastAsia" w:hAnsiTheme="minorHAnsi"/>
      <w:lang w:val="en-US" w:eastAsia="ja-JP"/>
    </w:rPr>
  </w:style>
  <w:style w:type="character" w:customStyle="1" w:styleId="Heading2Char">
    <w:name w:val="Heading 2 Char"/>
    <w:basedOn w:val="DefaultParagraphFont"/>
    <w:link w:val="Heading2"/>
    <w:uiPriority w:val="9"/>
    <w:rsid w:val="00741AC1"/>
    <w:rPr>
      <w:rFonts w:ascii="Arial" w:hAnsi="Arial"/>
      <w:b/>
      <w:szCs w:val="24"/>
    </w:rPr>
  </w:style>
  <w:style w:type="character" w:customStyle="1" w:styleId="Heading3Char">
    <w:name w:val="Heading 3 Char"/>
    <w:basedOn w:val="DefaultParagraphFont"/>
    <w:link w:val="Heading3"/>
    <w:uiPriority w:val="9"/>
    <w:rsid w:val="00741AC1"/>
    <w:rPr>
      <w:rFonts w:ascii="Arial" w:hAnsi="Arial"/>
      <w:i/>
    </w:rPr>
  </w:style>
  <w:style w:type="character" w:styleId="FollowedHyperlink">
    <w:name w:val="FollowedHyperlink"/>
    <w:basedOn w:val="DefaultParagraphFont"/>
    <w:uiPriority w:val="99"/>
    <w:semiHidden/>
    <w:unhideWhenUsed/>
    <w:rsid w:val="004342D9"/>
    <w:rPr>
      <w:color w:val="800080" w:themeColor="followedHyperlink"/>
      <w:u w:val="single"/>
    </w:rPr>
  </w:style>
  <w:style w:type="table" w:styleId="TableGrid">
    <w:name w:val="Table Grid"/>
    <w:basedOn w:val="TableNormal"/>
    <w:uiPriority w:val="39"/>
    <w:rsid w:val="002C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C3F98"/>
    <w:rPr>
      <w:rFonts w:asciiTheme="majorHAnsi" w:eastAsiaTheme="majorEastAsia" w:hAnsiTheme="majorHAnsi" w:cstheme="majorBidi"/>
      <w:b/>
      <w:bCs/>
      <w:i/>
      <w:iCs/>
      <w:color w:val="4F81BD" w:themeColor="accent1"/>
    </w:rPr>
  </w:style>
  <w:style w:type="paragraph" w:styleId="Revision">
    <w:name w:val="Revision"/>
    <w:hidden/>
    <w:uiPriority w:val="99"/>
    <w:semiHidden/>
    <w:rsid w:val="00B4350F"/>
    <w:rPr>
      <w:rFonts w:ascii="Arial" w:hAnsi="Arial"/>
    </w:rPr>
  </w:style>
  <w:style w:type="paragraph" w:customStyle="1" w:styleId="Default">
    <w:name w:val="Default"/>
    <w:rsid w:val="00731944"/>
    <w:pPr>
      <w:autoSpaceDE w:val="0"/>
      <w:autoSpaceDN w:val="0"/>
      <w:adjustRightInd w:val="0"/>
    </w:pPr>
    <w:rPr>
      <w:rFonts w:ascii="Bookman Old Style" w:eastAsia="Times New Roman" w:hAnsi="Bookman Old Style" w:cs="Bookman Old Style"/>
      <w:color w:val="000000"/>
      <w:sz w:val="24"/>
      <w:szCs w:val="24"/>
      <w:lang w:val="en-US"/>
    </w:rPr>
  </w:style>
  <w:style w:type="paragraph" w:customStyle="1" w:styleId="chapter">
    <w:name w:val="chapter"/>
    <w:basedOn w:val="Normal"/>
    <w:link w:val="chapterChar"/>
    <w:rsid w:val="00CE2C24"/>
    <w:pPr>
      <w:spacing w:line="288" w:lineRule="auto"/>
    </w:pPr>
    <w:rPr>
      <w:rFonts w:eastAsia="Times New Roman" w:cs="Times New Roman"/>
      <w:b/>
      <w:sz w:val="72"/>
      <w:szCs w:val="20"/>
      <w:lang w:val="x-none" w:eastAsia="x-none"/>
    </w:rPr>
  </w:style>
  <w:style w:type="character" w:customStyle="1" w:styleId="chapterChar">
    <w:name w:val="chapter Char"/>
    <w:link w:val="chapter"/>
    <w:locked/>
    <w:rsid w:val="00CE2C24"/>
    <w:rPr>
      <w:rFonts w:eastAsia="Times New Roman" w:cs="Times New Roman"/>
      <w:b/>
      <w:sz w:val="72"/>
      <w:szCs w:val="20"/>
      <w:lang w:val="x-none" w:eastAsia="x-none"/>
    </w:rPr>
  </w:style>
  <w:style w:type="paragraph" w:customStyle="1" w:styleId="subhead">
    <w:name w:val="subhead"/>
    <w:basedOn w:val="Normal"/>
    <w:rsid w:val="00CE2C24"/>
    <w:pPr>
      <w:shd w:val="clear" w:color="000080" w:fill="auto"/>
      <w:spacing w:after="6" w:line="276" w:lineRule="auto"/>
    </w:pPr>
    <w:rPr>
      <w:rFonts w:eastAsia="Times New Roman" w:cs="Times New Roman"/>
      <w:b/>
      <w:color w:val="000000"/>
      <w:sz w:val="32"/>
      <w:szCs w:val="40"/>
    </w:rPr>
  </w:style>
  <w:style w:type="paragraph" w:customStyle="1" w:styleId="cover">
    <w:name w:val="cover"/>
    <w:basedOn w:val="Normal"/>
    <w:rsid w:val="00CE2C24"/>
    <w:pPr>
      <w:spacing w:line="288" w:lineRule="auto"/>
    </w:pPr>
    <w:rPr>
      <w:rFonts w:eastAsia="Times New Roman" w:cs="Arial"/>
      <w:b/>
      <w:sz w:val="72"/>
      <w:szCs w:val="72"/>
    </w:rPr>
  </w:style>
  <w:style w:type="character" w:styleId="PlaceholderText">
    <w:name w:val="Placeholder Text"/>
    <w:basedOn w:val="DefaultParagraphFont"/>
    <w:uiPriority w:val="99"/>
    <w:semiHidden/>
    <w:rsid w:val="009D2260"/>
    <w:rPr>
      <w:color w:val="808080"/>
    </w:rPr>
  </w:style>
  <w:style w:type="paragraph" w:styleId="BodyText">
    <w:name w:val="Body Text"/>
    <w:basedOn w:val="Normal"/>
    <w:link w:val="BodyTextChar"/>
    <w:uiPriority w:val="99"/>
    <w:qFormat/>
    <w:rsid w:val="00471E89"/>
    <w:pPr>
      <w:widowControl w:val="0"/>
      <w:autoSpaceDE w:val="0"/>
      <w:autoSpaceDN w:val="0"/>
    </w:pPr>
    <w:rPr>
      <w:rFonts w:eastAsia="Times New Roman" w:cs="Trebuchet MS"/>
      <w:sz w:val="22"/>
      <w:szCs w:val="22"/>
      <w:lang w:val="en-US"/>
    </w:rPr>
  </w:style>
  <w:style w:type="character" w:customStyle="1" w:styleId="BodyTextChar">
    <w:name w:val="Body Text Char"/>
    <w:basedOn w:val="DefaultParagraphFont"/>
    <w:link w:val="BodyText"/>
    <w:uiPriority w:val="1"/>
    <w:rsid w:val="00471E89"/>
    <w:rPr>
      <w:rFonts w:eastAsia="Times New Roman" w:cs="Trebuchet MS"/>
      <w:sz w:val="22"/>
      <w:szCs w:val="22"/>
      <w:lang w:val="en-US"/>
    </w:rPr>
  </w:style>
  <w:style w:type="character" w:customStyle="1" w:styleId="MSGENFONTSTYLENAMETEMPLATEROLEMSGENFONTSTYLENAMEBYROLETEXT2">
    <w:name w:val="MSG_EN_FONT_STYLE_NAME_TEMPLATE_ROLE MSG_EN_FONT_STYLE_NAME_BY_ROLE_TEXT|2_"/>
    <w:basedOn w:val="DefaultParagraphFont"/>
    <w:rsid w:val="00AC1C64"/>
    <w:rPr>
      <w:rFonts w:ascii="Calibri" w:eastAsia="Calibri" w:hAnsi="Calibri" w:cs="Calibri"/>
      <w:b w:val="0"/>
      <w:bCs w:val="0"/>
      <w:i w:val="0"/>
      <w:iCs w:val="0"/>
      <w:smallCaps w:val="0"/>
      <w:strike w:val="0"/>
      <w:sz w:val="18"/>
      <w:szCs w:val="18"/>
      <w:u w:val="none"/>
    </w:rPr>
  </w:style>
  <w:style w:type="character" w:customStyle="1" w:styleId="MSGENFONTSTYLENAMETEMPLATEROLELEVELMSGENFONTSTYLENAMEBYROLEHEADING11">
    <w:name w:val="MSG_EN_FONT_STYLE_NAME_TEMPLATE_ROLE_LEVEL MSG_EN_FONT_STYLE_NAME_BY_ROLE_HEADING 1|1_"/>
    <w:basedOn w:val="DefaultParagraphFont"/>
    <w:link w:val="MSGENFONTSTYLENAMETEMPLATEROLELEVELMSGENFONTSTYLENAMEBYROLEHEADING110"/>
    <w:rsid w:val="00AC1C64"/>
    <w:rPr>
      <w:rFonts w:ascii="Calibri" w:eastAsia="Calibri" w:hAnsi="Calibri" w:cs="Calibri"/>
      <w:b/>
      <w:bCs/>
      <w:sz w:val="26"/>
      <w:szCs w:val="26"/>
      <w:shd w:val="clear" w:color="auto" w:fill="FFFFFF"/>
    </w:rPr>
  </w:style>
  <w:style w:type="character" w:customStyle="1" w:styleId="MSGENFONTSTYLENAMETEMPLATEROLEMSGENFONTSTYLENAMEBYROLETEXT2MSGENFONTSTYLEMODIFERBOLD">
    <w:name w:val="MSG_EN_FONT_STYLE_NAME_TEMPLATE_ROLE MSG_EN_FONT_STYLE_NAME_BY_ROLE_TEXT|2 + MSG_EN_FONT_STYLE_MODIFER_BOLD"/>
    <w:basedOn w:val="MSGENFONTSTYLENAMETEMPLATEROLEMSGENFONTSTYLENAMEBYROLETEXT2"/>
    <w:rsid w:val="00AC1C64"/>
    <w:rPr>
      <w:rFonts w:ascii="Calibri" w:eastAsia="Calibri" w:hAnsi="Calibri" w:cs="Calibri"/>
      <w:b/>
      <w:bCs/>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20">
    <w:name w:val="MSG_EN_FONT_STYLE_NAME_TEMPLATE_ROLE MSG_EN_FONT_STYLE_NAME_BY_ROLE_TEXT|2"/>
    <w:basedOn w:val="MSGENFONTSTYLENAMETEMPLATEROLEMSGENFONTSTYLENAMEBYROLETEXT2"/>
    <w:rsid w:val="00AC1C64"/>
    <w:rPr>
      <w:rFonts w:ascii="Calibri" w:eastAsia="Calibri" w:hAnsi="Calibri" w:cs="Calibri"/>
      <w:b w:val="0"/>
      <w:bCs w:val="0"/>
      <w:i w:val="0"/>
      <w:iCs w:val="0"/>
      <w:smallCaps w:val="0"/>
      <w:strike w:val="0"/>
      <w:color w:val="000000"/>
      <w:spacing w:val="0"/>
      <w:w w:val="100"/>
      <w:position w:val="0"/>
      <w:sz w:val="18"/>
      <w:szCs w:val="18"/>
      <w:u w:val="none"/>
      <w:lang w:val="en-GB" w:eastAsia="en-GB" w:bidi="en-GB"/>
    </w:rPr>
  </w:style>
  <w:style w:type="character" w:customStyle="1" w:styleId="MSGENFONTSTYLENAMETEMPLATEROLEMSGENFONTSTYLENAMEBYROLETEXT3">
    <w:name w:val="MSG_EN_FONT_STYLE_NAME_TEMPLATE_ROLE MSG_EN_FONT_STYLE_NAME_BY_ROLE_TEXT|3_"/>
    <w:basedOn w:val="DefaultParagraphFont"/>
    <w:rsid w:val="00AC1C64"/>
    <w:rPr>
      <w:rFonts w:ascii="Calibri" w:eastAsia="Calibri" w:hAnsi="Calibri" w:cs="Calibri"/>
      <w:b/>
      <w:bCs/>
      <w:i w:val="0"/>
      <w:iCs w:val="0"/>
      <w:smallCaps w:val="0"/>
      <w:strike w:val="0"/>
      <w:sz w:val="18"/>
      <w:szCs w:val="18"/>
      <w:u w:val="none"/>
    </w:rPr>
  </w:style>
  <w:style w:type="character" w:customStyle="1" w:styleId="MSGENFONTSTYLENAMETEMPLATEROLEMSGENFONTSTYLENAMEBYROLETEXT30">
    <w:name w:val="MSG_EN_FONT_STYLE_NAME_TEMPLATE_ROLE MSG_EN_FONT_STYLE_NAME_BY_ROLE_TEXT|3"/>
    <w:basedOn w:val="MSGENFONTSTYLENAMETEMPLATEROLEMSGENFONTSTYLENAMEBYROLETEXT3"/>
    <w:rsid w:val="00AC1C64"/>
    <w:rPr>
      <w:rFonts w:ascii="Calibri" w:eastAsia="Calibri" w:hAnsi="Calibri" w:cs="Calibri"/>
      <w:b/>
      <w:bCs/>
      <w:i w:val="0"/>
      <w:iCs w:val="0"/>
      <w:smallCaps w:val="0"/>
      <w:strike w:val="0"/>
      <w:color w:val="000000"/>
      <w:spacing w:val="0"/>
      <w:w w:val="100"/>
      <w:position w:val="0"/>
      <w:sz w:val="18"/>
      <w:szCs w:val="18"/>
      <w:u w:val="single"/>
      <w:lang w:val="en-GB" w:eastAsia="en-GB" w:bidi="en-GB"/>
    </w:rPr>
  </w:style>
  <w:style w:type="paragraph" w:customStyle="1" w:styleId="MSGENFONTSTYLENAMETEMPLATEROLELEVELMSGENFONTSTYLENAMEBYROLEHEADING110">
    <w:name w:val="MSG_EN_FONT_STYLE_NAME_TEMPLATE_ROLE_LEVEL MSG_EN_FONT_STYLE_NAME_BY_ROLE_HEADING 1|1"/>
    <w:basedOn w:val="Normal"/>
    <w:link w:val="MSGENFONTSTYLENAMETEMPLATEROLELEVELMSGENFONTSTYLENAMEBYROLEHEADING11"/>
    <w:rsid w:val="00AC1C64"/>
    <w:pPr>
      <w:widowControl w:val="0"/>
      <w:shd w:val="clear" w:color="auto" w:fill="FFFFFF"/>
      <w:spacing w:before="480" w:line="318" w:lineRule="exact"/>
      <w:outlineLvl w:val="0"/>
    </w:pPr>
    <w:rPr>
      <w:rFonts w:ascii="Calibri" w:eastAsia="Calibri" w:hAnsi="Calibri" w:cs="Calibri"/>
      <w:b/>
      <w:bCs/>
      <w:sz w:val="26"/>
      <w:szCs w:val="26"/>
    </w:rPr>
  </w:style>
  <w:style w:type="character" w:styleId="Emphasis">
    <w:name w:val="Emphasis"/>
    <w:basedOn w:val="DefaultParagraphFont"/>
    <w:uiPriority w:val="20"/>
    <w:qFormat/>
    <w:rsid w:val="00365372"/>
    <w:rPr>
      <w:i/>
      <w:iCs/>
    </w:rPr>
  </w:style>
  <w:style w:type="paragraph" w:styleId="NormalWeb">
    <w:name w:val="Normal (Web)"/>
    <w:basedOn w:val="Normal"/>
    <w:uiPriority w:val="99"/>
    <w:unhideWhenUsed/>
    <w:rsid w:val="005E727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l51">
    <w:name w:val="xl51"/>
    <w:basedOn w:val="Normal"/>
    <w:rsid w:val="00B1680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544FD1"/>
  </w:style>
  <w:style w:type="character" w:customStyle="1" w:styleId="fontstyle01">
    <w:name w:val="fontstyle01"/>
    <w:basedOn w:val="DefaultParagraphFont"/>
    <w:rsid w:val="00FC70FD"/>
    <w:rPr>
      <w:rFonts w:ascii="Verdana" w:hAnsi="Verdana" w:hint="default"/>
      <w:b w:val="0"/>
      <w:bCs w:val="0"/>
      <w:i w:val="0"/>
      <w:iCs w:val="0"/>
      <w:color w:val="000000"/>
      <w:sz w:val="16"/>
      <w:szCs w:val="16"/>
    </w:rPr>
  </w:style>
  <w:style w:type="character" w:customStyle="1" w:styleId="Mention1">
    <w:name w:val="Mention1"/>
    <w:basedOn w:val="DefaultParagraphFont"/>
    <w:uiPriority w:val="99"/>
    <w:unhideWhenUsed/>
    <w:rsid w:val="0088285A"/>
    <w:rPr>
      <w:color w:val="2B579A"/>
      <w:shd w:val="clear" w:color="auto" w:fill="E1DFDD"/>
    </w:rPr>
  </w:style>
  <w:style w:type="character" w:styleId="Mention">
    <w:name w:val="Mention"/>
    <w:basedOn w:val="DefaultParagraphFont"/>
    <w:uiPriority w:val="99"/>
    <w:unhideWhenUsed/>
    <w:rsid w:val="004047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39671877">
      <w:bodyDiv w:val="1"/>
      <w:marLeft w:val="0"/>
      <w:marRight w:val="0"/>
      <w:marTop w:val="0"/>
      <w:marBottom w:val="0"/>
      <w:divBdr>
        <w:top w:val="none" w:sz="0" w:space="0" w:color="auto"/>
        <w:left w:val="none" w:sz="0" w:space="0" w:color="auto"/>
        <w:bottom w:val="none" w:sz="0" w:space="0" w:color="auto"/>
        <w:right w:val="none" w:sz="0" w:space="0" w:color="auto"/>
      </w:divBdr>
    </w:div>
    <w:div w:id="66148000">
      <w:bodyDiv w:val="1"/>
      <w:marLeft w:val="0"/>
      <w:marRight w:val="0"/>
      <w:marTop w:val="0"/>
      <w:marBottom w:val="0"/>
      <w:divBdr>
        <w:top w:val="none" w:sz="0" w:space="0" w:color="auto"/>
        <w:left w:val="none" w:sz="0" w:space="0" w:color="auto"/>
        <w:bottom w:val="none" w:sz="0" w:space="0" w:color="auto"/>
        <w:right w:val="none" w:sz="0" w:space="0" w:color="auto"/>
      </w:divBdr>
    </w:div>
    <w:div w:id="115031426">
      <w:bodyDiv w:val="1"/>
      <w:marLeft w:val="0"/>
      <w:marRight w:val="0"/>
      <w:marTop w:val="0"/>
      <w:marBottom w:val="0"/>
      <w:divBdr>
        <w:top w:val="none" w:sz="0" w:space="0" w:color="auto"/>
        <w:left w:val="none" w:sz="0" w:space="0" w:color="auto"/>
        <w:bottom w:val="none" w:sz="0" w:space="0" w:color="auto"/>
        <w:right w:val="none" w:sz="0" w:space="0" w:color="auto"/>
      </w:divBdr>
    </w:div>
    <w:div w:id="248664071">
      <w:bodyDiv w:val="1"/>
      <w:marLeft w:val="0"/>
      <w:marRight w:val="0"/>
      <w:marTop w:val="0"/>
      <w:marBottom w:val="0"/>
      <w:divBdr>
        <w:top w:val="none" w:sz="0" w:space="0" w:color="auto"/>
        <w:left w:val="none" w:sz="0" w:space="0" w:color="auto"/>
        <w:bottom w:val="none" w:sz="0" w:space="0" w:color="auto"/>
        <w:right w:val="none" w:sz="0" w:space="0" w:color="auto"/>
      </w:divBdr>
    </w:div>
    <w:div w:id="306205165">
      <w:bodyDiv w:val="1"/>
      <w:marLeft w:val="0"/>
      <w:marRight w:val="0"/>
      <w:marTop w:val="0"/>
      <w:marBottom w:val="0"/>
      <w:divBdr>
        <w:top w:val="none" w:sz="0" w:space="0" w:color="auto"/>
        <w:left w:val="none" w:sz="0" w:space="0" w:color="auto"/>
        <w:bottom w:val="none" w:sz="0" w:space="0" w:color="auto"/>
        <w:right w:val="none" w:sz="0" w:space="0" w:color="auto"/>
      </w:divBdr>
    </w:div>
    <w:div w:id="310447196">
      <w:bodyDiv w:val="1"/>
      <w:marLeft w:val="0"/>
      <w:marRight w:val="0"/>
      <w:marTop w:val="0"/>
      <w:marBottom w:val="0"/>
      <w:divBdr>
        <w:top w:val="none" w:sz="0" w:space="0" w:color="auto"/>
        <w:left w:val="none" w:sz="0" w:space="0" w:color="auto"/>
        <w:bottom w:val="none" w:sz="0" w:space="0" w:color="auto"/>
        <w:right w:val="none" w:sz="0" w:space="0" w:color="auto"/>
      </w:divBdr>
    </w:div>
    <w:div w:id="501705452">
      <w:bodyDiv w:val="1"/>
      <w:marLeft w:val="0"/>
      <w:marRight w:val="0"/>
      <w:marTop w:val="0"/>
      <w:marBottom w:val="0"/>
      <w:divBdr>
        <w:top w:val="none" w:sz="0" w:space="0" w:color="auto"/>
        <w:left w:val="none" w:sz="0" w:space="0" w:color="auto"/>
        <w:bottom w:val="none" w:sz="0" w:space="0" w:color="auto"/>
        <w:right w:val="none" w:sz="0" w:space="0" w:color="auto"/>
      </w:divBdr>
    </w:div>
    <w:div w:id="647587180">
      <w:bodyDiv w:val="1"/>
      <w:marLeft w:val="0"/>
      <w:marRight w:val="0"/>
      <w:marTop w:val="0"/>
      <w:marBottom w:val="0"/>
      <w:divBdr>
        <w:top w:val="none" w:sz="0" w:space="0" w:color="auto"/>
        <w:left w:val="none" w:sz="0" w:space="0" w:color="auto"/>
        <w:bottom w:val="none" w:sz="0" w:space="0" w:color="auto"/>
        <w:right w:val="none" w:sz="0" w:space="0" w:color="auto"/>
      </w:divBdr>
    </w:div>
    <w:div w:id="704213581">
      <w:bodyDiv w:val="1"/>
      <w:marLeft w:val="0"/>
      <w:marRight w:val="0"/>
      <w:marTop w:val="0"/>
      <w:marBottom w:val="0"/>
      <w:divBdr>
        <w:top w:val="none" w:sz="0" w:space="0" w:color="auto"/>
        <w:left w:val="none" w:sz="0" w:space="0" w:color="auto"/>
        <w:bottom w:val="none" w:sz="0" w:space="0" w:color="auto"/>
        <w:right w:val="none" w:sz="0" w:space="0" w:color="auto"/>
      </w:divBdr>
    </w:div>
    <w:div w:id="716978344">
      <w:bodyDiv w:val="1"/>
      <w:marLeft w:val="0"/>
      <w:marRight w:val="0"/>
      <w:marTop w:val="0"/>
      <w:marBottom w:val="0"/>
      <w:divBdr>
        <w:top w:val="none" w:sz="0" w:space="0" w:color="auto"/>
        <w:left w:val="none" w:sz="0" w:space="0" w:color="auto"/>
        <w:bottom w:val="none" w:sz="0" w:space="0" w:color="auto"/>
        <w:right w:val="none" w:sz="0" w:space="0" w:color="auto"/>
      </w:divBdr>
    </w:div>
    <w:div w:id="829175510">
      <w:bodyDiv w:val="1"/>
      <w:marLeft w:val="0"/>
      <w:marRight w:val="0"/>
      <w:marTop w:val="0"/>
      <w:marBottom w:val="0"/>
      <w:divBdr>
        <w:top w:val="none" w:sz="0" w:space="0" w:color="auto"/>
        <w:left w:val="none" w:sz="0" w:space="0" w:color="auto"/>
        <w:bottom w:val="none" w:sz="0" w:space="0" w:color="auto"/>
        <w:right w:val="none" w:sz="0" w:space="0" w:color="auto"/>
      </w:divBdr>
    </w:div>
    <w:div w:id="899903518">
      <w:bodyDiv w:val="1"/>
      <w:marLeft w:val="0"/>
      <w:marRight w:val="0"/>
      <w:marTop w:val="0"/>
      <w:marBottom w:val="0"/>
      <w:divBdr>
        <w:top w:val="none" w:sz="0" w:space="0" w:color="auto"/>
        <w:left w:val="none" w:sz="0" w:space="0" w:color="auto"/>
        <w:bottom w:val="none" w:sz="0" w:space="0" w:color="auto"/>
        <w:right w:val="none" w:sz="0" w:space="0" w:color="auto"/>
      </w:divBdr>
    </w:div>
    <w:div w:id="903225461">
      <w:bodyDiv w:val="1"/>
      <w:marLeft w:val="0"/>
      <w:marRight w:val="0"/>
      <w:marTop w:val="0"/>
      <w:marBottom w:val="0"/>
      <w:divBdr>
        <w:top w:val="none" w:sz="0" w:space="0" w:color="auto"/>
        <w:left w:val="none" w:sz="0" w:space="0" w:color="auto"/>
        <w:bottom w:val="none" w:sz="0" w:space="0" w:color="auto"/>
        <w:right w:val="none" w:sz="0" w:space="0" w:color="auto"/>
      </w:divBdr>
    </w:div>
    <w:div w:id="907038668">
      <w:bodyDiv w:val="1"/>
      <w:marLeft w:val="0"/>
      <w:marRight w:val="0"/>
      <w:marTop w:val="0"/>
      <w:marBottom w:val="0"/>
      <w:divBdr>
        <w:top w:val="none" w:sz="0" w:space="0" w:color="auto"/>
        <w:left w:val="none" w:sz="0" w:space="0" w:color="auto"/>
        <w:bottom w:val="none" w:sz="0" w:space="0" w:color="auto"/>
        <w:right w:val="none" w:sz="0" w:space="0" w:color="auto"/>
      </w:divBdr>
    </w:div>
    <w:div w:id="946883819">
      <w:bodyDiv w:val="1"/>
      <w:marLeft w:val="0"/>
      <w:marRight w:val="0"/>
      <w:marTop w:val="0"/>
      <w:marBottom w:val="0"/>
      <w:divBdr>
        <w:top w:val="none" w:sz="0" w:space="0" w:color="auto"/>
        <w:left w:val="none" w:sz="0" w:space="0" w:color="auto"/>
        <w:bottom w:val="none" w:sz="0" w:space="0" w:color="auto"/>
        <w:right w:val="none" w:sz="0" w:space="0" w:color="auto"/>
      </w:divBdr>
    </w:div>
    <w:div w:id="1001010608">
      <w:bodyDiv w:val="1"/>
      <w:marLeft w:val="0"/>
      <w:marRight w:val="0"/>
      <w:marTop w:val="0"/>
      <w:marBottom w:val="0"/>
      <w:divBdr>
        <w:top w:val="none" w:sz="0" w:space="0" w:color="auto"/>
        <w:left w:val="none" w:sz="0" w:space="0" w:color="auto"/>
        <w:bottom w:val="none" w:sz="0" w:space="0" w:color="auto"/>
        <w:right w:val="none" w:sz="0" w:space="0" w:color="auto"/>
      </w:divBdr>
    </w:div>
    <w:div w:id="1007095200">
      <w:bodyDiv w:val="1"/>
      <w:marLeft w:val="0"/>
      <w:marRight w:val="0"/>
      <w:marTop w:val="0"/>
      <w:marBottom w:val="0"/>
      <w:divBdr>
        <w:top w:val="none" w:sz="0" w:space="0" w:color="auto"/>
        <w:left w:val="none" w:sz="0" w:space="0" w:color="auto"/>
        <w:bottom w:val="none" w:sz="0" w:space="0" w:color="auto"/>
        <w:right w:val="none" w:sz="0" w:space="0" w:color="auto"/>
      </w:divBdr>
    </w:div>
    <w:div w:id="1039235149">
      <w:bodyDiv w:val="1"/>
      <w:marLeft w:val="0"/>
      <w:marRight w:val="0"/>
      <w:marTop w:val="0"/>
      <w:marBottom w:val="0"/>
      <w:divBdr>
        <w:top w:val="none" w:sz="0" w:space="0" w:color="auto"/>
        <w:left w:val="none" w:sz="0" w:space="0" w:color="auto"/>
        <w:bottom w:val="none" w:sz="0" w:space="0" w:color="auto"/>
        <w:right w:val="none" w:sz="0" w:space="0" w:color="auto"/>
      </w:divBdr>
    </w:div>
    <w:div w:id="1104544388">
      <w:bodyDiv w:val="1"/>
      <w:marLeft w:val="0"/>
      <w:marRight w:val="0"/>
      <w:marTop w:val="0"/>
      <w:marBottom w:val="0"/>
      <w:divBdr>
        <w:top w:val="none" w:sz="0" w:space="0" w:color="auto"/>
        <w:left w:val="none" w:sz="0" w:space="0" w:color="auto"/>
        <w:bottom w:val="none" w:sz="0" w:space="0" w:color="auto"/>
        <w:right w:val="none" w:sz="0" w:space="0" w:color="auto"/>
      </w:divBdr>
    </w:div>
    <w:div w:id="1202979097">
      <w:bodyDiv w:val="1"/>
      <w:marLeft w:val="0"/>
      <w:marRight w:val="0"/>
      <w:marTop w:val="0"/>
      <w:marBottom w:val="0"/>
      <w:divBdr>
        <w:top w:val="none" w:sz="0" w:space="0" w:color="auto"/>
        <w:left w:val="none" w:sz="0" w:space="0" w:color="auto"/>
        <w:bottom w:val="none" w:sz="0" w:space="0" w:color="auto"/>
        <w:right w:val="none" w:sz="0" w:space="0" w:color="auto"/>
      </w:divBdr>
    </w:div>
    <w:div w:id="1203976023">
      <w:bodyDiv w:val="1"/>
      <w:marLeft w:val="0"/>
      <w:marRight w:val="0"/>
      <w:marTop w:val="0"/>
      <w:marBottom w:val="0"/>
      <w:divBdr>
        <w:top w:val="none" w:sz="0" w:space="0" w:color="auto"/>
        <w:left w:val="none" w:sz="0" w:space="0" w:color="auto"/>
        <w:bottom w:val="none" w:sz="0" w:space="0" w:color="auto"/>
        <w:right w:val="none" w:sz="0" w:space="0" w:color="auto"/>
      </w:divBdr>
    </w:div>
    <w:div w:id="1214846934">
      <w:bodyDiv w:val="1"/>
      <w:marLeft w:val="0"/>
      <w:marRight w:val="0"/>
      <w:marTop w:val="0"/>
      <w:marBottom w:val="0"/>
      <w:divBdr>
        <w:top w:val="none" w:sz="0" w:space="0" w:color="auto"/>
        <w:left w:val="none" w:sz="0" w:space="0" w:color="auto"/>
        <w:bottom w:val="none" w:sz="0" w:space="0" w:color="auto"/>
        <w:right w:val="none" w:sz="0" w:space="0" w:color="auto"/>
      </w:divBdr>
    </w:div>
    <w:div w:id="1221552554">
      <w:bodyDiv w:val="1"/>
      <w:marLeft w:val="0"/>
      <w:marRight w:val="0"/>
      <w:marTop w:val="0"/>
      <w:marBottom w:val="0"/>
      <w:divBdr>
        <w:top w:val="none" w:sz="0" w:space="0" w:color="auto"/>
        <w:left w:val="none" w:sz="0" w:space="0" w:color="auto"/>
        <w:bottom w:val="none" w:sz="0" w:space="0" w:color="auto"/>
        <w:right w:val="none" w:sz="0" w:space="0" w:color="auto"/>
      </w:divBdr>
    </w:div>
    <w:div w:id="1222522797">
      <w:bodyDiv w:val="1"/>
      <w:marLeft w:val="0"/>
      <w:marRight w:val="0"/>
      <w:marTop w:val="0"/>
      <w:marBottom w:val="0"/>
      <w:divBdr>
        <w:top w:val="none" w:sz="0" w:space="0" w:color="auto"/>
        <w:left w:val="none" w:sz="0" w:space="0" w:color="auto"/>
        <w:bottom w:val="none" w:sz="0" w:space="0" w:color="auto"/>
        <w:right w:val="none" w:sz="0" w:space="0" w:color="auto"/>
      </w:divBdr>
    </w:div>
    <w:div w:id="1249342464">
      <w:bodyDiv w:val="1"/>
      <w:marLeft w:val="0"/>
      <w:marRight w:val="0"/>
      <w:marTop w:val="0"/>
      <w:marBottom w:val="0"/>
      <w:divBdr>
        <w:top w:val="none" w:sz="0" w:space="0" w:color="auto"/>
        <w:left w:val="none" w:sz="0" w:space="0" w:color="auto"/>
        <w:bottom w:val="none" w:sz="0" w:space="0" w:color="auto"/>
        <w:right w:val="none" w:sz="0" w:space="0" w:color="auto"/>
      </w:divBdr>
      <w:divsChild>
        <w:div w:id="83183986">
          <w:marLeft w:val="0"/>
          <w:marRight w:val="0"/>
          <w:marTop w:val="0"/>
          <w:marBottom w:val="0"/>
          <w:divBdr>
            <w:top w:val="none" w:sz="0" w:space="0" w:color="auto"/>
            <w:left w:val="none" w:sz="0" w:space="0" w:color="auto"/>
            <w:bottom w:val="none" w:sz="0" w:space="0" w:color="auto"/>
            <w:right w:val="none" w:sz="0" w:space="0" w:color="auto"/>
          </w:divBdr>
          <w:divsChild>
            <w:div w:id="92290656">
              <w:marLeft w:val="0"/>
              <w:marRight w:val="0"/>
              <w:marTop w:val="0"/>
              <w:marBottom w:val="0"/>
              <w:divBdr>
                <w:top w:val="single" w:sz="2" w:space="0" w:color="FFFFFF"/>
                <w:left w:val="single" w:sz="6" w:space="0" w:color="FFFFFF"/>
                <w:bottom w:val="single" w:sz="6" w:space="0" w:color="FFFFFF"/>
                <w:right w:val="single" w:sz="6" w:space="0" w:color="FFFFFF"/>
              </w:divBdr>
              <w:divsChild>
                <w:div w:id="186065319">
                  <w:marLeft w:val="0"/>
                  <w:marRight w:val="0"/>
                  <w:marTop w:val="0"/>
                  <w:marBottom w:val="0"/>
                  <w:divBdr>
                    <w:top w:val="single" w:sz="6" w:space="1" w:color="D3D3D3"/>
                    <w:left w:val="none" w:sz="0" w:space="0" w:color="auto"/>
                    <w:bottom w:val="none" w:sz="0" w:space="0" w:color="auto"/>
                    <w:right w:val="none" w:sz="0" w:space="0" w:color="auto"/>
                  </w:divBdr>
                  <w:divsChild>
                    <w:div w:id="409809977">
                      <w:marLeft w:val="0"/>
                      <w:marRight w:val="0"/>
                      <w:marTop w:val="0"/>
                      <w:marBottom w:val="0"/>
                      <w:divBdr>
                        <w:top w:val="none" w:sz="0" w:space="0" w:color="auto"/>
                        <w:left w:val="none" w:sz="0" w:space="0" w:color="auto"/>
                        <w:bottom w:val="none" w:sz="0" w:space="0" w:color="auto"/>
                        <w:right w:val="none" w:sz="0" w:space="0" w:color="auto"/>
                      </w:divBdr>
                      <w:divsChild>
                        <w:div w:id="6911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18654">
      <w:bodyDiv w:val="1"/>
      <w:marLeft w:val="0"/>
      <w:marRight w:val="0"/>
      <w:marTop w:val="0"/>
      <w:marBottom w:val="0"/>
      <w:divBdr>
        <w:top w:val="none" w:sz="0" w:space="0" w:color="auto"/>
        <w:left w:val="none" w:sz="0" w:space="0" w:color="auto"/>
        <w:bottom w:val="none" w:sz="0" w:space="0" w:color="auto"/>
        <w:right w:val="none" w:sz="0" w:space="0" w:color="auto"/>
      </w:divBdr>
    </w:div>
    <w:div w:id="1293903901">
      <w:bodyDiv w:val="1"/>
      <w:marLeft w:val="0"/>
      <w:marRight w:val="0"/>
      <w:marTop w:val="0"/>
      <w:marBottom w:val="0"/>
      <w:divBdr>
        <w:top w:val="none" w:sz="0" w:space="0" w:color="auto"/>
        <w:left w:val="none" w:sz="0" w:space="0" w:color="auto"/>
        <w:bottom w:val="none" w:sz="0" w:space="0" w:color="auto"/>
        <w:right w:val="none" w:sz="0" w:space="0" w:color="auto"/>
      </w:divBdr>
    </w:div>
    <w:div w:id="1327632550">
      <w:bodyDiv w:val="1"/>
      <w:marLeft w:val="0"/>
      <w:marRight w:val="0"/>
      <w:marTop w:val="0"/>
      <w:marBottom w:val="0"/>
      <w:divBdr>
        <w:top w:val="none" w:sz="0" w:space="0" w:color="auto"/>
        <w:left w:val="none" w:sz="0" w:space="0" w:color="auto"/>
        <w:bottom w:val="none" w:sz="0" w:space="0" w:color="auto"/>
        <w:right w:val="none" w:sz="0" w:space="0" w:color="auto"/>
      </w:divBdr>
    </w:div>
    <w:div w:id="1346175727">
      <w:bodyDiv w:val="1"/>
      <w:marLeft w:val="0"/>
      <w:marRight w:val="0"/>
      <w:marTop w:val="0"/>
      <w:marBottom w:val="0"/>
      <w:divBdr>
        <w:top w:val="none" w:sz="0" w:space="0" w:color="auto"/>
        <w:left w:val="none" w:sz="0" w:space="0" w:color="auto"/>
        <w:bottom w:val="none" w:sz="0" w:space="0" w:color="auto"/>
        <w:right w:val="none" w:sz="0" w:space="0" w:color="auto"/>
      </w:divBdr>
    </w:div>
    <w:div w:id="1387802621">
      <w:bodyDiv w:val="1"/>
      <w:marLeft w:val="0"/>
      <w:marRight w:val="0"/>
      <w:marTop w:val="0"/>
      <w:marBottom w:val="0"/>
      <w:divBdr>
        <w:top w:val="none" w:sz="0" w:space="0" w:color="auto"/>
        <w:left w:val="none" w:sz="0" w:space="0" w:color="auto"/>
        <w:bottom w:val="none" w:sz="0" w:space="0" w:color="auto"/>
        <w:right w:val="none" w:sz="0" w:space="0" w:color="auto"/>
      </w:divBdr>
    </w:div>
    <w:div w:id="1399014153">
      <w:bodyDiv w:val="1"/>
      <w:marLeft w:val="0"/>
      <w:marRight w:val="0"/>
      <w:marTop w:val="0"/>
      <w:marBottom w:val="0"/>
      <w:divBdr>
        <w:top w:val="none" w:sz="0" w:space="0" w:color="auto"/>
        <w:left w:val="none" w:sz="0" w:space="0" w:color="auto"/>
        <w:bottom w:val="none" w:sz="0" w:space="0" w:color="auto"/>
        <w:right w:val="none" w:sz="0" w:space="0" w:color="auto"/>
      </w:divBdr>
    </w:div>
    <w:div w:id="1446845432">
      <w:bodyDiv w:val="1"/>
      <w:marLeft w:val="0"/>
      <w:marRight w:val="0"/>
      <w:marTop w:val="0"/>
      <w:marBottom w:val="0"/>
      <w:divBdr>
        <w:top w:val="none" w:sz="0" w:space="0" w:color="auto"/>
        <w:left w:val="none" w:sz="0" w:space="0" w:color="auto"/>
        <w:bottom w:val="none" w:sz="0" w:space="0" w:color="auto"/>
        <w:right w:val="none" w:sz="0" w:space="0" w:color="auto"/>
      </w:divBdr>
    </w:div>
    <w:div w:id="1588003608">
      <w:bodyDiv w:val="1"/>
      <w:marLeft w:val="0"/>
      <w:marRight w:val="0"/>
      <w:marTop w:val="0"/>
      <w:marBottom w:val="0"/>
      <w:divBdr>
        <w:top w:val="none" w:sz="0" w:space="0" w:color="auto"/>
        <w:left w:val="none" w:sz="0" w:space="0" w:color="auto"/>
        <w:bottom w:val="none" w:sz="0" w:space="0" w:color="auto"/>
        <w:right w:val="none" w:sz="0" w:space="0" w:color="auto"/>
      </w:divBdr>
    </w:div>
    <w:div w:id="1622106401">
      <w:bodyDiv w:val="1"/>
      <w:marLeft w:val="0"/>
      <w:marRight w:val="0"/>
      <w:marTop w:val="0"/>
      <w:marBottom w:val="0"/>
      <w:divBdr>
        <w:top w:val="none" w:sz="0" w:space="0" w:color="auto"/>
        <w:left w:val="none" w:sz="0" w:space="0" w:color="auto"/>
        <w:bottom w:val="none" w:sz="0" w:space="0" w:color="auto"/>
        <w:right w:val="none" w:sz="0" w:space="0" w:color="auto"/>
      </w:divBdr>
    </w:div>
    <w:div w:id="1634629752">
      <w:bodyDiv w:val="1"/>
      <w:marLeft w:val="0"/>
      <w:marRight w:val="0"/>
      <w:marTop w:val="0"/>
      <w:marBottom w:val="0"/>
      <w:divBdr>
        <w:top w:val="none" w:sz="0" w:space="0" w:color="auto"/>
        <w:left w:val="none" w:sz="0" w:space="0" w:color="auto"/>
        <w:bottom w:val="none" w:sz="0" w:space="0" w:color="auto"/>
        <w:right w:val="none" w:sz="0" w:space="0" w:color="auto"/>
      </w:divBdr>
    </w:div>
    <w:div w:id="1668947415">
      <w:bodyDiv w:val="1"/>
      <w:marLeft w:val="0"/>
      <w:marRight w:val="0"/>
      <w:marTop w:val="0"/>
      <w:marBottom w:val="0"/>
      <w:divBdr>
        <w:top w:val="none" w:sz="0" w:space="0" w:color="auto"/>
        <w:left w:val="none" w:sz="0" w:space="0" w:color="auto"/>
        <w:bottom w:val="none" w:sz="0" w:space="0" w:color="auto"/>
        <w:right w:val="none" w:sz="0" w:space="0" w:color="auto"/>
      </w:divBdr>
    </w:div>
    <w:div w:id="1672761074">
      <w:bodyDiv w:val="1"/>
      <w:marLeft w:val="0"/>
      <w:marRight w:val="0"/>
      <w:marTop w:val="0"/>
      <w:marBottom w:val="0"/>
      <w:divBdr>
        <w:top w:val="none" w:sz="0" w:space="0" w:color="auto"/>
        <w:left w:val="none" w:sz="0" w:space="0" w:color="auto"/>
        <w:bottom w:val="none" w:sz="0" w:space="0" w:color="auto"/>
        <w:right w:val="none" w:sz="0" w:space="0" w:color="auto"/>
      </w:divBdr>
    </w:div>
    <w:div w:id="1684934065">
      <w:bodyDiv w:val="1"/>
      <w:marLeft w:val="0"/>
      <w:marRight w:val="0"/>
      <w:marTop w:val="0"/>
      <w:marBottom w:val="0"/>
      <w:divBdr>
        <w:top w:val="none" w:sz="0" w:space="0" w:color="auto"/>
        <w:left w:val="none" w:sz="0" w:space="0" w:color="auto"/>
        <w:bottom w:val="none" w:sz="0" w:space="0" w:color="auto"/>
        <w:right w:val="none" w:sz="0" w:space="0" w:color="auto"/>
      </w:divBdr>
    </w:div>
    <w:div w:id="1698003850">
      <w:bodyDiv w:val="1"/>
      <w:marLeft w:val="0"/>
      <w:marRight w:val="0"/>
      <w:marTop w:val="0"/>
      <w:marBottom w:val="0"/>
      <w:divBdr>
        <w:top w:val="none" w:sz="0" w:space="0" w:color="auto"/>
        <w:left w:val="none" w:sz="0" w:space="0" w:color="auto"/>
        <w:bottom w:val="none" w:sz="0" w:space="0" w:color="auto"/>
        <w:right w:val="none" w:sz="0" w:space="0" w:color="auto"/>
      </w:divBdr>
    </w:div>
    <w:div w:id="1699546694">
      <w:bodyDiv w:val="1"/>
      <w:marLeft w:val="0"/>
      <w:marRight w:val="0"/>
      <w:marTop w:val="0"/>
      <w:marBottom w:val="0"/>
      <w:divBdr>
        <w:top w:val="none" w:sz="0" w:space="0" w:color="auto"/>
        <w:left w:val="none" w:sz="0" w:space="0" w:color="auto"/>
        <w:bottom w:val="none" w:sz="0" w:space="0" w:color="auto"/>
        <w:right w:val="none" w:sz="0" w:space="0" w:color="auto"/>
      </w:divBdr>
    </w:div>
    <w:div w:id="1809324743">
      <w:bodyDiv w:val="1"/>
      <w:marLeft w:val="0"/>
      <w:marRight w:val="0"/>
      <w:marTop w:val="0"/>
      <w:marBottom w:val="0"/>
      <w:divBdr>
        <w:top w:val="none" w:sz="0" w:space="0" w:color="auto"/>
        <w:left w:val="none" w:sz="0" w:space="0" w:color="auto"/>
        <w:bottom w:val="none" w:sz="0" w:space="0" w:color="auto"/>
        <w:right w:val="none" w:sz="0" w:space="0" w:color="auto"/>
      </w:divBdr>
    </w:div>
    <w:div w:id="1812743583">
      <w:bodyDiv w:val="1"/>
      <w:marLeft w:val="0"/>
      <w:marRight w:val="0"/>
      <w:marTop w:val="0"/>
      <w:marBottom w:val="0"/>
      <w:divBdr>
        <w:top w:val="none" w:sz="0" w:space="0" w:color="auto"/>
        <w:left w:val="none" w:sz="0" w:space="0" w:color="auto"/>
        <w:bottom w:val="none" w:sz="0" w:space="0" w:color="auto"/>
        <w:right w:val="none" w:sz="0" w:space="0" w:color="auto"/>
      </w:divBdr>
    </w:div>
    <w:div w:id="1898663704">
      <w:bodyDiv w:val="1"/>
      <w:marLeft w:val="0"/>
      <w:marRight w:val="0"/>
      <w:marTop w:val="0"/>
      <w:marBottom w:val="0"/>
      <w:divBdr>
        <w:top w:val="none" w:sz="0" w:space="0" w:color="auto"/>
        <w:left w:val="none" w:sz="0" w:space="0" w:color="auto"/>
        <w:bottom w:val="none" w:sz="0" w:space="0" w:color="auto"/>
        <w:right w:val="none" w:sz="0" w:space="0" w:color="auto"/>
      </w:divBdr>
    </w:div>
    <w:div w:id="1933199768">
      <w:bodyDiv w:val="1"/>
      <w:marLeft w:val="0"/>
      <w:marRight w:val="0"/>
      <w:marTop w:val="0"/>
      <w:marBottom w:val="0"/>
      <w:divBdr>
        <w:top w:val="none" w:sz="0" w:space="0" w:color="auto"/>
        <w:left w:val="none" w:sz="0" w:space="0" w:color="auto"/>
        <w:bottom w:val="none" w:sz="0" w:space="0" w:color="auto"/>
        <w:right w:val="none" w:sz="0" w:space="0" w:color="auto"/>
      </w:divBdr>
    </w:div>
    <w:div w:id="1935936228">
      <w:bodyDiv w:val="1"/>
      <w:marLeft w:val="0"/>
      <w:marRight w:val="0"/>
      <w:marTop w:val="0"/>
      <w:marBottom w:val="0"/>
      <w:divBdr>
        <w:top w:val="none" w:sz="0" w:space="0" w:color="auto"/>
        <w:left w:val="none" w:sz="0" w:space="0" w:color="auto"/>
        <w:bottom w:val="none" w:sz="0" w:space="0" w:color="auto"/>
        <w:right w:val="none" w:sz="0" w:space="0" w:color="auto"/>
      </w:divBdr>
    </w:div>
    <w:div w:id="1968655130">
      <w:bodyDiv w:val="1"/>
      <w:marLeft w:val="0"/>
      <w:marRight w:val="0"/>
      <w:marTop w:val="0"/>
      <w:marBottom w:val="0"/>
      <w:divBdr>
        <w:top w:val="none" w:sz="0" w:space="0" w:color="auto"/>
        <w:left w:val="none" w:sz="0" w:space="0" w:color="auto"/>
        <w:bottom w:val="none" w:sz="0" w:space="0" w:color="auto"/>
        <w:right w:val="none" w:sz="0" w:space="0" w:color="auto"/>
      </w:divBdr>
    </w:div>
    <w:div w:id="2089496861">
      <w:bodyDiv w:val="1"/>
      <w:marLeft w:val="0"/>
      <w:marRight w:val="0"/>
      <w:marTop w:val="0"/>
      <w:marBottom w:val="0"/>
      <w:divBdr>
        <w:top w:val="none" w:sz="0" w:space="0" w:color="auto"/>
        <w:left w:val="none" w:sz="0" w:space="0" w:color="auto"/>
        <w:bottom w:val="none" w:sz="0" w:space="0" w:color="auto"/>
        <w:right w:val="none" w:sz="0" w:space="0" w:color="auto"/>
      </w:divBdr>
    </w:div>
    <w:div w:id="213420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ata\Common\Common\Personnel\Standards\Monthly%20Exec%20Report\Resources%202023-24\April%2023%20-%20March%2024%20Summa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llidaySa\AppData\Local\Microsoft\Windows\INetCache\Content.Outlook\G5WQMOZA\Number%20of%20vacancies%20by%20Grad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rebuchet MS" panose="020B0603020202020204" pitchFamily="34" charset="0"/>
                <a:ea typeface="+mn-ea"/>
                <a:cs typeface="+mn-cs"/>
              </a:defRPr>
            </a:pPr>
            <a:r>
              <a:rPr lang="en-GB">
                <a:solidFill>
                  <a:sysClr val="windowText" lastClr="000000"/>
                </a:solidFill>
                <a:latin typeface="Trebuchet MS" panose="020B0603020202020204" pitchFamily="34" charset="0"/>
              </a:rPr>
              <a:t>AGE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rebuchet MS" panose="020B0603020202020204" pitchFamily="34" charset="0"/>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8EB-461F-AEAE-EB84862A0B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8EB-461F-AEAE-EB84862A0B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8EB-461F-AEAE-EB84862A0BA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8EB-461F-AEAE-EB84862A0BA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8EB-461F-AEAE-EB84862A0BAB}"/>
              </c:ext>
            </c:extLst>
          </c:dPt>
          <c:dLbls>
            <c:dLbl>
              <c:idx val="1"/>
              <c:layout>
                <c:manualLayout>
                  <c:x val="0.10454628564687841"/>
                  <c:y val="3.18629402093968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8EB-461F-AEAE-EB84862A0BA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Sheet1!$G$20:$G$24</c:f>
              <c:strCache>
                <c:ptCount val="5"/>
                <c:pt idx="0">
                  <c:v>AGE PROFILE</c:v>
                </c:pt>
                <c:pt idx="1">
                  <c:v>&lt;25</c:v>
                </c:pt>
                <c:pt idx="2">
                  <c:v>25-39</c:v>
                </c:pt>
                <c:pt idx="3">
                  <c:v>40-55</c:v>
                </c:pt>
                <c:pt idx="4">
                  <c:v>&gt;55</c:v>
                </c:pt>
              </c:strCache>
            </c:strRef>
          </c:cat>
          <c:val>
            <c:numRef>
              <c:f>Sheet1!$H$20:$H$24</c:f>
              <c:numCache>
                <c:formatCode>0%</c:formatCode>
                <c:ptCount val="5"/>
                <c:pt idx="1">
                  <c:v>3.4210526315789476E-2</c:v>
                </c:pt>
                <c:pt idx="2">
                  <c:v>0.27105263157894738</c:v>
                </c:pt>
                <c:pt idx="3">
                  <c:v>0.44473684210526315</c:v>
                </c:pt>
                <c:pt idx="4">
                  <c:v>0.25</c:v>
                </c:pt>
              </c:numCache>
            </c:numRef>
          </c:val>
          <c:extLst>
            <c:ext xmlns:c16="http://schemas.microsoft.com/office/drawing/2014/chart" uri="{C3380CC4-5D6E-409C-BE32-E72D297353CC}">
              <c16:uniqueId val="{0000000A-A8EB-461F-AEAE-EB84862A0B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Trebuchet MS" panose="020B0603020202020204" pitchFamily="34" charset="0"/>
                <a:ea typeface="+mn-ea"/>
                <a:cs typeface="+mn-cs"/>
              </a:defRPr>
            </a:pPr>
            <a:r>
              <a:rPr lang="en-GB" sz="1400" b="0">
                <a:solidFill>
                  <a:sysClr val="windowText" lastClr="000000"/>
                </a:solidFill>
                <a:latin typeface="Trebuchet MS" panose="020B0603020202020204" pitchFamily="34" charset="0"/>
              </a:rPr>
              <a:t>Length</a:t>
            </a:r>
            <a:r>
              <a:rPr lang="en-GB" sz="1400" b="0" baseline="0">
                <a:solidFill>
                  <a:sysClr val="windowText" lastClr="000000"/>
                </a:solidFill>
                <a:latin typeface="Trebuchet MS" panose="020B0603020202020204" pitchFamily="34" charset="0"/>
              </a:rPr>
              <a:t> of Service</a:t>
            </a:r>
            <a:endParaRPr lang="en-GB" sz="1400" b="0">
              <a:solidFill>
                <a:sysClr val="windowText" lastClr="000000"/>
              </a:solidFill>
              <a:latin typeface="Trebuchet MS" panose="020B0603020202020204" pitchFamily="34" charset="0"/>
            </a:endParaRPr>
          </a:p>
        </c:rich>
      </c:tx>
      <c:layout>
        <c:manualLayout>
          <c:xMode val="edge"/>
          <c:yMode val="edge"/>
          <c:x val="0.18442390730935312"/>
          <c:y val="5.2213576853189211E-2"/>
        </c:manualLayout>
      </c:layout>
      <c:overlay val="0"/>
      <c:spPr>
        <a:noFill/>
        <a:ln>
          <a:noFill/>
        </a:ln>
        <a:effectLst/>
      </c:spPr>
      <c:txPr>
        <a:bodyPr rot="0" spcFirstLastPara="1" vertOverflow="ellipsis" vert="horz" wrap="square" anchor="ctr" anchorCtr="1"/>
        <a:lstStyle/>
        <a:p>
          <a:pPr algn="l">
            <a:defRPr sz="1400" b="1" i="0" u="none" strike="noStrike" kern="1200" cap="all" spc="50" baseline="0">
              <a:solidFill>
                <a:schemeClr val="tx1">
                  <a:lumMod val="65000"/>
                  <a:lumOff val="35000"/>
                </a:schemeClr>
              </a:solidFill>
              <a:latin typeface="Trebuchet MS" panose="020B0603020202020204" pitchFamily="34" charset="0"/>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B90-4DB9-891B-01C5E4356A5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B90-4DB9-891B-01C5E4356A5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B90-4DB9-891B-01C5E4356A5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DB90-4DB9-891B-01C5E4356A5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rebuchet MS" panose="020B0603020202020204" pitchFamily="34"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Sheet2!$A$12:$A$15</c:f>
              <c:strCache>
                <c:ptCount val="4"/>
                <c:pt idx="0">
                  <c:v>&gt;1</c:v>
                </c:pt>
                <c:pt idx="1">
                  <c:v>1-5</c:v>
                </c:pt>
                <c:pt idx="2">
                  <c:v>6-10</c:v>
                </c:pt>
                <c:pt idx="3">
                  <c:v>&gt;11</c:v>
                </c:pt>
              </c:strCache>
            </c:strRef>
          </c:cat>
          <c:val>
            <c:numRef>
              <c:f>Sheet2!$B$12:$B$15</c:f>
              <c:numCache>
                <c:formatCode>General</c:formatCode>
                <c:ptCount val="4"/>
                <c:pt idx="0">
                  <c:v>14</c:v>
                </c:pt>
                <c:pt idx="1">
                  <c:v>108</c:v>
                </c:pt>
                <c:pt idx="2">
                  <c:v>44</c:v>
                </c:pt>
                <c:pt idx="3">
                  <c:v>214</c:v>
                </c:pt>
              </c:numCache>
            </c:numRef>
          </c:val>
          <c:extLst>
            <c:ext xmlns:c16="http://schemas.microsoft.com/office/drawing/2014/chart" uri="{C3380CC4-5D6E-409C-BE32-E72D297353CC}">
              <c16:uniqueId val="{00000008-DB90-4DB9-891B-01C5E4356A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Percentage absence</a:t>
            </a:r>
          </a:p>
        </c:rich>
      </c:tx>
      <c:layout>
        <c:manualLayout>
          <c:xMode val="edge"/>
          <c:yMode val="edge"/>
          <c:x val="0.35807034408764743"/>
          <c:y val="2.13333333333333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'Board Report Stats'!$B$31</c:f>
              <c:strCache>
                <c:ptCount val="1"/>
                <c:pt idx="0">
                  <c:v>22/23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 Stats'!$C$30:$H$30</c:f>
              <c:strCache>
                <c:ptCount val="6"/>
                <c:pt idx="0">
                  <c:v>5 days or less</c:v>
                </c:pt>
                <c:pt idx="1">
                  <c:v>6 to 20 days</c:v>
                </c:pt>
                <c:pt idx="2">
                  <c:v>21 to 40 days</c:v>
                </c:pt>
                <c:pt idx="3">
                  <c:v>41 days and over</c:v>
                </c:pt>
                <c:pt idx="4">
                  <c:v>Phased</c:v>
                </c:pt>
                <c:pt idx="5">
                  <c:v>Total</c:v>
                </c:pt>
              </c:strCache>
            </c:strRef>
          </c:cat>
          <c:val>
            <c:numRef>
              <c:f>'Board Report Stats'!$C$31:$H$31</c:f>
              <c:numCache>
                <c:formatCode>0.0%</c:formatCode>
                <c:ptCount val="6"/>
                <c:pt idx="0">
                  <c:v>1.2E-2</c:v>
                </c:pt>
                <c:pt idx="1">
                  <c:v>0.01</c:v>
                </c:pt>
                <c:pt idx="2">
                  <c:v>7.0000000000000001E-3</c:v>
                </c:pt>
                <c:pt idx="3">
                  <c:v>1.0999999999999999E-2</c:v>
                </c:pt>
                <c:pt idx="4">
                  <c:v>2E-3</c:v>
                </c:pt>
                <c:pt idx="5">
                  <c:v>4.2999999999999997E-2</c:v>
                </c:pt>
              </c:numCache>
            </c:numRef>
          </c:val>
          <c:extLst>
            <c:ext xmlns:c16="http://schemas.microsoft.com/office/drawing/2014/chart" uri="{C3380CC4-5D6E-409C-BE32-E72D297353CC}">
              <c16:uniqueId val="{00000000-8D3D-45DA-8CB1-7B612D8AAA9C}"/>
            </c:ext>
          </c:extLst>
        </c:ser>
        <c:ser>
          <c:idx val="1"/>
          <c:order val="1"/>
          <c:tx>
            <c:strRef>
              <c:f>'Board Report Stats'!$B$32</c:f>
              <c:strCache>
                <c:ptCount val="1"/>
                <c:pt idx="0">
                  <c:v>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 Stats'!$C$30:$H$30</c:f>
              <c:strCache>
                <c:ptCount val="6"/>
                <c:pt idx="0">
                  <c:v>5 days or less</c:v>
                </c:pt>
                <c:pt idx="1">
                  <c:v>6 to 20 days</c:v>
                </c:pt>
                <c:pt idx="2">
                  <c:v>21 to 40 days</c:v>
                </c:pt>
                <c:pt idx="3">
                  <c:v>41 days and over</c:v>
                </c:pt>
                <c:pt idx="4">
                  <c:v>Phased</c:v>
                </c:pt>
                <c:pt idx="5">
                  <c:v>Total</c:v>
                </c:pt>
              </c:strCache>
            </c:strRef>
          </c:cat>
          <c:val>
            <c:numRef>
              <c:f>'Board Report Stats'!$C$32:$H$32</c:f>
              <c:numCache>
                <c:formatCode>0.0%</c:formatCode>
                <c:ptCount val="6"/>
                <c:pt idx="0">
                  <c:v>1.1565602306635852E-2</c:v>
                </c:pt>
                <c:pt idx="1">
                  <c:v>6.7712737797647176E-3</c:v>
                </c:pt>
                <c:pt idx="2">
                  <c:v>7.7365569724558141E-3</c:v>
                </c:pt>
                <c:pt idx="3">
                  <c:v>1.9745028581867264E-2</c:v>
                </c:pt>
                <c:pt idx="4">
                  <c:v>1.7832810349950453E-3</c:v>
                </c:pt>
                <c:pt idx="5">
                  <c:v>4.7601742675718678E-2</c:v>
                </c:pt>
              </c:numCache>
            </c:numRef>
          </c:val>
          <c:extLst>
            <c:ext xmlns:c16="http://schemas.microsoft.com/office/drawing/2014/chart" uri="{C3380CC4-5D6E-409C-BE32-E72D297353CC}">
              <c16:uniqueId val="{00000001-8D3D-45DA-8CB1-7B612D8AAA9C}"/>
            </c:ext>
          </c:extLst>
        </c:ser>
        <c:dLbls>
          <c:dLblPos val="outEnd"/>
          <c:showLegendKey val="0"/>
          <c:showVal val="1"/>
          <c:showCatName val="0"/>
          <c:showSerName val="0"/>
          <c:showPercent val="0"/>
          <c:showBubbleSize val="0"/>
        </c:dLbls>
        <c:gapWidth val="219"/>
        <c:overlap val="-27"/>
        <c:axId val="627592808"/>
        <c:axId val="627597728"/>
      </c:barChart>
      <c:catAx>
        <c:axId val="62759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597728"/>
        <c:crosses val="autoZero"/>
        <c:auto val="1"/>
        <c:lblAlgn val="ctr"/>
        <c:lblOffset val="100"/>
        <c:noMultiLvlLbl val="0"/>
      </c:catAx>
      <c:valAx>
        <c:axId val="627597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592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a:latin typeface="Trebuchet MS" panose="020B0603020202020204" pitchFamily="34" charset="0"/>
              </a:rPr>
              <a:t>Number of vacancies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'Vacancies by Grade'!$B$1</c:f>
              <c:strCache>
                <c:ptCount val="1"/>
                <c:pt idx="0">
                  <c:v>Number of vacancies</c:v>
                </c:pt>
              </c:strCache>
            </c:strRef>
          </c:tx>
          <c:spPr>
            <a:solidFill>
              <a:schemeClr val="accent1"/>
            </a:solidFill>
            <a:ln>
              <a:noFill/>
            </a:ln>
            <a:effectLst/>
          </c:spPr>
          <c:invertIfNegative val="0"/>
          <c:cat>
            <c:strRef>
              <c:f>'Vacancies by Grade'!$A$2:$A$12</c:f>
              <c:strCache>
                <c:ptCount val="11"/>
                <c:pt idx="0">
                  <c:v>1</c:v>
                </c:pt>
                <c:pt idx="1">
                  <c:v>2</c:v>
                </c:pt>
                <c:pt idx="2">
                  <c:v>3</c:v>
                </c:pt>
                <c:pt idx="3">
                  <c:v>4</c:v>
                </c:pt>
                <c:pt idx="4">
                  <c:v>5</c:v>
                </c:pt>
                <c:pt idx="5">
                  <c:v>5 or 6</c:v>
                </c:pt>
                <c:pt idx="6">
                  <c:v>6</c:v>
                </c:pt>
                <c:pt idx="7">
                  <c:v>7</c:v>
                </c:pt>
                <c:pt idx="8">
                  <c:v>8</c:v>
                </c:pt>
                <c:pt idx="9">
                  <c:v>9</c:v>
                </c:pt>
                <c:pt idx="10">
                  <c:v>Total</c:v>
                </c:pt>
              </c:strCache>
            </c:strRef>
          </c:cat>
          <c:val>
            <c:numRef>
              <c:f>'Vacancies by Grade'!$B$2:$B$12</c:f>
              <c:numCache>
                <c:formatCode>General</c:formatCode>
                <c:ptCount val="11"/>
                <c:pt idx="0">
                  <c:v>0</c:v>
                </c:pt>
                <c:pt idx="1">
                  <c:v>5</c:v>
                </c:pt>
                <c:pt idx="2">
                  <c:v>6</c:v>
                </c:pt>
                <c:pt idx="3">
                  <c:v>2</c:v>
                </c:pt>
                <c:pt idx="4">
                  <c:v>2</c:v>
                </c:pt>
                <c:pt idx="5">
                  <c:v>5</c:v>
                </c:pt>
                <c:pt idx="6">
                  <c:v>4</c:v>
                </c:pt>
                <c:pt idx="7">
                  <c:v>11</c:v>
                </c:pt>
                <c:pt idx="8">
                  <c:v>0</c:v>
                </c:pt>
                <c:pt idx="9">
                  <c:v>0</c:v>
                </c:pt>
                <c:pt idx="10">
                  <c:v>35</c:v>
                </c:pt>
              </c:numCache>
            </c:numRef>
          </c:val>
          <c:extLst>
            <c:ext xmlns:c16="http://schemas.microsoft.com/office/drawing/2014/chart" uri="{C3380CC4-5D6E-409C-BE32-E72D297353CC}">
              <c16:uniqueId val="{00000000-1634-4621-BD7D-278EF98AF2AC}"/>
            </c:ext>
          </c:extLst>
        </c:ser>
        <c:dLbls>
          <c:showLegendKey val="0"/>
          <c:showVal val="0"/>
          <c:showCatName val="0"/>
          <c:showSerName val="0"/>
          <c:showPercent val="0"/>
          <c:showBubbleSize val="0"/>
        </c:dLbls>
        <c:gapWidth val="219"/>
        <c:overlap val="-27"/>
        <c:axId val="1543399680"/>
        <c:axId val="1543400640"/>
      </c:barChart>
      <c:catAx>
        <c:axId val="154339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543400640"/>
        <c:crosses val="autoZero"/>
        <c:auto val="1"/>
        <c:lblAlgn val="ctr"/>
        <c:lblOffset val="100"/>
        <c:noMultiLvlLbl val="0"/>
      </c:catAx>
      <c:valAx>
        <c:axId val="1543400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rebuchet MS" panose="020B0603020202020204" pitchFamily="34" charset="0"/>
                <a:ea typeface="+mn-ea"/>
                <a:cs typeface="+mn-cs"/>
              </a:defRPr>
            </a:pPr>
            <a:endParaRPr lang="en-US"/>
          </a:p>
        </c:txPr>
        <c:crossAx val="1543399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8CBA6D5ACB243C5883AC53EF4918A29"/>
        <w:category>
          <w:name w:val="General"/>
          <w:gallery w:val="placeholder"/>
        </w:category>
        <w:types>
          <w:type w:val="bbPlcHdr"/>
        </w:types>
        <w:behaviors>
          <w:behavior w:val="content"/>
        </w:behaviors>
        <w:guid w:val="{1C7D05FC-F782-498A-AFB6-F56E3CE8F536}"/>
      </w:docPartPr>
      <w:docPartBody>
        <w:p w:rsidR="009B7D00" w:rsidRDefault="00B16694" w:rsidP="00B16694">
          <w:r w:rsidRPr="005B62F8">
            <w:rPr>
              <w:rStyle w:val="PlaceholderText"/>
            </w:rPr>
            <w:t>Choose an item.</w:t>
          </w:r>
        </w:p>
      </w:docPartBody>
    </w:docPart>
    <w:docPart>
      <w:docPartPr>
        <w:name w:val="645A5992FB0F48BE90E53186A12B6498"/>
        <w:category>
          <w:name w:val="General"/>
          <w:gallery w:val="placeholder"/>
        </w:category>
        <w:types>
          <w:type w:val="bbPlcHdr"/>
        </w:types>
        <w:behaviors>
          <w:behavior w:val="content"/>
        </w:behaviors>
        <w:guid w:val="{25708419-C7EE-4074-98AB-B47D5AE2498F}"/>
      </w:docPartPr>
      <w:docPartBody>
        <w:p w:rsidR="009B7D00" w:rsidRDefault="00B16694" w:rsidP="00B16694">
          <w:r w:rsidRPr="005B62F8">
            <w:rPr>
              <w:rStyle w:val="PlaceholderText"/>
            </w:rPr>
            <w:t>Choose an item.</w:t>
          </w:r>
        </w:p>
      </w:docPartBody>
    </w:docPart>
    <w:docPart>
      <w:docPartPr>
        <w:name w:val="ABD345D267BA412DB9FD676C473BD746"/>
        <w:category>
          <w:name w:val="General"/>
          <w:gallery w:val="placeholder"/>
        </w:category>
        <w:types>
          <w:type w:val="bbPlcHdr"/>
        </w:types>
        <w:behaviors>
          <w:behavior w:val="content"/>
        </w:behaviors>
        <w:guid w:val="{D163DDCA-591B-4102-942B-1C6C508CEC7C}"/>
      </w:docPartPr>
      <w:docPartBody>
        <w:p w:rsidR="009B7D00" w:rsidRDefault="00B16694" w:rsidP="00B16694">
          <w:r w:rsidRPr="005B62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M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0"/>
    <w:rsid w:val="00011622"/>
    <w:rsid w:val="00020A5D"/>
    <w:rsid w:val="000751EE"/>
    <w:rsid w:val="0008254D"/>
    <w:rsid w:val="00093CAF"/>
    <w:rsid w:val="000A70AB"/>
    <w:rsid w:val="000A78BB"/>
    <w:rsid w:val="000B7F1F"/>
    <w:rsid w:val="000E1789"/>
    <w:rsid w:val="001173CC"/>
    <w:rsid w:val="00131946"/>
    <w:rsid w:val="00143A95"/>
    <w:rsid w:val="00152374"/>
    <w:rsid w:val="001840EB"/>
    <w:rsid w:val="001C028C"/>
    <w:rsid w:val="001C7F4A"/>
    <w:rsid w:val="001D2A4F"/>
    <w:rsid w:val="00236729"/>
    <w:rsid w:val="00242B6A"/>
    <w:rsid w:val="0024629A"/>
    <w:rsid w:val="002937B9"/>
    <w:rsid w:val="002E21C1"/>
    <w:rsid w:val="0036285B"/>
    <w:rsid w:val="00371CDB"/>
    <w:rsid w:val="003A300D"/>
    <w:rsid w:val="003B7580"/>
    <w:rsid w:val="003C2ADE"/>
    <w:rsid w:val="00442D0D"/>
    <w:rsid w:val="004A330F"/>
    <w:rsid w:val="004C4E6C"/>
    <w:rsid w:val="00502EB9"/>
    <w:rsid w:val="00534A4E"/>
    <w:rsid w:val="00577C38"/>
    <w:rsid w:val="00584FEE"/>
    <w:rsid w:val="005D16FF"/>
    <w:rsid w:val="005D7A8C"/>
    <w:rsid w:val="005E4838"/>
    <w:rsid w:val="005E6D58"/>
    <w:rsid w:val="005F397E"/>
    <w:rsid w:val="005F3A40"/>
    <w:rsid w:val="005F583C"/>
    <w:rsid w:val="00602A1F"/>
    <w:rsid w:val="006145CD"/>
    <w:rsid w:val="00621B95"/>
    <w:rsid w:val="00635D85"/>
    <w:rsid w:val="00663086"/>
    <w:rsid w:val="00683FAA"/>
    <w:rsid w:val="006925B2"/>
    <w:rsid w:val="006A7B10"/>
    <w:rsid w:val="00722DF7"/>
    <w:rsid w:val="00737ED2"/>
    <w:rsid w:val="007670B5"/>
    <w:rsid w:val="00777AEF"/>
    <w:rsid w:val="007A1667"/>
    <w:rsid w:val="007C047A"/>
    <w:rsid w:val="007F2B53"/>
    <w:rsid w:val="00824F09"/>
    <w:rsid w:val="00845C7D"/>
    <w:rsid w:val="008C4E86"/>
    <w:rsid w:val="008E3B45"/>
    <w:rsid w:val="008F4D4A"/>
    <w:rsid w:val="0091637C"/>
    <w:rsid w:val="00916F4C"/>
    <w:rsid w:val="00933E31"/>
    <w:rsid w:val="00970D49"/>
    <w:rsid w:val="00995DB1"/>
    <w:rsid w:val="009A32BA"/>
    <w:rsid w:val="009B40C3"/>
    <w:rsid w:val="009B7D00"/>
    <w:rsid w:val="009C79EE"/>
    <w:rsid w:val="009F4A06"/>
    <w:rsid w:val="009F5573"/>
    <w:rsid w:val="00A23821"/>
    <w:rsid w:val="00A429C7"/>
    <w:rsid w:val="00A60664"/>
    <w:rsid w:val="00A9517E"/>
    <w:rsid w:val="00AB288E"/>
    <w:rsid w:val="00B16694"/>
    <w:rsid w:val="00B3048B"/>
    <w:rsid w:val="00B31D42"/>
    <w:rsid w:val="00B44A1B"/>
    <w:rsid w:val="00B501CF"/>
    <w:rsid w:val="00B70268"/>
    <w:rsid w:val="00B71EF5"/>
    <w:rsid w:val="00BD7DC5"/>
    <w:rsid w:val="00C17367"/>
    <w:rsid w:val="00C20850"/>
    <w:rsid w:val="00C37AC2"/>
    <w:rsid w:val="00C56284"/>
    <w:rsid w:val="00CC0751"/>
    <w:rsid w:val="00CC51AA"/>
    <w:rsid w:val="00CD04F5"/>
    <w:rsid w:val="00CD5D7B"/>
    <w:rsid w:val="00D01284"/>
    <w:rsid w:val="00D052EA"/>
    <w:rsid w:val="00D16086"/>
    <w:rsid w:val="00D24F2C"/>
    <w:rsid w:val="00D35CEB"/>
    <w:rsid w:val="00D44B4B"/>
    <w:rsid w:val="00D80491"/>
    <w:rsid w:val="00D92C9C"/>
    <w:rsid w:val="00DB4839"/>
    <w:rsid w:val="00DC6757"/>
    <w:rsid w:val="00DE14A1"/>
    <w:rsid w:val="00E73C01"/>
    <w:rsid w:val="00E83C0F"/>
    <w:rsid w:val="00E91E6A"/>
    <w:rsid w:val="00F124C1"/>
    <w:rsid w:val="00F17B9D"/>
    <w:rsid w:val="00F34AB9"/>
    <w:rsid w:val="00F363CF"/>
    <w:rsid w:val="00F52BE9"/>
    <w:rsid w:val="00F9262C"/>
    <w:rsid w:val="00F97E63"/>
    <w:rsid w:val="00FB41CD"/>
    <w:rsid w:val="00FE100F"/>
    <w:rsid w:val="00FE3EEC"/>
    <w:rsid w:val="00FE500B"/>
    <w:rsid w:val="00FE75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E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Sarah Halliday</DisplayName>
        <AccountId>27</AccountId>
        <AccountType/>
      </UserInfo>
    </SharedWithUsers>
    <Retention xmlns="ddc97c0f-92d3-40cc-8a88-afbef9d2f0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E8124-F9D3-4F14-9AE4-CAD5CC01C844}">
  <ds:schemaRefs>
    <ds:schemaRef ds:uri="3704ac3b-17c7-4ff4-af57-3e3636930402"/>
    <ds:schemaRef ds:uri="http://purl.org/dc/elements/1.1/"/>
    <ds:schemaRef ds:uri="59efbd73-5937-4885-a7ac-8ae5c6ee11b7"/>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f77c8e73-1a92-43ae-87b4-1041e4b5416f"/>
    <ds:schemaRef ds:uri="ddc97c0f-92d3-40cc-8a88-afbef9d2f083"/>
  </ds:schemaRefs>
</ds:datastoreItem>
</file>

<file path=customXml/itemProps2.xml><?xml version="1.0" encoding="utf-8"?>
<ds:datastoreItem xmlns:ds="http://schemas.openxmlformats.org/officeDocument/2006/customXml" ds:itemID="{B5E74EB7-DB90-4579-9901-95104C1E0EEA}">
  <ds:schemaRefs>
    <ds:schemaRef ds:uri="http://schemas.microsoft.com/sharepoint/v3/contenttype/forms"/>
  </ds:schemaRefs>
</ds:datastoreItem>
</file>

<file path=customXml/itemProps3.xml><?xml version="1.0" encoding="utf-8"?>
<ds:datastoreItem xmlns:ds="http://schemas.openxmlformats.org/officeDocument/2006/customXml" ds:itemID="{2EF0EDF2-E0EC-46BE-8033-C85E48B6B524}">
  <ds:schemaRefs>
    <ds:schemaRef ds:uri="http://schemas.openxmlformats.org/officeDocument/2006/bibliography"/>
  </ds:schemaRefs>
</ds:datastoreItem>
</file>

<file path=customXml/itemProps4.xml><?xml version="1.0" encoding="utf-8"?>
<ds:datastoreItem xmlns:ds="http://schemas.openxmlformats.org/officeDocument/2006/customXml" ds:itemID="{F40170B9-8358-4C0E-8D7F-841C78E25B80}">
  <ds:schemaRefs>
    <ds:schemaRef ds:uri="http://schemas.openxmlformats.org/officeDocument/2006/bibliography"/>
  </ds:schemaRefs>
</ds:datastoreItem>
</file>

<file path=customXml/itemProps5.xml><?xml version="1.0" encoding="utf-8"?>
<ds:datastoreItem xmlns:ds="http://schemas.openxmlformats.org/officeDocument/2006/customXml" ds:itemID="{822BE34E-3E8E-489D-8786-BDD075A93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The Scottish Legal Aid Board</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Annual Report May 2024</dc:title>
  <dc:subject>Board papers</dc:subject>
  <dc:creator>Scottish Legal Aid Board</dc:creator>
  <cp:keywords/>
  <dc:description/>
  <cp:lastModifiedBy>Lindsay Corr</cp:lastModifiedBy>
  <cp:revision>2</cp:revision>
  <cp:lastPrinted>2021-02-25T23:26:00Z</cp:lastPrinted>
  <dcterms:created xsi:type="dcterms:W3CDTF">2024-11-15T14:39:00Z</dcterms:created>
  <dcterms:modified xsi:type="dcterms:W3CDTF">2024-11-15T14:39:00Z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ies>
</file>