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031"/>
        <w:tblW w:w="9493" w:type="dxa"/>
        <w:tblLayout w:type="fixed"/>
        <w:tblLook w:val="04A0" w:firstRow="1" w:lastRow="0" w:firstColumn="1" w:lastColumn="0" w:noHBand="0" w:noVBand="1"/>
      </w:tblPr>
      <w:tblGrid>
        <w:gridCol w:w="2547"/>
        <w:gridCol w:w="6946"/>
      </w:tblGrid>
      <w:tr w:rsidR="00BC75B3" w:rsidRPr="00BC75B3" w14:paraId="310601CC" w14:textId="77777777" w:rsidTr="00096912">
        <w:tc>
          <w:tcPr>
            <w:tcW w:w="2547" w:type="dxa"/>
            <w:shd w:val="clear" w:color="auto" w:fill="D9D9D9" w:themeFill="background1" w:themeFillShade="D9"/>
          </w:tcPr>
          <w:p w14:paraId="0A30CFDA" w14:textId="77777777" w:rsidR="00F77A60" w:rsidRPr="00BC75B3" w:rsidRDefault="00F77A60" w:rsidP="00054A64">
            <w:r w:rsidRPr="00BC75B3">
              <w:t>Report to:</w:t>
            </w:r>
          </w:p>
        </w:tc>
        <w:sdt>
          <w:sdtPr>
            <w:rPr>
              <w:color w:val="2B579A"/>
              <w:shd w:val="clear" w:color="auto" w:fill="E6E6E6"/>
            </w:rPr>
            <w:alias w:val="Report to"/>
            <w:tag w:val="Report to"/>
            <w:id w:val="-2087455742"/>
            <w:placeholder>
              <w:docPart w:val="7597A81870574F16ACD2F2F1901526BB"/>
            </w:placeholder>
            <w:dropDownList>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dropDownList>
          </w:sdtPr>
          <w:sdtEndPr>
            <w:rPr>
              <w:color w:val="auto"/>
              <w:shd w:val="clear" w:color="auto" w:fill="auto"/>
            </w:rPr>
          </w:sdtEndPr>
          <w:sdtContent>
            <w:tc>
              <w:tcPr>
                <w:tcW w:w="6946" w:type="dxa"/>
              </w:tcPr>
              <w:p w14:paraId="0DA2939F" w14:textId="77777777" w:rsidR="00F77A60" w:rsidRPr="00BC75B3" w:rsidRDefault="00F77A60" w:rsidP="00054A64">
                <w:r w:rsidRPr="00BC75B3">
                  <w:t>The Board</w:t>
                </w:r>
              </w:p>
            </w:tc>
          </w:sdtContent>
        </w:sdt>
      </w:tr>
      <w:tr w:rsidR="00BC75B3" w:rsidRPr="00BC75B3" w14:paraId="027F4FB8" w14:textId="77777777" w:rsidTr="00096912">
        <w:tc>
          <w:tcPr>
            <w:tcW w:w="2547" w:type="dxa"/>
            <w:shd w:val="clear" w:color="auto" w:fill="D9D9D9" w:themeFill="background1" w:themeFillShade="D9"/>
          </w:tcPr>
          <w:p w14:paraId="4E7FAA14" w14:textId="77777777" w:rsidR="00F77A60" w:rsidRPr="00BC75B3" w:rsidRDefault="00F77A60" w:rsidP="00054A64">
            <w:r w:rsidRPr="00BC75B3">
              <w:t>Meeting Date:</w:t>
            </w:r>
          </w:p>
        </w:tc>
        <w:tc>
          <w:tcPr>
            <w:tcW w:w="6946" w:type="dxa"/>
          </w:tcPr>
          <w:p w14:paraId="12AC993C" w14:textId="0CA4A725" w:rsidR="00F77A60" w:rsidRPr="0039573E" w:rsidRDefault="00A757F6" w:rsidP="00054A64">
            <w:r>
              <w:t>20 May 2024</w:t>
            </w:r>
          </w:p>
        </w:tc>
      </w:tr>
      <w:tr w:rsidR="00BC75B3" w:rsidRPr="00BC75B3" w14:paraId="24D1DB85" w14:textId="77777777" w:rsidTr="00096912">
        <w:tc>
          <w:tcPr>
            <w:tcW w:w="2547" w:type="dxa"/>
            <w:shd w:val="clear" w:color="auto" w:fill="D9D9D9" w:themeFill="background1" w:themeFillShade="D9"/>
          </w:tcPr>
          <w:p w14:paraId="6921ECCE" w14:textId="77777777" w:rsidR="00F77A60" w:rsidRPr="00BC75B3" w:rsidRDefault="00F77A60" w:rsidP="00054A64">
            <w:r w:rsidRPr="00BC75B3">
              <w:t>Report Title</w:t>
            </w:r>
          </w:p>
        </w:tc>
        <w:tc>
          <w:tcPr>
            <w:tcW w:w="6946" w:type="dxa"/>
          </w:tcPr>
          <w:p w14:paraId="5586860F" w14:textId="10DD5788" w:rsidR="00F77A60" w:rsidRPr="00BC75B3" w:rsidRDefault="00F77A60" w:rsidP="00054A64">
            <w:bookmarkStart w:id="0" w:name="_Hlk182566817"/>
            <w:r w:rsidRPr="00BC75B3">
              <w:t xml:space="preserve">Performance </w:t>
            </w:r>
            <w:r w:rsidR="00CD5F39">
              <w:t xml:space="preserve">Benchmarks </w:t>
            </w:r>
            <w:r w:rsidRPr="00BC75B3">
              <w:t>Report</w:t>
            </w:r>
            <w:bookmarkEnd w:id="0"/>
          </w:p>
        </w:tc>
      </w:tr>
      <w:tr w:rsidR="00BC75B3" w:rsidRPr="00BC75B3" w14:paraId="267286CB" w14:textId="77777777" w:rsidTr="00096912">
        <w:tc>
          <w:tcPr>
            <w:tcW w:w="2547" w:type="dxa"/>
            <w:shd w:val="clear" w:color="auto" w:fill="D9D9D9" w:themeFill="background1" w:themeFillShade="D9"/>
          </w:tcPr>
          <w:p w14:paraId="21DF50A4" w14:textId="77777777" w:rsidR="00F77A60" w:rsidRPr="00BC75B3" w:rsidRDefault="00F77A60" w:rsidP="00054A64">
            <w:r w:rsidRPr="00BC75B3">
              <w:t>Report Category</w:t>
            </w:r>
          </w:p>
        </w:tc>
        <w:tc>
          <w:tcPr>
            <w:tcW w:w="6946" w:type="dxa"/>
          </w:tcPr>
          <w:sdt>
            <w:sdtPr>
              <w:rPr>
                <w:color w:val="2B579A"/>
                <w:shd w:val="clear" w:color="auto" w:fill="E6E6E6"/>
              </w:rPr>
              <w:id w:val="-488241055"/>
              <w:placeholder>
                <w:docPart w:val="B4A46C12E954491F948CC38B4E89D4E3"/>
              </w:placeholder>
              <w:dropDownList>
                <w:listItem w:value="Choose an item."/>
                <w:listItem w:displayText="For Information" w:value="For Information"/>
                <w:listItem w:displayText="For Decision" w:value="For Decision"/>
                <w:listItem w:displayText="For Discussion" w:value="For Discussion"/>
              </w:dropDownList>
            </w:sdtPr>
            <w:sdtEndPr>
              <w:rPr>
                <w:color w:val="auto"/>
                <w:shd w:val="clear" w:color="auto" w:fill="auto"/>
              </w:rPr>
            </w:sdtEndPr>
            <w:sdtContent>
              <w:p w14:paraId="0F255675" w14:textId="77777777" w:rsidR="00F77A60" w:rsidRPr="00BC75B3" w:rsidRDefault="00BE4DEE" w:rsidP="00054A64">
                <w:r>
                  <w:t>For Decision</w:t>
                </w:r>
              </w:p>
            </w:sdtContent>
          </w:sdt>
        </w:tc>
      </w:tr>
      <w:tr w:rsidR="00BC75B3" w:rsidRPr="00BC75B3" w14:paraId="452DBDB7" w14:textId="77777777" w:rsidTr="00096912">
        <w:tc>
          <w:tcPr>
            <w:tcW w:w="2547" w:type="dxa"/>
            <w:shd w:val="clear" w:color="auto" w:fill="D9D9D9" w:themeFill="background1" w:themeFillShade="D9"/>
          </w:tcPr>
          <w:p w14:paraId="1C125D41" w14:textId="18109B0E" w:rsidR="00F77A60" w:rsidRPr="00BC75B3" w:rsidRDefault="00F77A60" w:rsidP="00054A64">
            <w:r w:rsidRPr="00BC75B3">
              <w:t>Issue status:</w:t>
            </w:r>
          </w:p>
        </w:tc>
        <w:sdt>
          <w:sdtPr>
            <w:rPr>
              <w:color w:val="2B579A"/>
              <w:shd w:val="clear" w:color="auto" w:fill="E6E6E6"/>
            </w:rPr>
            <w:id w:val="540716937"/>
            <w:placeholder>
              <w:docPart w:val="447EAB21662B48D3BE7F8D2E168ABED3"/>
            </w:placeholder>
            <w:dropDownList>
              <w:listItem w:value="Choose an item."/>
              <w:listItem w:displayText="Business as usual" w:value="Business as usual"/>
              <w:listItem w:displayText="Business from a project" w:value="Business from a project"/>
              <w:listItem w:displayText="Directorate project" w:value="Directorate project"/>
            </w:dropDownList>
          </w:sdtPr>
          <w:sdtEndPr>
            <w:rPr>
              <w:color w:val="auto"/>
              <w:shd w:val="clear" w:color="auto" w:fill="auto"/>
            </w:rPr>
          </w:sdtEndPr>
          <w:sdtContent>
            <w:tc>
              <w:tcPr>
                <w:tcW w:w="6946" w:type="dxa"/>
              </w:tcPr>
              <w:p w14:paraId="0790482E" w14:textId="77777777" w:rsidR="00F77A60" w:rsidRPr="00BC75B3" w:rsidRDefault="00F77A60" w:rsidP="00054A64">
                <w:r w:rsidRPr="00BC75B3">
                  <w:t>Business as usual</w:t>
                </w:r>
              </w:p>
            </w:tc>
          </w:sdtContent>
        </w:sdt>
      </w:tr>
    </w:tbl>
    <w:p w14:paraId="702379C7" w14:textId="796B7701" w:rsidR="00CD383A" w:rsidRPr="003A50FE" w:rsidRDefault="00820562" w:rsidP="00054A64">
      <w:pPr>
        <w:pStyle w:val="Header"/>
        <w:tabs>
          <w:tab w:val="clear" w:pos="4513"/>
          <w:tab w:val="clear" w:pos="9026"/>
          <w:tab w:val="right" w:pos="9356"/>
        </w:tabs>
        <w:jc w:val="right"/>
        <w:rPr>
          <w:b/>
          <w:bCs/>
          <w:color w:val="000000" w:themeColor="text1"/>
        </w:rPr>
      </w:pPr>
      <w:r w:rsidRPr="003A50FE">
        <w:rPr>
          <w:b/>
          <w:bCs/>
          <w:color w:val="000000" w:themeColor="text1"/>
        </w:rPr>
        <w:t xml:space="preserve">Agenda item: </w:t>
      </w:r>
      <w:r w:rsidR="00201CE7" w:rsidRPr="003A50FE">
        <w:rPr>
          <w:color w:val="000000" w:themeColor="text1"/>
        </w:rPr>
        <w:t>1</w:t>
      </w:r>
      <w:r w:rsidR="00657E43">
        <w:rPr>
          <w:color w:val="000000" w:themeColor="text1"/>
        </w:rPr>
        <w:t>0</w:t>
      </w:r>
      <w:r w:rsidR="00201CE7" w:rsidRPr="003A50FE">
        <w:rPr>
          <w:b/>
          <w:bCs/>
          <w:color w:val="000000" w:themeColor="text1"/>
        </w:rPr>
        <w:t xml:space="preserve"> </w:t>
      </w:r>
    </w:p>
    <w:p w14:paraId="36095BFA" w14:textId="2AC15415" w:rsidR="00054A64" w:rsidRPr="003A50FE" w:rsidRDefault="00054A64" w:rsidP="00054A64">
      <w:pPr>
        <w:pStyle w:val="Header"/>
        <w:tabs>
          <w:tab w:val="clear" w:pos="4513"/>
          <w:tab w:val="clear" w:pos="9026"/>
          <w:tab w:val="right" w:pos="9356"/>
        </w:tabs>
        <w:jc w:val="right"/>
        <w:rPr>
          <w:color w:val="000000" w:themeColor="text1"/>
        </w:rPr>
      </w:pPr>
      <w:r w:rsidRPr="003A50FE">
        <w:rPr>
          <w:b/>
          <w:bCs/>
          <w:color w:val="000000" w:themeColor="text1"/>
        </w:rPr>
        <w:t xml:space="preserve">Report No: </w:t>
      </w:r>
      <w:r w:rsidRPr="003A50FE">
        <w:rPr>
          <w:color w:val="000000" w:themeColor="text1"/>
        </w:rPr>
        <w:t>SLAB</w:t>
      </w:r>
      <w:r w:rsidR="00201CE7" w:rsidRPr="003A50FE">
        <w:rPr>
          <w:color w:val="000000" w:themeColor="text1"/>
        </w:rPr>
        <w:t>-2024-2</w:t>
      </w:r>
      <w:r w:rsidR="00657E43">
        <w:rPr>
          <w:color w:val="000000" w:themeColor="text1"/>
        </w:rPr>
        <w:t>2</w:t>
      </w:r>
    </w:p>
    <w:p w14:paraId="06D3E762" w14:textId="7720392F" w:rsidR="00F77A60" w:rsidRPr="004276F4" w:rsidRDefault="00054A64" w:rsidP="004276F4">
      <w:pPr>
        <w:pStyle w:val="Header"/>
        <w:tabs>
          <w:tab w:val="clear" w:pos="4513"/>
          <w:tab w:val="clear" w:pos="9026"/>
          <w:tab w:val="right" w:pos="9356"/>
        </w:tabs>
        <w:rPr>
          <w:color w:val="00B0F0"/>
          <w:sz w:val="40"/>
          <w:szCs w:val="40"/>
        </w:rPr>
      </w:pPr>
      <w:r w:rsidRPr="003A50FE">
        <w:rPr>
          <w:b/>
          <w:bCs/>
          <w:sz w:val="40"/>
          <w:szCs w:val="40"/>
        </w:rPr>
        <w:t xml:space="preserve">BOARD REPORT                                 </w:t>
      </w:r>
    </w:p>
    <w:tbl>
      <w:tblPr>
        <w:tblStyle w:val="TableGrid"/>
        <w:tblW w:w="9493" w:type="dxa"/>
        <w:tblLook w:val="04A0" w:firstRow="1" w:lastRow="0" w:firstColumn="1" w:lastColumn="0" w:noHBand="0" w:noVBand="1"/>
      </w:tblPr>
      <w:tblGrid>
        <w:gridCol w:w="2547"/>
        <w:gridCol w:w="6946"/>
      </w:tblGrid>
      <w:tr w:rsidR="00BC75B3" w:rsidRPr="00BC75B3" w14:paraId="4645C2B5" w14:textId="77777777" w:rsidTr="00C6770D">
        <w:tc>
          <w:tcPr>
            <w:tcW w:w="2547" w:type="dxa"/>
            <w:shd w:val="clear" w:color="auto" w:fill="D9D9D9" w:themeFill="background1" w:themeFillShade="D9"/>
          </w:tcPr>
          <w:p w14:paraId="0A603C2C" w14:textId="77777777" w:rsidR="00F77A60" w:rsidRPr="00BC75B3" w:rsidRDefault="00F77A60" w:rsidP="00461223">
            <w:r w:rsidRPr="00BC75B3">
              <w:t>Written by:</w:t>
            </w:r>
          </w:p>
        </w:tc>
        <w:tc>
          <w:tcPr>
            <w:tcW w:w="6946" w:type="dxa"/>
          </w:tcPr>
          <w:p w14:paraId="28F125D9" w14:textId="4C7672D5" w:rsidR="00F77A60" w:rsidRPr="00BC75B3" w:rsidRDefault="00E352E1" w:rsidP="00E352E1">
            <w:pPr>
              <w:rPr>
                <w:lang w:val="fr-FR"/>
              </w:rPr>
            </w:pPr>
            <w:r>
              <w:rPr>
                <w:lang w:val="fr-FR"/>
              </w:rPr>
              <w:t>Adam Ford</w:t>
            </w:r>
            <w:r w:rsidR="00F77A60" w:rsidRPr="00BC75B3">
              <w:rPr>
                <w:lang w:val="fr-FR"/>
              </w:rPr>
              <w:t xml:space="preserve"> </w:t>
            </w:r>
            <w:r w:rsidR="004276F4">
              <w:rPr>
                <w:lang w:val="fr-FR"/>
              </w:rPr>
              <w:t>and</w:t>
            </w:r>
            <w:r w:rsidR="00222534">
              <w:rPr>
                <w:lang w:val="fr-FR"/>
              </w:rPr>
              <w:t> </w:t>
            </w:r>
            <w:r w:rsidR="00355AFA">
              <w:rPr>
                <w:lang w:val="fr-FR"/>
              </w:rPr>
              <w:t>Linda Ross</w:t>
            </w:r>
          </w:p>
        </w:tc>
      </w:tr>
      <w:tr w:rsidR="00BC75B3" w:rsidRPr="00BC75B3" w14:paraId="3FFA76E2" w14:textId="77777777" w:rsidTr="00C6770D">
        <w:tc>
          <w:tcPr>
            <w:tcW w:w="2547" w:type="dxa"/>
            <w:shd w:val="clear" w:color="auto" w:fill="D9D9D9" w:themeFill="background1" w:themeFillShade="D9"/>
          </w:tcPr>
          <w:p w14:paraId="7D4B8187" w14:textId="77777777" w:rsidR="00F77A60" w:rsidRPr="00BC75B3" w:rsidRDefault="00F77A60" w:rsidP="00461223">
            <w:r w:rsidRPr="00BC75B3">
              <w:t>Director responsible:</w:t>
            </w:r>
          </w:p>
        </w:tc>
        <w:tc>
          <w:tcPr>
            <w:tcW w:w="6946" w:type="dxa"/>
          </w:tcPr>
          <w:p w14:paraId="54B507D6" w14:textId="77777777" w:rsidR="00F77A60" w:rsidRPr="00BC75B3" w:rsidRDefault="00E352E1" w:rsidP="00461223">
            <w:r>
              <w:t>Adam Ford</w:t>
            </w:r>
          </w:p>
        </w:tc>
      </w:tr>
      <w:tr w:rsidR="00BC75B3" w:rsidRPr="00BC75B3" w14:paraId="08B63553" w14:textId="77777777" w:rsidTr="00C6770D">
        <w:tc>
          <w:tcPr>
            <w:tcW w:w="2547" w:type="dxa"/>
            <w:shd w:val="clear" w:color="auto" w:fill="D9D9D9" w:themeFill="background1" w:themeFillShade="D9"/>
          </w:tcPr>
          <w:p w14:paraId="06AF834A" w14:textId="77777777" w:rsidR="00F77A60" w:rsidRPr="00BC75B3" w:rsidRDefault="00F77A60" w:rsidP="00461223">
            <w:r w:rsidRPr="00BC75B3">
              <w:t>Presented by:</w:t>
            </w:r>
          </w:p>
        </w:tc>
        <w:tc>
          <w:tcPr>
            <w:tcW w:w="6946" w:type="dxa"/>
          </w:tcPr>
          <w:p w14:paraId="164C506D" w14:textId="77777777" w:rsidR="00F77A60" w:rsidRPr="00BC75B3" w:rsidRDefault="00E352E1" w:rsidP="00E352E1">
            <w:r>
              <w:t>Adam Ford</w:t>
            </w:r>
          </w:p>
        </w:tc>
      </w:tr>
      <w:tr w:rsidR="00BC75B3" w:rsidRPr="00BC75B3" w14:paraId="2F5DAD6A" w14:textId="77777777" w:rsidTr="00C6770D">
        <w:tc>
          <w:tcPr>
            <w:tcW w:w="2547" w:type="dxa"/>
            <w:shd w:val="clear" w:color="auto" w:fill="D9D9D9" w:themeFill="background1" w:themeFillShade="D9"/>
          </w:tcPr>
          <w:p w14:paraId="51286ED1" w14:textId="77777777" w:rsidR="00F77A60" w:rsidRPr="00BC75B3" w:rsidRDefault="00F77A60" w:rsidP="00461223">
            <w:r w:rsidRPr="00BC75B3">
              <w:t>Contact details:</w:t>
            </w:r>
          </w:p>
        </w:tc>
        <w:tc>
          <w:tcPr>
            <w:tcW w:w="6946" w:type="dxa"/>
          </w:tcPr>
          <w:p w14:paraId="17303493" w14:textId="77777777" w:rsidR="00F77A60" w:rsidRPr="00BC75B3" w:rsidRDefault="00E352E1" w:rsidP="00E352E1">
            <w:r>
              <w:t>fordad@s</w:t>
            </w:r>
            <w:r w:rsidR="00F77A60" w:rsidRPr="00BC75B3">
              <w:t>lab.org.uk</w:t>
            </w:r>
          </w:p>
        </w:tc>
      </w:tr>
    </w:tbl>
    <w:p w14:paraId="37D29652" w14:textId="77777777" w:rsidR="00F77A60" w:rsidRDefault="00F77A60" w:rsidP="00F77A60"/>
    <w:p w14:paraId="6E18E445" w14:textId="4D048BC5" w:rsidR="004276F4" w:rsidRDefault="004276F4" w:rsidP="00F77A60">
      <w:r w:rsidRPr="00F51899">
        <w:t xml:space="preserve">The purpose of this paper is to </w:t>
      </w:r>
      <w:r>
        <w:t>present revised performance benchmarks for 2024-25 for approval.</w:t>
      </w:r>
    </w:p>
    <w:p w14:paraId="4278F247" w14:textId="77777777" w:rsidR="004276F4" w:rsidRDefault="004276F4" w:rsidP="00F77A60"/>
    <w:p w14:paraId="78B06576" w14:textId="223150B6" w:rsidR="004276F4" w:rsidRPr="004276F4" w:rsidRDefault="004276F4" w:rsidP="00F77A60">
      <w:pPr>
        <w:rPr>
          <w:b/>
          <w:bCs/>
        </w:rPr>
      </w:pPr>
      <w:r w:rsidRPr="004276F4">
        <w:rPr>
          <w:b/>
          <w:bCs/>
        </w:rPr>
        <w:t>Delivery of Strategic Objectives</w:t>
      </w:r>
    </w:p>
    <w:p w14:paraId="55D0F99B" w14:textId="0D5E1AEA" w:rsidR="004276F4" w:rsidRPr="004276F4" w:rsidRDefault="004276F4" w:rsidP="00F77A60">
      <w:pPr>
        <w:rPr>
          <w:i/>
          <w:iCs/>
        </w:rPr>
      </w:pPr>
      <w:r w:rsidRPr="004276F4">
        <w:rPr>
          <w:i/>
          <w:iCs/>
        </w:rPr>
        <w:t>Select the Strategic Objective(s) relevant to the issues</w:t>
      </w:r>
      <w:r>
        <w:rPr>
          <w:i/>
          <w:iCs/>
        </w:rPr>
        <w:t>.</w:t>
      </w:r>
    </w:p>
    <w:p w14:paraId="5B41FB9A" w14:textId="490C53A2" w:rsidR="004276F4" w:rsidRDefault="004276F4" w:rsidP="004276F4">
      <w:pPr>
        <w:pStyle w:val="ListParagraph"/>
        <w:numPr>
          <w:ilvl w:val="0"/>
          <w:numId w:val="4"/>
        </w:numPr>
      </w:pPr>
      <w:r>
        <w:t>Our timely, clear and consistent decisions on legal aid applications and accounts deliver a positive customer experience</w:t>
      </w:r>
      <w:r>
        <w:t>.</w:t>
      </w:r>
    </w:p>
    <w:p w14:paraId="60203FE4" w14:textId="77777777" w:rsidR="00F77A60" w:rsidRPr="00BC75B3" w:rsidRDefault="00F77A60" w:rsidP="00F77A60"/>
    <w:tbl>
      <w:tblPr>
        <w:tblStyle w:val="TableGrid"/>
        <w:tblW w:w="9493" w:type="dxa"/>
        <w:tblLook w:val="04A0" w:firstRow="1" w:lastRow="0" w:firstColumn="1" w:lastColumn="0" w:noHBand="0" w:noVBand="1"/>
      </w:tblPr>
      <w:tblGrid>
        <w:gridCol w:w="9493"/>
      </w:tblGrid>
      <w:tr w:rsidR="00BC75B3" w:rsidRPr="00BC75B3" w14:paraId="400EACA1" w14:textId="77777777" w:rsidTr="00461223">
        <w:tc>
          <w:tcPr>
            <w:tcW w:w="9493" w:type="dxa"/>
            <w:shd w:val="clear" w:color="auto" w:fill="D9D9D9" w:themeFill="background1" w:themeFillShade="D9"/>
          </w:tcPr>
          <w:p w14:paraId="503FF108" w14:textId="77777777" w:rsidR="00F77A60" w:rsidRPr="00BC75B3" w:rsidRDefault="00F77A60" w:rsidP="00461223">
            <w:r w:rsidRPr="00BC75B3">
              <w:t>Link to Board or Committee Remit</w:t>
            </w:r>
          </w:p>
        </w:tc>
      </w:tr>
      <w:tr w:rsidR="00F77A60" w:rsidRPr="00BC75B3" w14:paraId="669E8349" w14:textId="77777777" w:rsidTr="00461223">
        <w:tc>
          <w:tcPr>
            <w:tcW w:w="9493" w:type="dxa"/>
          </w:tcPr>
          <w:p w14:paraId="0E016579" w14:textId="78F158C5" w:rsidR="009C6731" w:rsidRPr="00BC75B3" w:rsidRDefault="009C6731" w:rsidP="00461223">
            <w:r>
              <w:t>The Board has authority to approve changes to the performance indicators</w:t>
            </w:r>
            <w:r w:rsidR="00BE4DEE">
              <w:t>.</w:t>
            </w:r>
          </w:p>
        </w:tc>
      </w:tr>
    </w:tbl>
    <w:p w14:paraId="6A1F676D" w14:textId="77777777" w:rsidR="00F77A60" w:rsidRDefault="00F77A60" w:rsidP="00F77A60"/>
    <w:tbl>
      <w:tblPr>
        <w:tblStyle w:val="TableGrid"/>
        <w:tblW w:w="9493" w:type="dxa"/>
        <w:tblLook w:val="04A0" w:firstRow="1" w:lastRow="0" w:firstColumn="1" w:lastColumn="0" w:noHBand="0" w:noVBand="1"/>
      </w:tblPr>
      <w:tblGrid>
        <w:gridCol w:w="9493"/>
      </w:tblGrid>
      <w:tr w:rsidR="009C6731" w:rsidRPr="00BC75B3" w14:paraId="1FE301B7" w14:textId="77777777" w:rsidTr="00780F56">
        <w:tc>
          <w:tcPr>
            <w:tcW w:w="9493" w:type="dxa"/>
            <w:shd w:val="clear" w:color="auto" w:fill="D9D9D9" w:themeFill="background1" w:themeFillShade="D9"/>
          </w:tcPr>
          <w:p w14:paraId="4974C629" w14:textId="2C748B24" w:rsidR="009C6731" w:rsidRPr="00BC75B3" w:rsidRDefault="009C6731" w:rsidP="00780F56">
            <w:r>
              <w:t>Link to Risk Management</w:t>
            </w:r>
          </w:p>
        </w:tc>
      </w:tr>
      <w:tr w:rsidR="009C6731" w:rsidRPr="00BC75B3" w14:paraId="510F09DE" w14:textId="77777777" w:rsidTr="00780F56">
        <w:tc>
          <w:tcPr>
            <w:tcW w:w="9493" w:type="dxa"/>
          </w:tcPr>
          <w:p w14:paraId="62C595C1" w14:textId="5DE7857C" w:rsidR="009C6731" w:rsidRPr="00BC75B3" w:rsidRDefault="009C6731" w:rsidP="00780F56">
            <w:r>
              <w:t>Corporate Risk 4 seeks to manage the risk</w:t>
            </w:r>
            <w:r w:rsidR="00061708">
              <w:t xml:space="preserve"> that i</w:t>
            </w:r>
            <w:r>
              <w:t xml:space="preserve">f our procedures </w:t>
            </w:r>
            <w:r w:rsidR="00061708">
              <w:t>are not</w:t>
            </w:r>
            <w:r>
              <w:t xml:space="preserve"> up to date and staff training </w:t>
            </w:r>
            <w:r w:rsidR="00061708">
              <w:t xml:space="preserve">not carried out our </w:t>
            </w:r>
            <w:r>
              <w:t>service delivery</w:t>
            </w:r>
            <w:r w:rsidR="00061708">
              <w:t xml:space="preserve"> will be negatively impacted</w:t>
            </w:r>
            <w:r>
              <w:t>.</w:t>
            </w:r>
          </w:p>
        </w:tc>
      </w:tr>
    </w:tbl>
    <w:p w14:paraId="48FA740C" w14:textId="77777777" w:rsidR="009C6731" w:rsidRPr="00BC75B3" w:rsidRDefault="009C6731" w:rsidP="009C6731"/>
    <w:tbl>
      <w:tblPr>
        <w:tblStyle w:val="TableGrid"/>
        <w:tblW w:w="9493" w:type="dxa"/>
        <w:tblLook w:val="04A0" w:firstRow="1" w:lastRow="0" w:firstColumn="1" w:lastColumn="0" w:noHBand="0" w:noVBand="1"/>
      </w:tblPr>
      <w:tblGrid>
        <w:gridCol w:w="9493"/>
      </w:tblGrid>
      <w:tr w:rsidR="00BC75B3" w:rsidRPr="00BC75B3" w14:paraId="27446B41" w14:textId="77777777" w:rsidTr="00461223">
        <w:tc>
          <w:tcPr>
            <w:tcW w:w="9493" w:type="dxa"/>
            <w:shd w:val="clear" w:color="auto" w:fill="D9D9D9" w:themeFill="background1" w:themeFillShade="D9"/>
          </w:tcPr>
          <w:p w14:paraId="51CFAD9E" w14:textId="77777777" w:rsidR="00F77A60" w:rsidRPr="00BC75B3" w:rsidRDefault="00F77A60" w:rsidP="00461223">
            <w:r w:rsidRPr="00BC75B3">
              <w:t>Publication of the Paper</w:t>
            </w:r>
          </w:p>
        </w:tc>
      </w:tr>
      <w:tr w:rsidR="00F77A60" w:rsidRPr="00BC75B3" w14:paraId="7682F3B1" w14:textId="77777777" w:rsidTr="00461223">
        <w:tc>
          <w:tcPr>
            <w:tcW w:w="9493" w:type="dxa"/>
          </w:tcPr>
          <w:p w14:paraId="06D362D3" w14:textId="15F8D312" w:rsidR="009C6731" w:rsidRPr="00BC75B3" w:rsidRDefault="009C6731" w:rsidP="0022115A">
            <w:r>
              <w:t>We consider this paper suitable for publication.</w:t>
            </w:r>
          </w:p>
        </w:tc>
      </w:tr>
    </w:tbl>
    <w:p w14:paraId="18CBD29A" w14:textId="77777777" w:rsidR="00F77A60" w:rsidRPr="00BC75B3" w:rsidRDefault="00F77A60" w:rsidP="00F77A60"/>
    <w:tbl>
      <w:tblPr>
        <w:tblStyle w:val="TableGrid"/>
        <w:tblW w:w="9493" w:type="dxa"/>
        <w:tblLook w:val="04A0" w:firstRow="1" w:lastRow="0" w:firstColumn="1" w:lastColumn="0" w:noHBand="0" w:noVBand="1"/>
      </w:tblPr>
      <w:tblGrid>
        <w:gridCol w:w="9493"/>
      </w:tblGrid>
      <w:tr w:rsidR="00BC75B3" w:rsidRPr="00BC75B3" w14:paraId="67872498" w14:textId="77777777" w:rsidTr="00461223">
        <w:tc>
          <w:tcPr>
            <w:tcW w:w="9493" w:type="dxa"/>
            <w:tcBorders>
              <w:left w:val="single" w:sz="4" w:space="0" w:color="000000"/>
            </w:tcBorders>
            <w:shd w:val="clear" w:color="auto" w:fill="D9D9D9" w:themeFill="background1" w:themeFillShade="D9"/>
          </w:tcPr>
          <w:p w14:paraId="5E5B16D0" w14:textId="77777777" w:rsidR="00F77A60" w:rsidRPr="00BC75B3" w:rsidRDefault="00F77A60" w:rsidP="00461223">
            <w:r w:rsidRPr="00BC75B3">
              <w:t>Executive Summary</w:t>
            </w:r>
          </w:p>
        </w:tc>
      </w:tr>
      <w:tr w:rsidR="00F77A60" w:rsidRPr="00BC75B3" w14:paraId="503191BA" w14:textId="77777777" w:rsidTr="00461223">
        <w:tc>
          <w:tcPr>
            <w:tcW w:w="9493" w:type="dxa"/>
            <w:tcBorders>
              <w:left w:val="single" w:sz="4" w:space="0" w:color="000000"/>
            </w:tcBorders>
          </w:tcPr>
          <w:p w14:paraId="41906338" w14:textId="2CA7608F" w:rsidR="00222534" w:rsidRDefault="00D03F25" w:rsidP="0022115A">
            <w:pPr>
              <w:rPr>
                <w:color w:val="000000" w:themeColor="text1"/>
              </w:rPr>
            </w:pPr>
            <w:r w:rsidRPr="00403FD2">
              <w:rPr>
                <w:color w:val="000000" w:themeColor="text1"/>
              </w:rPr>
              <w:t xml:space="preserve">We have reviewed the benchmarks to be set for </w:t>
            </w:r>
            <w:r w:rsidR="00C6770D">
              <w:rPr>
                <w:color w:val="000000" w:themeColor="text1"/>
              </w:rPr>
              <w:t>2024-25</w:t>
            </w:r>
            <w:r w:rsidRPr="00403FD2">
              <w:rPr>
                <w:color w:val="000000" w:themeColor="text1"/>
              </w:rPr>
              <w:t xml:space="preserve"> and the proposed changes are </w:t>
            </w:r>
            <w:r w:rsidR="00C6770D">
              <w:rPr>
                <w:color w:val="000000" w:themeColor="text1"/>
              </w:rPr>
              <w:t>set out in the report</w:t>
            </w:r>
            <w:r w:rsidR="00CA1BEF" w:rsidRPr="00D03F25">
              <w:rPr>
                <w:color w:val="000000" w:themeColor="text1"/>
              </w:rPr>
              <w:t>.</w:t>
            </w:r>
            <w:r>
              <w:rPr>
                <w:color w:val="000000" w:themeColor="text1"/>
              </w:rPr>
              <w:t xml:space="preserve">  </w:t>
            </w:r>
          </w:p>
          <w:p w14:paraId="03854B40" w14:textId="77777777" w:rsidR="00802FE1" w:rsidRDefault="00802FE1" w:rsidP="00802FE1">
            <w:pPr>
              <w:rPr>
                <w:color w:val="00B0F0"/>
              </w:rPr>
            </w:pPr>
          </w:p>
          <w:p w14:paraId="19503D65" w14:textId="434B2EDC" w:rsidR="006D3933" w:rsidRDefault="00D26981" w:rsidP="00802FE1">
            <w:r w:rsidRPr="004E0BDE">
              <w:t>In Operations a full review has been undertaken of the three aid type benchmarks</w:t>
            </w:r>
            <w:r w:rsidR="006A5C5E">
              <w:t>,</w:t>
            </w:r>
            <w:r w:rsidRPr="004E0BDE">
              <w:t xml:space="preserve"> both those we have </w:t>
            </w:r>
            <w:r w:rsidR="00DE2A50">
              <w:t xml:space="preserve">direct </w:t>
            </w:r>
            <w:r w:rsidRPr="004E0BDE">
              <w:t xml:space="preserve">control over and those we </w:t>
            </w:r>
            <w:r w:rsidR="00DE2A50">
              <w:t xml:space="preserve">don’t </w:t>
            </w:r>
            <w:r w:rsidR="006A5C5E">
              <w:t xml:space="preserve">fully </w:t>
            </w:r>
            <w:r w:rsidR="00DE2A50">
              <w:t xml:space="preserve">control but can </w:t>
            </w:r>
            <w:r w:rsidRPr="004E0BDE">
              <w:t>influence</w:t>
            </w:r>
            <w:r w:rsidR="00DE2A50">
              <w:t>. The</w:t>
            </w:r>
            <w:r w:rsidR="00421FDF">
              <w:t xml:space="preserve"> latter</w:t>
            </w:r>
            <w:r w:rsidR="006A5C5E">
              <w:t xml:space="preserve"> aspects of our performance – and therefore </w:t>
            </w:r>
            <w:r w:rsidR="006A5C5E" w:rsidRPr="004E0BDE">
              <w:t>the customer</w:t>
            </w:r>
            <w:r w:rsidR="006A5C5E">
              <w:t>’s</w:t>
            </w:r>
            <w:r w:rsidR="006A5C5E" w:rsidRPr="004E0BDE">
              <w:t xml:space="preserve"> </w:t>
            </w:r>
            <w:r w:rsidR="006A5C5E">
              <w:t xml:space="preserve">experience of the legal aid </w:t>
            </w:r>
            <w:r w:rsidR="006A5C5E" w:rsidRPr="004E0BDE">
              <w:t>journey from start to finish</w:t>
            </w:r>
            <w:r w:rsidR="006A5C5E">
              <w:t xml:space="preserve"> - </w:t>
            </w:r>
            <w:r w:rsidR="00E446DD">
              <w:t xml:space="preserve">are </w:t>
            </w:r>
            <w:r w:rsidR="00885A28">
              <w:t xml:space="preserve">impacted by the quality of material we receive and the responsiveness of solicitors to requests for additional information. </w:t>
            </w:r>
            <w:r w:rsidR="006A5C5E">
              <w:t>I</w:t>
            </w:r>
            <w:r w:rsidR="000A6254">
              <w:t>nc</w:t>
            </w:r>
            <w:r w:rsidR="00D612A3">
              <w:t>orporating these factors into the measurement of our own performance</w:t>
            </w:r>
            <w:r w:rsidR="000A6254">
              <w:t xml:space="preserve"> </w:t>
            </w:r>
            <w:r w:rsidR="00D612A3">
              <w:t xml:space="preserve">encourages us to </w:t>
            </w:r>
            <w:r w:rsidR="004064CD">
              <w:t xml:space="preserve">find ways of </w:t>
            </w:r>
            <w:r w:rsidR="00D612A3">
              <w:t>exert</w:t>
            </w:r>
            <w:r w:rsidR="004064CD">
              <w:t>ing</w:t>
            </w:r>
            <w:r w:rsidR="00D612A3">
              <w:t xml:space="preserve"> a positive</w:t>
            </w:r>
            <w:r w:rsidR="00D05283">
              <w:t xml:space="preserve"> influence</w:t>
            </w:r>
            <w:r w:rsidR="000A6254">
              <w:t xml:space="preserve"> </w:t>
            </w:r>
            <w:r w:rsidR="00991DDC">
              <w:t xml:space="preserve">on </w:t>
            </w:r>
            <w:r w:rsidR="00621D6E">
              <w:t xml:space="preserve">them, for example </w:t>
            </w:r>
            <w:r w:rsidR="00D05283">
              <w:t xml:space="preserve">by </w:t>
            </w:r>
            <w:r w:rsidR="00621D6E">
              <w:t>continuously improving</w:t>
            </w:r>
            <w:r w:rsidR="00D05283">
              <w:t xml:space="preserve"> our systems, guidance and communication</w:t>
            </w:r>
            <w:r w:rsidRPr="004E0BDE">
              <w:t xml:space="preserve">. </w:t>
            </w:r>
          </w:p>
          <w:p w14:paraId="2A36FAB7" w14:textId="0CB09393" w:rsidR="00802FE1" w:rsidRPr="004E0BDE" w:rsidRDefault="004064CD" w:rsidP="00802FE1">
            <w:r>
              <w:t>Revised</w:t>
            </w:r>
            <w:r w:rsidRPr="004E0BDE">
              <w:t xml:space="preserve"> </w:t>
            </w:r>
            <w:r w:rsidR="00D26981" w:rsidRPr="004E0BDE">
              <w:t>benchmarks have been suggested for both Civil and Children to continue our commitment to Corporate Objective 1</w:t>
            </w:r>
            <w:r w:rsidR="00507C41">
              <w:t xml:space="preserve"> </w:t>
            </w:r>
            <w:r w:rsidR="00D26981" w:rsidRPr="004E0BDE">
              <w:t xml:space="preserve">and challenge ourselves on continually improving performance. A recommendation has also been made to </w:t>
            </w:r>
            <w:r w:rsidR="00507C41">
              <w:t xml:space="preserve">start to move </w:t>
            </w:r>
            <w:r w:rsidR="00507C41">
              <w:lastRenderedPageBreak/>
              <w:t xml:space="preserve">towards </w:t>
            </w:r>
            <w:r w:rsidR="00AE052B">
              <w:t>harmonising</w:t>
            </w:r>
            <w:r w:rsidR="00D26981" w:rsidRPr="004E0BDE">
              <w:t xml:space="preserve"> our benchmarks between Criminal Summary and Solemn cases</w:t>
            </w:r>
            <w:r w:rsidR="007B0A21">
              <w:t>,</w:t>
            </w:r>
            <w:r w:rsidR="00D26981" w:rsidRPr="004E0BDE">
              <w:t xml:space="preserve"> as </w:t>
            </w:r>
            <w:r w:rsidR="00A62CD2">
              <w:t>changes in the profile of cases</w:t>
            </w:r>
            <w:r w:rsidR="007B0A21">
              <w:t>, the information we need</w:t>
            </w:r>
            <w:r w:rsidR="00A62CD2">
              <w:t xml:space="preserve"> and the decisions we require to take </w:t>
            </w:r>
            <w:r w:rsidR="002E65B4">
              <w:t xml:space="preserve">are eroding the rationale for the very different </w:t>
            </w:r>
            <w:r w:rsidR="00D26981" w:rsidRPr="004E0BDE">
              <w:t xml:space="preserve">averages </w:t>
            </w:r>
            <w:r w:rsidR="007B0A21">
              <w:t>built into</w:t>
            </w:r>
            <w:r w:rsidR="007B0A21" w:rsidRPr="004E0BDE">
              <w:t xml:space="preserve"> </w:t>
            </w:r>
            <w:r w:rsidR="002E65B4">
              <w:t xml:space="preserve">their current </w:t>
            </w:r>
            <w:r w:rsidR="00D26981" w:rsidRPr="004E0BDE">
              <w:t>benchmarks.</w:t>
            </w:r>
          </w:p>
          <w:p w14:paraId="31FAF492" w14:textId="77777777" w:rsidR="00802FE1" w:rsidRDefault="00802FE1" w:rsidP="0022115A">
            <w:pPr>
              <w:rPr>
                <w:color w:val="000000" w:themeColor="text1"/>
              </w:rPr>
            </w:pPr>
          </w:p>
          <w:p w14:paraId="2AC73E62" w14:textId="6D1A1C68" w:rsidR="00802FE1" w:rsidRDefault="00802FE1" w:rsidP="00802FE1">
            <w:pPr>
              <w:spacing w:after="120"/>
              <w:rPr>
                <w:color w:val="000000" w:themeColor="text1"/>
              </w:rPr>
            </w:pPr>
            <w:r>
              <w:rPr>
                <w:color w:val="000000" w:themeColor="text1"/>
              </w:rPr>
              <w:t xml:space="preserve">In Accounts an increase in volumes, solemn fee reform in April 2023 and increase in the use of interim accounts is the context for consideration of benchmarks.  </w:t>
            </w:r>
          </w:p>
          <w:p w14:paraId="1BD186EA" w14:textId="05C61808" w:rsidR="00D03F25" w:rsidRPr="004276F4" w:rsidRDefault="00802FE1" w:rsidP="0022115A">
            <w:pPr>
              <w:rPr>
                <w:color w:val="000000" w:themeColor="text1"/>
              </w:rPr>
            </w:pPr>
            <w:r>
              <w:rPr>
                <w:color w:val="000000" w:themeColor="text1"/>
              </w:rPr>
              <w:t xml:space="preserve">A review of the cases managed across the teams has </w:t>
            </w:r>
            <w:r w:rsidR="00F541E1">
              <w:rPr>
                <w:color w:val="000000" w:themeColor="text1"/>
              </w:rPr>
              <w:t xml:space="preserve">also </w:t>
            </w:r>
            <w:r>
              <w:rPr>
                <w:color w:val="000000" w:themeColor="text1"/>
              </w:rPr>
              <w:t>been carried out, with some movement between the teams proposed from April 2024.  On this basis, the processing benchmarks are proposed to remain unchanged.  Reflecting the solemn fee reform and use of interim accounts in particular, the benchmarks will improve for negotiations, initial assessment paid in full and consequently ratio of negotiations to initial assessments.</w:t>
            </w:r>
          </w:p>
        </w:tc>
      </w:tr>
    </w:tbl>
    <w:p w14:paraId="77417ACD" w14:textId="015CEC30" w:rsidR="00403FD2" w:rsidRPr="004276F4" w:rsidRDefault="004276F4" w:rsidP="00F77A60">
      <w:pPr>
        <w:rPr>
          <w:b/>
          <w:bCs/>
        </w:rPr>
      </w:pPr>
      <w:r>
        <w:lastRenderedPageBreak/>
        <w:br/>
      </w:r>
      <w:r w:rsidRPr="004276F4">
        <w:rPr>
          <w:b/>
          <w:bCs/>
        </w:rPr>
        <w:t>Previous Consideration</w:t>
      </w:r>
    </w:p>
    <w:tbl>
      <w:tblPr>
        <w:tblStyle w:val="TableGrid"/>
        <w:tblW w:w="9493" w:type="dxa"/>
        <w:tblLook w:val="04A0" w:firstRow="1" w:lastRow="0" w:firstColumn="1" w:lastColumn="0" w:noHBand="0" w:noVBand="1"/>
      </w:tblPr>
      <w:tblGrid>
        <w:gridCol w:w="1838"/>
        <w:gridCol w:w="7655"/>
      </w:tblGrid>
      <w:tr w:rsidR="00BC75B3" w:rsidRPr="00BC75B3" w14:paraId="02EAFD6B" w14:textId="77777777" w:rsidTr="004276F4">
        <w:tc>
          <w:tcPr>
            <w:tcW w:w="1838" w:type="dxa"/>
            <w:tcBorders>
              <w:left w:val="single" w:sz="4" w:space="0" w:color="000000"/>
            </w:tcBorders>
            <w:shd w:val="clear" w:color="auto" w:fill="D9D9D9" w:themeFill="background1" w:themeFillShade="D9"/>
          </w:tcPr>
          <w:p w14:paraId="0EDE6263" w14:textId="77777777" w:rsidR="00F77A60" w:rsidRPr="00BC75B3" w:rsidRDefault="00F77A60" w:rsidP="00461223">
            <w:r w:rsidRPr="00BC75B3">
              <w:t>Meeting</w:t>
            </w:r>
          </w:p>
        </w:tc>
        <w:tc>
          <w:tcPr>
            <w:tcW w:w="7655" w:type="dxa"/>
            <w:tcBorders>
              <w:left w:val="single" w:sz="4" w:space="0" w:color="000000"/>
            </w:tcBorders>
            <w:shd w:val="clear" w:color="auto" w:fill="D9D9D9" w:themeFill="background1" w:themeFillShade="D9"/>
          </w:tcPr>
          <w:p w14:paraId="04712026" w14:textId="77777777" w:rsidR="00F77A60" w:rsidRPr="00BC75B3" w:rsidRDefault="00F77A60" w:rsidP="00461223">
            <w:r w:rsidRPr="00BC75B3">
              <w:t>Detail</w:t>
            </w:r>
          </w:p>
        </w:tc>
      </w:tr>
      <w:tr w:rsidR="00F77A60" w:rsidRPr="009A4FB2" w14:paraId="067662BC" w14:textId="77777777" w:rsidTr="004276F4">
        <w:tc>
          <w:tcPr>
            <w:tcW w:w="1838" w:type="dxa"/>
            <w:tcBorders>
              <w:left w:val="single" w:sz="4" w:space="0" w:color="000000"/>
            </w:tcBorders>
          </w:tcPr>
          <w:p w14:paraId="0C089A69" w14:textId="77777777" w:rsidR="00F77A60" w:rsidRPr="009A4FB2" w:rsidRDefault="000E6AB9" w:rsidP="00704117">
            <w:pPr>
              <w:rPr>
                <w:color w:val="000000" w:themeColor="text1"/>
              </w:rPr>
            </w:pPr>
            <w:r>
              <w:rPr>
                <w:color w:val="000000" w:themeColor="text1"/>
              </w:rPr>
              <w:t>December</w:t>
            </w:r>
            <w:r w:rsidR="00222534">
              <w:rPr>
                <w:color w:val="000000" w:themeColor="text1"/>
              </w:rPr>
              <w:t xml:space="preserve"> 2022</w:t>
            </w:r>
          </w:p>
        </w:tc>
        <w:tc>
          <w:tcPr>
            <w:tcW w:w="7655" w:type="dxa"/>
            <w:tcBorders>
              <w:left w:val="single" w:sz="4" w:space="0" w:color="000000"/>
            </w:tcBorders>
          </w:tcPr>
          <w:p w14:paraId="5BB88E4A" w14:textId="77777777" w:rsidR="00F77A60" w:rsidRDefault="00D03F25" w:rsidP="0022115A">
            <w:pPr>
              <w:rPr>
                <w:color w:val="000000" w:themeColor="text1"/>
              </w:rPr>
            </w:pPr>
            <w:r>
              <w:t xml:space="preserve">Board </w:t>
            </w:r>
            <w:r w:rsidR="00E0484A">
              <w:t>receives</w:t>
            </w:r>
            <w:r>
              <w:t xml:space="preserve"> regular reports on performance against benchmarks</w:t>
            </w:r>
            <w:r w:rsidR="00E352E1" w:rsidRPr="0076007C">
              <w:rPr>
                <w:color w:val="000000" w:themeColor="text1"/>
              </w:rPr>
              <w:t>.</w:t>
            </w:r>
            <w:r w:rsidR="00E352E1">
              <w:rPr>
                <w:color w:val="000000" w:themeColor="text1"/>
              </w:rPr>
              <w:t xml:space="preserve"> </w:t>
            </w:r>
          </w:p>
          <w:p w14:paraId="69CD5D04" w14:textId="588FDCBE" w:rsidR="00274AAC" w:rsidRPr="009A4FB2" w:rsidRDefault="00274AAC" w:rsidP="0022115A">
            <w:pPr>
              <w:rPr>
                <w:color w:val="000000" w:themeColor="text1"/>
              </w:rPr>
            </w:pPr>
            <w:r>
              <w:rPr>
                <w:color w:val="000000" w:themeColor="text1"/>
              </w:rPr>
              <w:t>2023-24 benchmarks were agreed by Board in March 2023</w:t>
            </w:r>
            <w:r w:rsidR="004276F4">
              <w:rPr>
                <w:color w:val="000000" w:themeColor="text1"/>
              </w:rPr>
              <w:t>.</w:t>
            </w:r>
          </w:p>
        </w:tc>
      </w:tr>
    </w:tbl>
    <w:p w14:paraId="06B67894" w14:textId="77777777" w:rsidR="00F77A60" w:rsidRPr="00F77A60" w:rsidRDefault="00F77A60" w:rsidP="00F77A60">
      <w:pPr>
        <w:rPr>
          <w:color w:val="FF0000"/>
        </w:rPr>
      </w:pPr>
    </w:p>
    <w:tbl>
      <w:tblPr>
        <w:tblStyle w:val="TableGrid"/>
        <w:tblW w:w="9493" w:type="dxa"/>
        <w:tblLook w:val="04A0" w:firstRow="1" w:lastRow="0" w:firstColumn="1" w:lastColumn="0" w:noHBand="0" w:noVBand="1"/>
      </w:tblPr>
      <w:tblGrid>
        <w:gridCol w:w="9493"/>
      </w:tblGrid>
      <w:tr w:rsidR="00403FD2" w:rsidRPr="00BC75B3" w14:paraId="2754B916" w14:textId="77777777" w:rsidTr="00780F56">
        <w:tc>
          <w:tcPr>
            <w:tcW w:w="9493" w:type="dxa"/>
            <w:shd w:val="clear" w:color="auto" w:fill="D9D9D9" w:themeFill="background1" w:themeFillShade="D9"/>
          </w:tcPr>
          <w:p w14:paraId="213C74AC" w14:textId="77777777" w:rsidR="00403FD2" w:rsidRPr="00BC75B3" w:rsidRDefault="00403FD2" w:rsidP="00780F56">
            <w:r w:rsidRPr="00BC75B3">
              <w:t>Report</w:t>
            </w:r>
          </w:p>
        </w:tc>
      </w:tr>
    </w:tbl>
    <w:p w14:paraId="2B294CAD" w14:textId="468EB7C1" w:rsidR="00274AAC" w:rsidRPr="004276F4" w:rsidRDefault="00274AAC" w:rsidP="004276F4">
      <w:pPr>
        <w:pStyle w:val="ListParagraph"/>
        <w:numPr>
          <w:ilvl w:val="0"/>
          <w:numId w:val="9"/>
        </w:numPr>
        <w:ind w:left="567" w:hanging="567"/>
        <w:rPr>
          <w:b/>
          <w:bCs/>
        </w:rPr>
      </w:pPr>
      <w:r>
        <w:rPr>
          <w:b/>
          <w:bCs/>
        </w:rPr>
        <w:t>Background</w:t>
      </w:r>
    </w:p>
    <w:p w14:paraId="6A6F5173" w14:textId="4A84749E" w:rsidR="00274AAC" w:rsidRDefault="00274AAC" w:rsidP="00274AAC">
      <w:pPr>
        <w:pStyle w:val="ListParagraph"/>
        <w:ind w:left="0"/>
      </w:pPr>
      <w:r>
        <w:t xml:space="preserve">Appendix 2 provides a guide to our performance reporting. Our performance looks at duration of processing applications and accounts, measured on a </w:t>
      </w:r>
      <w:r w:rsidR="004276F4">
        <w:t>three</w:t>
      </w:r>
      <w:r>
        <w:t xml:space="preserve"> month average from receipt to decision or payment being made, quality checks and customer satisfaction. A customer focused approach is taken with the ethos of delivering better customer experience and outcomes while improving efficiency by getting things right </w:t>
      </w:r>
      <w:r w:rsidR="00C522CE">
        <w:t>– and assisting applicant</w:t>
      </w:r>
      <w:r w:rsidR="00D33C37">
        <w:t>s</w:t>
      </w:r>
      <w:r w:rsidR="00C522CE">
        <w:t xml:space="preserve"> and their solicitors </w:t>
      </w:r>
      <w:r w:rsidR="00D33C37">
        <w:t xml:space="preserve">to get things right - </w:t>
      </w:r>
      <w:r>
        <w:t>at the first opportunity.</w:t>
      </w:r>
    </w:p>
    <w:p w14:paraId="534C1D0A" w14:textId="77777777" w:rsidR="00274AAC" w:rsidRDefault="00274AAC" w:rsidP="00274AAC">
      <w:pPr>
        <w:pStyle w:val="ListParagraph"/>
        <w:ind w:left="0"/>
      </w:pPr>
    </w:p>
    <w:p w14:paraId="4A699CA1" w14:textId="567AB93F" w:rsidR="00274AAC" w:rsidRDefault="00274AAC" w:rsidP="00274AAC">
      <w:pPr>
        <w:pStyle w:val="ListParagraph"/>
        <w:ind w:left="0"/>
      </w:pPr>
      <w:r>
        <w:t xml:space="preserve">While setting the benchmarks, we consider the trends in application/account types and volumes alongside any known changes in the wider justice sector, such as new regulations or fee reform. </w:t>
      </w:r>
      <w:r>
        <w:rPr>
          <w:color w:val="000000" w:themeColor="text1"/>
        </w:rPr>
        <w:t xml:space="preserve">This includes uncertainty over the future volumes of cases/accounts and the impact of the court backlog; changes in the case mix; internal resourcing pressures.  </w:t>
      </w:r>
      <w:r>
        <w:t>Cognisance is taken of the other business plan activity and knowledge of the teams.</w:t>
      </w:r>
    </w:p>
    <w:p w14:paraId="5D7AAFFD" w14:textId="77777777" w:rsidR="00274AAC" w:rsidRDefault="00274AAC" w:rsidP="00274AAC">
      <w:pPr>
        <w:pStyle w:val="ListParagraph"/>
        <w:ind w:left="0"/>
      </w:pPr>
    </w:p>
    <w:p w14:paraId="13DE3E34" w14:textId="3D219CA6" w:rsidR="00274AAC" w:rsidRPr="00274AAC" w:rsidRDefault="00274AAC" w:rsidP="00274AAC">
      <w:pPr>
        <w:pStyle w:val="ListParagraph"/>
        <w:ind w:left="0"/>
        <w:rPr>
          <w:b/>
          <w:bCs/>
        </w:rPr>
      </w:pPr>
      <w:r>
        <w:t>The benchmarks are set to be challenging but achievable. Sections 3 and 4 provide an explanation for proposed changes in the benchmarks.</w:t>
      </w:r>
    </w:p>
    <w:p w14:paraId="0F773185" w14:textId="77777777" w:rsidR="00274AAC" w:rsidRPr="00DB1668" w:rsidRDefault="00274AAC" w:rsidP="00274AAC">
      <w:pPr>
        <w:pStyle w:val="ListParagraph"/>
        <w:ind w:left="0"/>
      </w:pPr>
    </w:p>
    <w:p w14:paraId="54318503" w14:textId="38703FA6" w:rsidR="00DB1668" w:rsidRPr="004276F4" w:rsidRDefault="00DB1668" w:rsidP="004276F4">
      <w:pPr>
        <w:pStyle w:val="ListParagraph"/>
        <w:numPr>
          <w:ilvl w:val="0"/>
          <w:numId w:val="9"/>
        </w:numPr>
        <w:ind w:left="567" w:hanging="567"/>
        <w:rPr>
          <w:b/>
          <w:bCs/>
        </w:rPr>
      </w:pPr>
      <w:r w:rsidRPr="00D03F25">
        <w:rPr>
          <w:b/>
          <w:bCs/>
        </w:rPr>
        <w:t>Benchmark</w:t>
      </w:r>
      <w:r>
        <w:rPr>
          <w:b/>
          <w:bCs/>
        </w:rPr>
        <w:t xml:space="preserve"> for 2024-25</w:t>
      </w:r>
    </w:p>
    <w:p w14:paraId="505662FD" w14:textId="5115F603" w:rsidR="00DB1668" w:rsidRPr="00DB1668" w:rsidRDefault="00DB1668" w:rsidP="00DB1668">
      <w:pPr>
        <w:pStyle w:val="ListParagraph"/>
        <w:ind w:left="0"/>
      </w:pPr>
      <w:r>
        <w:t>A review of the benchmarks has been carried out, considering past performance and anticipated changes in the coming year.  Appendix 1 shows the details of the proposed indicators.</w:t>
      </w:r>
    </w:p>
    <w:p w14:paraId="69BE3CD1" w14:textId="77777777" w:rsidR="00DB1668" w:rsidRPr="00DB1668" w:rsidRDefault="00DB1668" w:rsidP="00DB1668">
      <w:pPr>
        <w:pStyle w:val="ListParagraph"/>
        <w:ind w:left="0"/>
      </w:pPr>
    </w:p>
    <w:p w14:paraId="2F4A4974" w14:textId="7EF98A12" w:rsidR="00D03F25" w:rsidRPr="004276F4" w:rsidRDefault="00D03F25" w:rsidP="004276F4">
      <w:pPr>
        <w:pStyle w:val="ListParagraph"/>
        <w:numPr>
          <w:ilvl w:val="0"/>
          <w:numId w:val="9"/>
        </w:numPr>
        <w:ind w:left="567" w:hanging="567"/>
        <w:rPr>
          <w:b/>
          <w:bCs/>
        </w:rPr>
      </w:pPr>
      <w:r w:rsidRPr="00D03F25">
        <w:rPr>
          <w:b/>
          <w:bCs/>
        </w:rPr>
        <w:t>Applications Benchmark</w:t>
      </w:r>
      <w:r>
        <w:rPr>
          <w:b/>
          <w:bCs/>
        </w:rPr>
        <w:t xml:space="preserve"> for 2024-25</w:t>
      </w:r>
      <w:r w:rsidR="004276F4">
        <w:rPr>
          <w:b/>
          <w:bCs/>
        </w:rPr>
        <w:br/>
      </w:r>
    </w:p>
    <w:p w14:paraId="793DF770" w14:textId="77777777" w:rsidR="004276F4" w:rsidRDefault="00842FD4" w:rsidP="004276F4">
      <w:pPr>
        <w:pStyle w:val="ListParagraph"/>
        <w:numPr>
          <w:ilvl w:val="1"/>
          <w:numId w:val="9"/>
        </w:numPr>
        <w:spacing w:after="120"/>
        <w:rPr>
          <w:b/>
          <w:bCs/>
          <w:color w:val="000000" w:themeColor="text1"/>
        </w:rPr>
      </w:pPr>
      <w:r w:rsidRPr="004276F4">
        <w:rPr>
          <w:b/>
          <w:bCs/>
          <w:color w:val="000000" w:themeColor="text1"/>
        </w:rPr>
        <w:t>Civil applications</w:t>
      </w:r>
    </w:p>
    <w:p w14:paraId="21523F8E" w14:textId="1A34DE39" w:rsidR="00842FD4" w:rsidRPr="004276F4" w:rsidRDefault="005713E5" w:rsidP="004276F4">
      <w:pPr>
        <w:spacing w:after="120"/>
        <w:rPr>
          <w:b/>
          <w:bCs/>
          <w:color w:val="000000" w:themeColor="text1"/>
        </w:rPr>
      </w:pPr>
      <w:r w:rsidRPr="004E0BDE">
        <w:t xml:space="preserve">Given the external pressures to do more for </w:t>
      </w:r>
      <w:r w:rsidR="004276F4" w:rsidRPr="004E0BDE">
        <w:t>adults</w:t>
      </w:r>
      <w:r w:rsidRPr="004E0BDE">
        <w:t xml:space="preserve"> without capacity within the justice </w:t>
      </w:r>
      <w:r w:rsidR="004276F4" w:rsidRPr="004E0BDE">
        <w:t>service, we</w:t>
      </w:r>
      <w:r w:rsidRPr="004E0BDE">
        <w:t xml:space="preserve"> have reduced duration to process from 17 days to 14 days</w:t>
      </w:r>
      <w:r w:rsidR="00621244">
        <w:t xml:space="preserve"> and the grant rate</w:t>
      </w:r>
      <w:r w:rsidR="00B0029F">
        <w:t xml:space="preserve"> from 96% to 97%</w:t>
      </w:r>
      <w:r w:rsidRPr="004E0BDE">
        <w:t xml:space="preserve">. </w:t>
      </w:r>
    </w:p>
    <w:p w14:paraId="08D4A4D2" w14:textId="172DF2A2" w:rsidR="005713E5" w:rsidRPr="004E0BDE" w:rsidRDefault="005713E5" w:rsidP="00842FD4">
      <w:pPr>
        <w:pStyle w:val="ListParagraph"/>
        <w:spacing w:after="120"/>
        <w:ind w:left="0"/>
      </w:pPr>
    </w:p>
    <w:p w14:paraId="491E24A0" w14:textId="79742924" w:rsidR="005713E5" w:rsidRPr="004E0BDE" w:rsidRDefault="005713E5" w:rsidP="00842FD4">
      <w:pPr>
        <w:pStyle w:val="ListParagraph"/>
        <w:spacing w:after="120"/>
        <w:ind w:left="0"/>
      </w:pPr>
      <w:r w:rsidRPr="004E0BDE">
        <w:t xml:space="preserve">Civil </w:t>
      </w:r>
      <w:r w:rsidR="00274AAC">
        <w:t>percentage</w:t>
      </w:r>
      <w:r w:rsidRPr="004E0BDE">
        <w:t xml:space="preserve"> first decision granted has been increased from, 72% to 75% and Civil </w:t>
      </w:r>
      <w:r w:rsidR="00274AAC">
        <w:t>percentage</w:t>
      </w:r>
      <w:r w:rsidRPr="004E0BDE">
        <w:t xml:space="preserve"> of first decisions with further work decreased from 12% to 10%</w:t>
      </w:r>
      <w:r w:rsidR="008F2EDF">
        <w:t xml:space="preserve">, both to reflect </w:t>
      </w:r>
      <w:r w:rsidR="00B0029F">
        <w:t>positive progress in both areas</w:t>
      </w:r>
      <w:r w:rsidR="00274AAC">
        <w:t>.</w:t>
      </w:r>
      <w:r w:rsidR="00281091">
        <w:t xml:space="preserve"> The grant rate measure has now increased </w:t>
      </w:r>
      <w:r w:rsidR="000B33D5">
        <w:t xml:space="preserve">substantially </w:t>
      </w:r>
      <w:r w:rsidR="00281091">
        <w:t xml:space="preserve">from </w:t>
      </w:r>
      <w:r w:rsidR="00521BEA">
        <w:t xml:space="preserve">the </w:t>
      </w:r>
      <w:r w:rsidR="000B33D5">
        <w:t xml:space="preserve">63% </w:t>
      </w:r>
      <w:r w:rsidR="00521BEA">
        <w:t>set for</w:t>
      </w:r>
      <w:r w:rsidR="000B33D5">
        <w:t xml:space="preserve"> 2020</w:t>
      </w:r>
      <w:r w:rsidR="00521BEA">
        <w:t xml:space="preserve">, with the further work measure showing similar improvement since then, </w:t>
      </w:r>
      <w:r w:rsidR="00B74F37">
        <w:t>dropping from 18% to 10%. Both are good indicators of the success</w:t>
      </w:r>
      <w:r w:rsidR="003A6B93">
        <w:t xml:space="preserve"> </w:t>
      </w:r>
      <w:r w:rsidR="00B74F37">
        <w:t xml:space="preserve">of our focus on </w:t>
      </w:r>
      <w:r w:rsidR="003A6B93">
        <w:t>getting it right first time –</w:t>
      </w:r>
      <w:r w:rsidR="00D20334">
        <w:t xml:space="preserve"> </w:t>
      </w:r>
      <w:r w:rsidR="003A6B93">
        <w:t xml:space="preserve">which brings benefits for us, applicants and the profession. </w:t>
      </w:r>
    </w:p>
    <w:p w14:paraId="129483EB" w14:textId="53D322EF" w:rsidR="005713E5" w:rsidRPr="004E0BDE" w:rsidRDefault="005713E5" w:rsidP="00842FD4">
      <w:pPr>
        <w:pStyle w:val="ListParagraph"/>
        <w:spacing w:after="120"/>
        <w:ind w:left="0"/>
      </w:pPr>
    </w:p>
    <w:p w14:paraId="65EFFCA5" w14:textId="05547E59" w:rsidR="005713E5" w:rsidRPr="004E0BDE" w:rsidRDefault="005713E5" w:rsidP="00842FD4">
      <w:pPr>
        <w:pStyle w:val="ListParagraph"/>
        <w:spacing w:after="120"/>
        <w:ind w:left="0"/>
      </w:pPr>
      <w:r w:rsidRPr="004E0BDE">
        <w:t xml:space="preserve">It is anticipated these new benchmarks will keep </w:t>
      </w:r>
      <w:r w:rsidR="00DD346A">
        <w:t>our</w:t>
      </w:r>
      <w:r w:rsidRPr="004E0BDE">
        <w:t xml:space="preserve"> focus on </w:t>
      </w:r>
      <w:r w:rsidR="003C2475">
        <w:t xml:space="preserve">where </w:t>
      </w:r>
      <w:r w:rsidRPr="004E0BDE">
        <w:t xml:space="preserve">we can make a difference </w:t>
      </w:r>
      <w:r w:rsidR="00B2087F">
        <w:t>to</w:t>
      </w:r>
      <w:r w:rsidR="003C2475">
        <w:t xml:space="preserve"> </w:t>
      </w:r>
      <w:r w:rsidR="00B2087F">
        <w:t>aspects of our work</w:t>
      </w:r>
      <w:r w:rsidR="003C2475">
        <w:t xml:space="preserve"> in which we have been</w:t>
      </w:r>
      <w:r w:rsidRPr="004E0BDE">
        <w:t xml:space="preserve"> consistently exceeding</w:t>
      </w:r>
      <w:r w:rsidR="003C2475">
        <w:t xml:space="preserve"> the </w:t>
      </w:r>
      <w:r w:rsidR="00D20334">
        <w:t>previous benchmarks</w:t>
      </w:r>
      <w:r w:rsidRPr="004E0BDE">
        <w:t xml:space="preserve">. </w:t>
      </w:r>
    </w:p>
    <w:p w14:paraId="65D6B0F0" w14:textId="77777777" w:rsidR="00842FD4" w:rsidRPr="00842FD4" w:rsidRDefault="00842FD4" w:rsidP="00842FD4">
      <w:pPr>
        <w:pStyle w:val="ListParagraph"/>
        <w:spacing w:after="120"/>
        <w:ind w:left="0"/>
        <w:rPr>
          <w:color w:val="000000" w:themeColor="text1"/>
        </w:rPr>
      </w:pPr>
    </w:p>
    <w:p w14:paraId="068C0F2C" w14:textId="77777777" w:rsidR="004276F4" w:rsidRDefault="00842FD4" w:rsidP="004D07D1">
      <w:pPr>
        <w:pStyle w:val="ListParagraph"/>
        <w:numPr>
          <w:ilvl w:val="1"/>
          <w:numId w:val="9"/>
        </w:numPr>
        <w:spacing w:after="120"/>
        <w:rPr>
          <w:b/>
          <w:bCs/>
        </w:rPr>
      </w:pPr>
      <w:r w:rsidRPr="004276F4">
        <w:rPr>
          <w:b/>
          <w:bCs/>
        </w:rPr>
        <w:t>Criminal applications</w:t>
      </w:r>
    </w:p>
    <w:p w14:paraId="2CBB0226" w14:textId="348874EC" w:rsidR="004D07D1" w:rsidRPr="004276F4" w:rsidRDefault="004D07D1" w:rsidP="004276F4">
      <w:pPr>
        <w:spacing w:after="120"/>
        <w:rPr>
          <w:b/>
          <w:bCs/>
        </w:rPr>
      </w:pPr>
      <w:r w:rsidRPr="004276F4">
        <w:rPr>
          <w:szCs w:val="24"/>
        </w:rPr>
        <w:t>In criminal we have 3 benchmarks for both Solemn and Summary cases, and these are:</w:t>
      </w:r>
    </w:p>
    <w:p w14:paraId="7762D8C7" w14:textId="26971913" w:rsidR="004D07D1" w:rsidRPr="004E0BDE" w:rsidRDefault="004D07D1" w:rsidP="004D07D1">
      <w:pPr>
        <w:pStyle w:val="ListParagraph"/>
        <w:numPr>
          <w:ilvl w:val="0"/>
          <w:numId w:val="11"/>
        </w:numPr>
        <w:contextualSpacing w:val="0"/>
        <w:rPr>
          <w:szCs w:val="24"/>
        </w:rPr>
      </w:pPr>
      <w:r w:rsidRPr="004E0BDE">
        <w:rPr>
          <w:szCs w:val="24"/>
        </w:rPr>
        <w:t>First Decision Average duration – Solemn 5.1 days, Summary 9.0 days</w:t>
      </w:r>
    </w:p>
    <w:p w14:paraId="262339CA" w14:textId="0DA9C80B" w:rsidR="004D07D1" w:rsidRPr="004E0BDE" w:rsidRDefault="004D07D1" w:rsidP="004D07D1">
      <w:pPr>
        <w:pStyle w:val="ListParagraph"/>
        <w:numPr>
          <w:ilvl w:val="0"/>
          <w:numId w:val="11"/>
        </w:numPr>
        <w:contextualSpacing w:val="0"/>
        <w:rPr>
          <w:szCs w:val="24"/>
        </w:rPr>
      </w:pPr>
      <w:r w:rsidRPr="004E0BDE">
        <w:rPr>
          <w:szCs w:val="24"/>
        </w:rPr>
        <w:t xml:space="preserve">First Decision </w:t>
      </w:r>
      <w:r w:rsidR="007864F5">
        <w:rPr>
          <w:szCs w:val="24"/>
        </w:rPr>
        <w:t>Percentage</w:t>
      </w:r>
      <w:r w:rsidRPr="004E0BDE">
        <w:rPr>
          <w:szCs w:val="24"/>
        </w:rPr>
        <w:t xml:space="preserve"> Granted – Solemn 85%, Summary 79%</w:t>
      </w:r>
    </w:p>
    <w:p w14:paraId="306CB8A6" w14:textId="16B12E1B" w:rsidR="004D07D1" w:rsidRPr="004E0BDE" w:rsidRDefault="007864F5" w:rsidP="004D07D1">
      <w:pPr>
        <w:pStyle w:val="ListParagraph"/>
        <w:numPr>
          <w:ilvl w:val="0"/>
          <w:numId w:val="11"/>
        </w:numPr>
        <w:contextualSpacing w:val="0"/>
        <w:rPr>
          <w:szCs w:val="24"/>
        </w:rPr>
      </w:pPr>
      <w:r>
        <w:rPr>
          <w:szCs w:val="24"/>
        </w:rPr>
        <w:t>Percentage</w:t>
      </w:r>
      <w:r w:rsidR="004D07D1" w:rsidRPr="004E0BDE">
        <w:rPr>
          <w:szCs w:val="24"/>
        </w:rPr>
        <w:t xml:space="preserve"> First Decision with Further work – Solemn 9%, Summary 15%.</w:t>
      </w:r>
    </w:p>
    <w:p w14:paraId="55F48FF8" w14:textId="77777777" w:rsidR="004D07D1" w:rsidRPr="004E0BDE" w:rsidRDefault="004D07D1" w:rsidP="004D07D1">
      <w:pPr>
        <w:ind w:left="360"/>
        <w:rPr>
          <w:szCs w:val="24"/>
        </w:rPr>
      </w:pPr>
    </w:p>
    <w:p w14:paraId="0850EA7F" w14:textId="5891304A" w:rsidR="001240E7" w:rsidRDefault="004D07D1" w:rsidP="004D07D1">
      <w:r>
        <w:t xml:space="preserve">We believe </w:t>
      </w:r>
      <w:r w:rsidR="00A20B46">
        <w:t>there are good reasons for us to work</w:t>
      </w:r>
      <w:r w:rsidR="005F018F">
        <w:t xml:space="preserve"> towards </w:t>
      </w:r>
      <w:r w:rsidR="00E45442">
        <w:t xml:space="preserve">bringing </w:t>
      </w:r>
      <w:r w:rsidR="005F018F">
        <w:t>these benchmarks</w:t>
      </w:r>
      <w:r w:rsidR="00E45442">
        <w:t xml:space="preserve"> closer together</w:t>
      </w:r>
      <w:r>
        <w:t xml:space="preserve">. The </w:t>
      </w:r>
      <w:r w:rsidR="00A20B46">
        <w:t>rationale for the differen</w:t>
      </w:r>
      <w:r w:rsidR="001241A5">
        <w:t xml:space="preserve">tiation between the two aid types was built on the different profile of cases and the tests we apply. </w:t>
      </w:r>
      <w:r w:rsidR="004276F4">
        <w:t>Solemn</w:t>
      </w:r>
      <w:r w:rsidR="00CB459D">
        <w:t xml:space="preserve"> cases </w:t>
      </w:r>
      <w:r w:rsidR="001D7645">
        <w:t xml:space="preserve">only have a financial test, there being no statutory </w:t>
      </w:r>
      <w:r w:rsidR="00CB459D">
        <w:t>merits test</w:t>
      </w:r>
      <w:r w:rsidR="001D7645">
        <w:t xml:space="preserve">. </w:t>
      </w:r>
      <w:r w:rsidR="0007114C">
        <w:t xml:space="preserve">It was therefore expected that these cases would take less time to process and result in fewer continuations for further information. </w:t>
      </w:r>
    </w:p>
    <w:p w14:paraId="2E58B7CB" w14:textId="77777777" w:rsidR="001240E7" w:rsidRDefault="001240E7" w:rsidP="004D07D1"/>
    <w:p w14:paraId="66FAE871" w14:textId="0DBAEA6C" w:rsidR="004D07D1" w:rsidRPr="004E0BDE" w:rsidRDefault="00A40A98" w:rsidP="004D07D1">
      <w:r>
        <w:t>Our ex</w:t>
      </w:r>
      <w:r w:rsidR="00045C6E">
        <w:t xml:space="preserve">perience is that </w:t>
      </w:r>
      <w:r w:rsidR="004276F4">
        <w:t>most</w:t>
      </w:r>
      <w:r w:rsidR="004D07D1">
        <w:t xml:space="preserve"> cases which need to be continued are continued for financial information</w:t>
      </w:r>
      <w:r w:rsidR="009B1E21">
        <w:t xml:space="preserve"> and that the rate of continuations is broadly similar for solemn and summary </w:t>
      </w:r>
      <w:r w:rsidR="00236B43">
        <w:t>at just under a third of all cases</w:t>
      </w:r>
      <w:r w:rsidR="00045C6E">
        <w:t xml:space="preserve">. </w:t>
      </w:r>
      <w:r w:rsidR="00F260C7">
        <w:t xml:space="preserve">While much of our improvement work is focused on improving the quality of initial applications to reduce the number of continuations, </w:t>
      </w:r>
      <w:r w:rsidR="00F41B64">
        <w:t>we find ourselves swimming against the tide here, as an increase in the number of domestic abuse cases brings with it a higher pro</w:t>
      </w:r>
      <w:r w:rsidR="00AE4BBB">
        <w:t xml:space="preserve">portion of employed applicants, with more complex finances and consequently </w:t>
      </w:r>
      <w:r w:rsidR="004D07D1">
        <w:t xml:space="preserve">more </w:t>
      </w:r>
      <w:r w:rsidR="00B07B95">
        <w:t xml:space="preserve">time-consuming </w:t>
      </w:r>
      <w:r w:rsidR="004D07D1">
        <w:t>requests for wage slips and bank statements.</w:t>
      </w:r>
      <w:r w:rsidR="001240E7">
        <w:t xml:space="preserve"> This has an impact on all three measures</w:t>
      </w:r>
      <w:r w:rsidR="004629D2">
        <w:t xml:space="preserve"> – durations, initial grant rate and further work</w:t>
      </w:r>
      <w:r w:rsidR="00E75E68">
        <w:t>.</w:t>
      </w:r>
    </w:p>
    <w:p w14:paraId="338CEA03" w14:textId="32F5BF63" w:rsidR="004D07D1" w:rsidRPr="004E0BDE" w:rsidRDefault="004D07D1" w:rsidP="004D07D1">
      <w:pPr>
        <w:rPr>
          <w:szCs w:val="24"/>
        </w:rPr>
      </w:pPr>
    </w:p>
    <w:p w14:paraId="7FF572E3" w14:textId="1ADB4A1C" w:rsidR="004D07D1" w:rsidRDefault="004276F4" w:rsidP="004D07D1">
      <w:r>
        <w:t>Most</w:t>
      </w:r>
      <w:r w:rsidR="00F26126">
        <w:t xml:space="preserve"> solemn applications are processed very quickly indeed. For cases that are not continued, </w:t>
      </w:r>
      <w:r w:rsidR="003F7556">
        <w:t>the average duration is 1.3 days</w:t>
      </w:r>
      <w:r w:rsidR="00605802">
        <w:t xml:space="preserve"> – the same as that for </w:t>
      </w:r>
      <w:r w:rsidR="00181C79">
        <w:t xml:space="preserve">‘prioritised’ summary applications (those with a next court hearing within </w:t>
      </w:r>
      <w:r w:rsidR="00B22062">
        <w:t>28</w:t>
      </w:r>
      <w:r w:rsidR="00181C79">
        <w:t xml:space="preserve"> days of the application received date)</w:t>
      </w:r>
      <w:r w:rsidR="003F7556">
        <w:t xml:space="preserve">. </w:t>
      </w:r>
      <w:r w:rsidR="003A51CD">
        <w:t>The timescales for continued cases are much longer</w:t>
      </w:r>
      <w:r w:rsidR="002F4C48">
        <w:t xml:space="preserve"> </w:t>
      </w:r>
      <w:r w:rsidR="00413878">
        <w:t>–</w:t>
      </w:r>
      <w:r w:rsidR="002F4C48">
        <w:t xml:space="preserve"> </w:t>
      </w:r>
      <w:r w:rsidR="00413878">
        <w:t xml:space="preserve">averaging 15 days or more – a reflection of the time taken for additional information to be provided to us. </w:t>
      </w:r>
      <w:r w:rsidR="003B4941">
        <w:t xml:space="preserve">We </w:t>
      </w:r>
      <w:r w:rsidR="00413878">
        <w:t xml:space="preserve">do not anticipate that </w:t>
      </w:r>
      <w:r w:rsidR="00FC52A3">
        <w:t xml:space="preserve">our performance in relation to non-continued solemn or prioritised summary cases will change, but to reflect the </w:t>
      </w:r>
      <w:r w:rsidR="00E82115">
        <w:t xml:space="preserve">shifting </w:t>
      </w:r>
      <w:r w:rsidR="00FC52A3">
        <w:t xml:space="preserve">balance between those and the cases requiring continuation, we are proposing to extend the solemn duration benchmark </w:t>
      </w:r>
      <w:r w:rsidR="00AE1357">
        <w:t>from 5.1 to 6 days while retaining the 9 days summary benchmark</w:t>
      </w:r>
      <w:r w:rsidR="004A1C92">
        <w:t xml:space="preserve"> (which needs to provide sufficient headroom for non-prioritised and continued cases)</w:t>
      </w:r>
      <w:r w:rsidR="00AE1357">
        <w:t xml:space="preserve">. </w:t>
      </w:r>
    </w:p>
    <w:p w14:paraId="50A61519" w14:textId="77777777" w:rsidR="008F7CAE" w:rsidRDefault="008F7CAE" w:rsidP="004D07D1"/>
    <w:p w14:paraId="04900FD8" w14:textId="6FDC3AD5" w:rsidR="008F7CAE" w:rsidRDefault="00181300" w:rsidP="004D07D1">
      <w:r>
        <w:t>We are also proposing</w:t>
      </w:r>
      <w:r w:rsidR="00CD01E1">
        <w:t xml:space="preserve"> to better reflect the patterns of continuation by </w:t>
      </w:r>
      <w:r w:rsidR="009E6DF0">
        <w:t>increasing the benchmarks for solemn further work, from 9% to 12%</w:t>
      </w:r>
      <w:r w:rsidR="0016085F">
        <w:t>,</w:t>
      </w:r>
      <w:r w:rsidR="009E6DF0">
        <w:t xml:space="preserve"> (the current benchmark has </w:t>
      </w:r>
      <w:r w:rsidR="009E6DF0">
        <w:lastRenderedPageBreak/>
        <w:t xml:space="preserve">proven unachievable for over two years) and </w:t>
      </w:r>
      <w:r w:rsidR="00CD01E1">
        <w:t>reducing the solemn grant rate benchmark from 85% to 83%</w:t>
      </w:r>
      <w:r w:rsidR="00144549">
        <w:t>, bringing it closer to our proposed summary benchmark of 8</w:t>
      </w:r>
      <w:r w:rsidR="002F3EC3">
        <w:t>1</w:t>
      </w:r>
      <w:r w:rsidR="00144549">
        <w:t xml:space="preserve">% (up from 79% to reflect </w:t>
      </w:r>
      <w:r w:rsidR="00FC2364">
        <w:t xml:space="preserve">recent improvements on this measure). </w:t>
      </w:r>
    </w:p>
    <w:p w14:paraId="5CAF939D" w14:textId="77777777" w:rsidR="00896C98" w:rsidRDefault="00896C98" w:rsidP="004D07D1"/>
    <w:p w14:paraId="109E1FCE" w14:textId="0010C249" w:rsidR="00896C98" w:rsidRDefault="00896C98" w:rsidP="004D07D1">
      <w:r>
        <w:t xml:space="preserve">Over the course of the coming </w:t>
      </w:r>
      <w:r w:rsidR="004276F4">
        <w:t>year,</w:t>
      </w:r>
      <w:r>
        <w:t xml:space="preserve"> we will review the assumptions underlying our prioritisation of </w:t>
      </w:r>
      <w:r w:rsidR="00256D33">
        <w:t>solemn cases and engage with the profession to explore whether a more harmonised approach would</w:t>
      </w:r>
      <w:r w:rsidR="00E96F53">
        <w:t xml:space="preserve"> be beneficial. We will also closely monitor the impact on our capacity of the increasing proportion of our work flowing from ABWOR cases, which do not have their own </w:t>
      </w:r>
      <w:r w:rsidR="004276F4">
        <w:t>benchmarks,</w:t>
      </w:r>
      <w:r w:rsidR="00E96F53">
        <w:t xml:space="preserve"> but which can be of key importance to the profession. </w:t>
      </w:r>
    </w:p>
    <w:p w14:paraId="4A0987A4" w14:textId="77777777" w:rsidR="004D07D1" w:rsidRDefault="004D07D1" w:rsidP="004D07D1">
      <w:pPr>
        <w:rPr>
          <w:color w:val="1F497D"/>
          <w:szCs w:val="24"/>
        </w:rPr>
      </w:pPr>
    </w:p>
    <w:p w14:paraId="7C0C3045" w14:textId="0BE3333C" w:rsidR="0057342B" w:rsidRPr="004276F4" w:rsidRDefault="00842FD4" w:rsidP="0057342B">
      <w:pPr>
        <w:pStyle w:val="ListParagraph"/>
        <w:numPr>
          <w:ilvl w:val="1"/>
          <w:numId w:val="9"/>
        </w:numPr>
        <w:spacing w:after="120"/>
        <w:rPr>
          <w:b/>
          <w:bCs/>
          <w:color w:val="000000" w:themeColor="text1"/>
        </w:rPr>
      </w:pPr>
      <w:r w:rsidRPr="004276F4">
        <w:rPr>
          <w:b/>
          <w:bCs/>
          <w:color w:val="000000" w:themeColor="text1"/>
        </w:rPr>
        <w:t>Children’s applications</w:t>
      </w:r>
      <w:bookmarkStart w:id="1" w:name="RANGE!A1"/>
      <w:bookmarkEnd w:id="1"/>
    </w:p>
    <w:p w14:paraId="27F3A460" w14:textId="3FCA0BAE" w:rsidR="0057342B" w:rsidRPr="0057342B" w:rsidRDefault="0057342B" w:rsidP="0057342B">
      <w:pPr>
        <w:rPr>
          <w:szCs w:val="24"/>
        </w:rPr>
      </w:pPr>
      <w:r>
        <w:t xml:space="preserve">We </w:t>
      </w:r>
      <w:r w:rsidR="00726446">
        <w:t xml:space="preserve">propose </w:t>
      </w:r>
      <w:r>
        <w:t>to reduce the benchmark from</w:t>
      </w:r>
      <w:r w:rsidR="0077380E">
        <w:t xml:space="preserve"> </w:t>
      </w:r>
      <w:r>
        <w:t xml:space="preserve">10% to 8% for the ‘% First Decision with Further Work’. </w:t>
      </w:r>
      <w:r w:rsidRPr="0057342B">
        <w:rPr>
          <w:szCs w:val="24"/>
        </w:rPr>
        <w:t>This will assist us to focus on helping solicitors get the right decision first time around.</w:t>
      </w:r>
    </w:p>
    <w:p w14:paraId="48F5B524" w14:textId="77777777" w:rsidR="0057342B" w:rsidRPr="0057342B" w:rsidRDefault="0057342B" w:rsidP="0057342B">
      <w:pPr>
        <w:rPr>
          <w:szCs w:val="24"/>
        </w:rPr>
      </w:pPr>
    </w:p>
    <w:p w14:paraId="7E0D4442" w14:textId="53CF9ABA" w:rsidR="00842FD4" w:rsidRDefault="0057342B" w:rsidP="000A2BAE">
      <w:pPr>
        <w:spacing w:after="120"/>
        <w:rPr>
          <w:color w:val="000000" w:themeColor="text1"/>
        </w:rPr>
      </w:pPr>
      <w:r>
        <w:t xml:space="preserve">At this stage </w:t>
      </w:r>
      <w:r w:rsidR="00726446">
        <w:t xml:space="preserve">we propose that </w:t>
      </w:r>
      <w:r>
        <w:t xml:space="preserve">‘First Decision Average Duration’ and ‘First Decision % Granted’ will remain the same. The system issue </w:t>
      </w:r>
      <w:r w:rsidR="004212A1">
        <w:t xml:space="preserve">described </w:t>
      </w:r>
      <w:r w:rsidR="001D77F6">
        <w:t>in the accompanying performance report</w:t>
      </w:r>
      <w:r w:rsidR="00347604">
        <w:t xml:space="preserve"> has</w:t>
      </w:r>
      <w:r>
        <w:t xml:space="preserve"> </w:t>
      </w:r>
      <w:r w:rsidR="001E5466">
        <w:t>artificially increas</w:t>
      </w:r>
      <w:r w:rsidR="00347604">
        <w:t>ed</w:t>
      </w:r>
      <w:r w:rsidR="001E5466">
        <w:t xml:space="preserve"> </w:t>
      </w:r>
      <w:r>
        <w:t xml:space="preserve">durations. </w:t>
      </w:r>
      <w:r w:rsidR="00722EB6">
        <w:t>Once we are confident that this has been</w:t>
      </w:r>
      <w:r>
        <w:t xml:space="preserve"> resolved we will review the benchmark for durations</w:t>
      </w:r>
      <w:r w:rsidR="00347604">
        <w:t>, but in the meantime propose to retain it at its current level</w:t>
      </w:r>
      <w:r>
        <w:t xml:space="preserve">. At this time the benchmark for first decisions granted </w:t>
      </w:r>
      <w:r w:rsidR="00347604">
        <w:t xml:space="preserve">also </w:t>
      </w:r>
      <w:r>
        <w:t>appears to be set at the correct level.</w:t>
      </w:r>
    </w:p>
    <w:p w14:paraId="3CD61B12" w14:textId="77777777" w:rsidR="004276F4" w:rsidRDefault="00842FD4" w:rsidP="004276F4">
      <w:pPr>
        <w:pStyle w:val="ListParagraph"/>
        <w:numPr>
          <w:ilvl w:val="0"/>
          <w:numId w:val="9"/>
        </w:numPr>
        <w:ind w:left="567" w:hanging="567"/>
        <w:rPr>
          <w:b/>
          <w:bCs/>
        </w:rPr>
      </w:pPr>
      <w:r>
        <w:rPr>
          <w:b/>
          <w:bCs/>
        </w:rPr>
        <w:t>Accounts</w:t>
      </w:r>
      <w:r w:rsidRPr="00D03F25">
        <w:rPr>
          <w:b/>
          <w:bCs/>
        </w:rPr>
        <w:t xml:space="preserve"> Benchmark</w:t>
      </w:r>
      <w:r>
        <w:rPr>
          <w:b/>
          <w:bCs/>
        </w:rPr>
        <w:t xml:space="preserve"> for 2024-25</w:t>
      </w:r>
      <w:bookmarkStart w:id="2" w:name="_Hlk160521131"/>
    </w:p>
    <w:p w14:paraId="0B645240" w14:textId="77777777" w:rsidR="004276F4" w:rsidRDefault="00F87FDD" w:rsidP="004276F4">
      <w:pPr>
        <w:rPr>
          <w:b/>
          <w:bCs/>
        </w:rPr>
      </w:pPr>
      <w:r w:rsidRPr="004276F4">
        <w:rPr>
          <w:color w:val="000000" w:themeColor="text1"/>
        </w:rPr>
        <w:t xml:space="preserve">An increase in application volumes, solemn fee reform in April 2023 and increase in the use of interim accounts is the context </w:t>
      </w:r>
      <w:r w:rsidR="002A4E84" w:rsidRPr="004276F4">
        <w:rPr>
          <w:color w:val="000000" w:themeColor="text1"/>
        </w:rPr>
        <w:t xml:space="preserve">in </w:t>
      </w:r>
      <w:r w:rsidRPr="004276F4">
        <w:rPr>
          <w:color w:val="000000" w:themeColor="text1"/>
        </w:rPr>
        <w:t>which the teams are working. An investment in staffing and the subsequent training is now paying dividends.</w:t>
      </w:r>
    </w:p>
    <w:p w14:paraId="70558335" w14:textId="77777777" w:rsidR="004276F4" w:rsidRDefault="004276F4" w:rsidP="004276F4">
      <w:pPr>
        <w:rPr>
          <w:b/>
          <w:bCs/>
        </w:rPr>
      </w:pPr>
    </w:p>
    <w:p w14:paraId="02181493" w14:textId="0CC705B3" w:rsidR="004276F4" w:rsidRDefault="00567F85" w:rsidP="004276F4">
      <w:pPr>
        <w:rPr>
          <w:b/>
          <w:bCs/>
        </w:rPr>
      </w:pPr>
      <w:r>
        <w:rPr>
          <w:color w:val="000000" w:themeColor="text1"/>
        </w:rPr>
        <w:t>A review of the cases managed across the teams has been carried out, with some movement between the team</w:t>
      </w:r>
      <w:r w:rsidR="00B22B2C">
        <w:rPr>
          <w:color w:val="000000" w:themeColor="text1"/>
        </w:rPr>
        <w:t>s proposed from April 2024</w:t>
      </w:r>
      <w:r>
        <w:rPr>
          <w:color w:val="000000" w:themeColor="text1"/>
        </w:rPr>
        <w:t>.</w:t>
      </w:r>
      <w:r w:rsidR="004276F4">
        <w:rPr>
          <w:color w:val="000000" w:themeColor="text1"/>
        </w:rPr>
        <w:t xml:space="preserve"> </w:t>
      </w:r>
      <w:r>
        <w:rPr>
          <w:color w:val="000000" w:themeColor="text1"/>
        </w:rPr>
        <w:t xml:space="preserve">This will see </w:t>
      </w:r>
      <w:r w:rsidR="004B6FF9">
        <w:rPr>
          <w:color w:val="000000" w:themeColor="text1"/>
        </w:rPr>
        <w:t xml:space="preserve">permanency cases </w:t>
      </w:r>
      <w:r>
        <w:rPr>
          <w:color w:val="000000" w:themeColor="text1"/>
        </w:rPr>
        <w:t xml:space="preserve">moving from </w:t>
      </w:r>
      <w:r w:rsidR="00B22B2C">
        <w:rPr>
          <w:color w:val="000000" w:themeColor="text1"/>
        </w:rPr>
        <w:t xml:space="preserve">Civil to </w:t>
      </w:r>
      <w:r>
        <w:rPr>
          <w:color w:val="000000" w:themeColor="text1"/>
        </w:rPr>
        <w:t xml:space="preserve">Children’s, with staff training built into the consideration on benchmarks. On this basis, the processing </w:t>
      </w:r>
      <w:r w:rsidR="004B6FF9">
        <w:rPr>
          <w:color w:val="000000" w:themeColor="text1"/>
        </w:rPr>
        <w:t xml:space="preserve">day </w:t>
      </w:r>
      <w:r>
        <w:rPr>
          <w:color w:val="000000" w:themeColor="text1"/>
        </w:rPr>
        <w:t xml:space="preserve">benchmarks are </w:t>
      </w:r>
      <w:r w:rsidR="00CA3138">
        <w:rPr>
          <w:color w:val="000000" w:themeColor="text1"/>
        </w:rPr>
        <w:t>proposed to remain unchanged.</w:t>
      </w:r>
    </w:p>
    <w:p w14:paraId="736D6DEE" w14:textId="77777777" w:rsidR="004276F4" w:rsidRDefault="004276F4" w:rsidP="004276F4">
      <w:pPr>
        <w:rPr>
          <w:b/>
          <w:bCs/>
        </w:rPr>
      </w:pPr>
    </w:p>
    <w:p w14:paraId="58DAD316" w14:textId="481F416A" w:rsidR="00802FE1" w:rsidRPr="004276F4" w:rsidRDefault="00802FE1" w:rsidP="004276F4">
      <w:pPr>
        <w:rPr>
          <w:b/>
          <w:bCs/>
        </w:rPr>
      </w:pPr>
      <w:r>
        <w:rPr>
          <w:color w:val="000000" w:themeColor="text1"/>
        </w:rPr>
        <w:t xml:space="preserve">Negotiations </w:t>
      </w:r>
      <w:r w:rsidR="005379DC">
        <w:rPr>
          <w:color w:val="000000" w:themeColor="text1"/>
        </w:rPr>
        <w:t>have been improved to 28 days</w:t>
      </w:r>
      <w:r w:rsidR="00FE3337">
        <w:rPr>
          <w:color w:val="000000" w:themeColor="text1"/>
        </w:rPr>
        <w:t xml:space="preserve">, from 29 days across all aid types. This measures includes time that the solicitor takes to respond so is not entirely within our control, however the improvement reflects our desire to conclude negotiations </w:t>
      </w:r>
      <w:r w:rsidR="007734D4">
        <w:rPr>
          <w:color w:val="000000" w:themeColor="text1"/>
        </w:rPr>
        <w:t>more quickly</w:t>
      </w:r>
      <w:r w:rsidR="00FE3337">
        <w:rPr>
          <w:color w:val="000000" w:themeColor="text1"/>
        </w:rPr>
        <w:t>.</w:t>
      </w:r>
    </w:p>
    <w:p w14:paraId="1C279F00" w14:textId="77777777" w:rsidR="00FE3337" w:rsidRDefault="00FE3337" w:rsidP="000A2BAE">
      <w:pPr>
        <w:spacing w:after="120"/>
        <w:rPr>
          <w:color w:val="000000" w:themeColor="text1"/>
        </w:rPr>
      </w:pPr>
    </w:p>
    <w:p w14:paraId="7685DC5F" w14:textId="77777777" w:rsidR="004276F4" w:rsidRDefault="00842FD4" w:rsidP="004276F4">
      <w:pPr>
        <w:pStyle w:val="ListParagraph"/>
        <w:numPr>
          <w:ilvl w:val="1"/>
          <w:numId w:val="9"/>
        </w:numPr>
        <w:spacing w:after="120"/>
        <w:rPr>
          <w:b/>
          <w:bCs/>
          <w:color w:val="000000" w:themeColor="text1"/>
        </w:rPr>
      </w:pPr>
      <w:r w:rsidRPr="004276F4">
        <w:rPr>
          <w:b/>
          <w:bCs/>
          <w:color w:val="000000" w:themeColor="text1"/>
        </w:rPr>
        <w:t>Civil accounts</w:t>
      </w:r>
    </w:p>
    <w:p w14:paraId="7D682D5C" w14:textId="4D5D7420" w:rsidR="004276F4" w:rsidRDefault="00B22B2C" w:rsidP="004276F4">
      <w:pPr>
        <w:spacing w:after="120"/>
        <w:rPr>
          <w:szCs w:val="24"/>
        </w:rPr>
      </w:pPr>
      <w:r w:rsidRPr="004276F4">
        <w:rPr>
          <w:szCs w:val="24"/>
        </w:rPr>
        <w:t>2023</w:t>
      </w:r>
      <w:r w:rsidR="004276F4">
        <w:rPr>
          <w:szCs w:val="24"/>
        </w:rPr>
        <w:t>-</w:t>
      </w:r>
      <w:r w:rsidRPr="004276F4">
        <w:rPr>
          <w:szCs w:val="24"/>
        </w:rPr>
        <w:t xml:space="preserve">24 remained a challenging year for the teams, where </w:t>
      </w:r>
      <w:r w:rsidR="004B6FF9" w:rsidRPr="004276F4">
        <w:rPr>
          <w:szCs w:val="24"/>
        </w:rPr>
        <w:t xml:space="preserve">the last </w:t>
      </w:r>
      <w:r w:rsidR="004276F4">
        <w:rPr>
          <w:szCs w:val="24"/>
        </w:rPr>
        <w:t>three</w:t>
      </w:r>
      <w:r w:rsidR="004B6FF9" w:rsidRPr="004276F4">
        <w:rPr>
          <w:szCs w:val="24"/>
        </w:rPr>
        <w:t xml:space="preserve"> months have met benchmark</w:t>
      </w:r>
      <w:r w:rsidRPr="004276F4">
        <w:rPr>
          <w:szCs w:val="24"/>
        </w:rPr>
        <w:t>.</w:t>
      </w:r>
    </w:p>
    <w:p w14:paraId="68EAD868" w14:textId="77777777" w:rsidR="004276F4" w:rsidRDefault="00B22B2C" w:rsidP="004276F4">
      <w:pPr>
        <w:spacing w:after="120"/>
        <w:rPr>
          <w:szCs w:val="24"/>
        </w:rPr>
      </w:pPr>
      <w:r w:rsidRPr="008738D3">
        <w:rPr>
          <w:szCs w:val="24"/>
        </w:rPr>
        <w:t>The increased use of i</w:t>
      </w:r>
      <w:r w:rsidR="00083D25" w:rsidRPr="008738D3">
        <w:rPr>
          <w:szCs w:val="24"/>
        </w:rPr>
        <w:t>nterim</w:t>
      </w:r>
      <w:r w:rsidRPr="008738D3">
        <w:rPr>
          <w:szCs w:val="24"/>
        </w:rPr>
        <w:t xml:space="preserve"> accounts, </w:t>
      </w:r>
      <w:r w:rsidR="008738D3">
        <w:rPr>
          <w:szCs w:val="24"/>
        </w:rPr>
        <w:t xml:space="preserve">which have no requirement for detailed checks and </w:t>
      </w:r>
      <w:r w:rsidR="00083D25" w:rsidRPr="008738D3">
        <w:rPr>
          <w:szCs w:val="24"/>
        </w:rPr>
        <w:t xml:space="preserve">now </w:t>
      </w:r>
      <w:r w:rsidR="008738D3">
        <w:rPr>
          <w:szCs w:val="24"/>
        </w:rPr>
        <w:t xml:space="preserve">account for </w:t>
      </w:r>
      <w:r w:rsidR="00083D25" w:rsidRPr="008738D3">
        <w:rPr>
          <w:szCs w:val="24"/>
        </w:rPr>
        <w:t>20%</w:t>
      </w:r>
      <w:r w:rsidR="00083D25" w:rsidRPr="00083D25">
        <w:rPr>
          <w:szCs w:val="24"/>
        </w:rPr>
        <w:t xml:space="preserve"> </w:t>
      </w:r>
      <w:r w:rsidR="008738D3">
        <w:rPr>
          <w:szCs w:val="24"/>
        </w:rPr>
        <w:t xml:space="preserve">of payments, has made </w:t>
      </w:r>
      <w:r w:rsidR="00BA5DDF">
        <w:rPr>
          <w:szCs w:val="24"/>
        </w:rPr>
        <w:t xml:space="preserve">possible </w:t>
      </w:r>
      <w:r w:rsidR="008738D3">
        <w:rPr>
          <w:szCs w:val="24"/>
        </w:rPr>
        <w:t>a</w:t>
      </w:r>
      <w:r w:rsidR="000F00B1">
        <w:rPr>
          <w:szCs w:val="24"/>
        </w:rPr>
        <w:t>n</w:t>
      </w:r>
      <w:r w:rsidR="008738D3">
        <w:rPr>
          <w:szCs w:val="24"/>
        </w:rPr>
        <w:t xml:space="preserve"> improvement in the initial assessment paid in full</w:t>
      </w:r>
      <w:r w:rsidR="00F87FDD">
        <w:rPr>
          <w:szCs w:val="24"/>
        </w:rPr>
        <w:t xml:space="preserve"> and ratio of negotiations</w:t>
      </w:r>
      <w:r w:rsidR="008738D3">
        <w:rPr>
          <w:szCs w:val="24"/>
        </w:rPr>
        <w:t xml:space="preserve">. </w:t>
      </w:r>
      <w:bookmarkStart w:id="3" w:name="_Hlk161212390"/>
    </w:p>
    <w:p w14:paraId="7D4C74A8" w14:textId="1B497CD6" w:rsidR="00083D25" w:rsidRPr="004276F4" w:rsidRDefault="00085631" w:rsidP="004276F4">
      <w:pPr>
        <w:spacing w:after="120"/>
        <w:rPr>
          <w:b/>
          <w:bCs/>
          <w:color w:val="000000" w:themeColor="text1"/>
        </w:rPr>
      </w:pPr>
      <w:r>
        <w:rPr>
          <w:szCs w:val="24"/>
        </w:rPr>
        <w:t xml:space="preserve">In civil ABWOR, </w:t>
      </w:r>
      <w:r w:rsidR="00B22B2C">
        <w:rPr>
          <w:szCs w:val="24"/>
        </w:rPr>
        <w:t>Immigration and Asylum</w:t>
      </w:r>
      <w:r w:rsidR="00083D25">
        <w:rPr>
          <w:szCs w:val="24"/>
        </w:rPr>
        <w:t xml:space="preserve"> remains an area of growth, </w:t>
      </w:r>
      <w:r w:rsidR="004B6FF9">
        <w:rPr>
          <w:szCs w:val="24"/>
        </w:rPr>
        <w:t xml:space="preserve">with applications </w:t>
      </w:r>
      <w:r w:rsidR="0077380E">
        <w:rPr>
          <w:szCs w:val="24"/>
        </w:rPr>
        <w:t>29</w:t>
      </w:r>
      <w:r w:rsidR="00083D25">
        <w:rPr>
          <w:szCs w:val="24"/>
        </w:rPr>
        <w:t xml:space="preserve">% higher </w:t>
      </w:r>
      <w:r w:rsidR="004B6FF9">
        <w:rPr>
          <w:szCs w:val="24"/>
        </w:rPr>
        <w:t xml:space="preserve">in the first 9 months </w:t>
      </w:r>
      <w:bookmarkEnd w:id="3"/>
      <w:r w:rsidR="004B6FF9">
        <w:rPr>
          <w:szCs w:val="24"/>
        </w:rPr>
        <w:t>of this year against the same period last year.</w:t>
      </w:r>
      <w:r w:rsidR="008738D3">
        <w:rPr>
          <w:szCs w:val="24"/>
        </w:rPr>
        <w:t xml:space="preserve"> </w:t>
      </w:r>
      <w:r w:rsidR="006845F8" w:rsidRPr="006845F8">
        <w:t xml:space="preserve">Adults with Incapacity, Mental Health and housing judicial reviews also continue grow </w:t>
      </w:r>
      <w:r w:rsidR="006845F8" w:rsidRPr="006845F8">
        <w:lastRenderedPageBreak/>
        <w:t>compared to pre-pandemic levels</w:t>
      </w:r>
      <w:r w:rsidR="006845F8">
        <w:rPr>
          <w:szCs w:val="24"/>
        </w:rPr>
        <w:t xml:space="preserve">. </w:t>
      </w:r>
      <w:r w:rsidR="008738D3">
        <w:rPr>
          <w:szCs w:val="24"/>
        </w:rPr>
        <w:t xml:space="preserve">With </w:t>
      </w:r>
      <w:r w:rsidR="004B6FF9">
        <w:rPr>
          <w:szCs w:val="24"/>
        </w:rPr>
        <w:t>further staff training planned</w:t>
      </w:r>
      <w:r w:rsidR="008738D3">
        <w:rPr>
          <w:szCs w:val="24"/>
        </w:rPr>
        <w:t xml:space="preserve"> there is </w:t>
      </w:r>
      <w:r w:rsidR="00083D25">
        <w:rPr>
          <w:szCs w:val="24"/>
        </w:rPr>
        <w:t>no</w:t>
      </w:r>
      <w:r w:rsidR="008738D3">
        <w:rPr>
          <w:szCs w:val="24"/>
        </w:rPr>
        <w:t xml:space="preserve"> proposed</w:t>
      </w:r>
      <w:r w:rsidR="00083D25">
        <w:rPr>
          <w:szCs w:val="24"/>
        </w:rPr>
        <w:t xml:space="preserve"> change in processing day benchmarks.</w:t>
      </w:r>
    </w:p>
    <w:p w14:paraId="7726728F" w14:textId="77777777" w:rsidR="00842FD4" w:rsidRPr="00842FD4" w:rsidRDefault="00842FD4" w:rsidP="00842FD4">
      <w:pPr>
        <w:pStyle w:val="ListParagraph"/>
        <w:spacing w:after="120"/>
        <w:ind w:left="0"/>
        <w:rPr>
          <w:color w:val="000000" w:themeColor="text1"/>
        </w:rPr>
      </w:pPr>
    </w:p>
    <w:p w14:paraId="262C1282" w14:textId="5E621F23" w:rsidR="00842FD4" w:rsidRPr="004276F4" w:rsidRDefault="00842FD4" w:rsidP="00842FD4">
      <w:pPr>
        <w:pStyle w:val="ListParagraph"/>
        <w:numPr>
          <w:ilvl w:val="1"/>
          <w:numId w:val="9"/>
        </w:numPr>
        <w:spacing w:after="120"/>
        <w:rPr>
          <w:b/>
          <w:bCs/>
          <w:color w:val="000000" w:themeColor="text1"/>
        </w:rPr>
      </w:pPr>
      <w:r w:rsidRPr="004276F4">
        <w:rPr>
          <w:b/>
          <w:bCs/>
          <w:color w:val="000000" w:themeColor="text1"/>
        </w:rPr>
        <w:t>Criminal accounts</w:t>
      </w:r>
    </w:p>
    <w:p w14:paraId="03F20FFC" w14:textId="338E4EBF" w:rsidR="00567F85" w:rsidRPr="00567F85" w:rsidRDefault="00567F85" w:rsidP="00842FD4">
      <w:pPr>
        <w:spacing w:after="200" w:line="276" w:lineRule="auto"/>
        <w:rPr>
          <w:szCs w:val="24"/>
        </w:rPr>
      </w:pPr>
      <w:r w:rsidRPr="00567F85">
        <w:rPr>
          <w:szCs w:val="24"/>
        </w:rPr>
        <w:t xml:space="preserve">Fee reform was introduced in April 2023 with the peak of training for staff and learning within the profession now reached a balance. </w:t>
      </w:r>
      <w:r w:rsidR="006E560C">
        <w:rPr>
          <w:szCs w:val="24"/>
        </w:rPr>
        <w:t xml:space="preserve">The new fees are simpler to </w:t>
      </w:r>
      <w:r w:rsidR="004276F4">
        <w:rPr>
          <w:szCs w:val="24"/>
        </w:rPr>
        <w:t>process,</w:t>
      </w:r>
      <w:r w:rsidR="006E560C">
        <w:rPr>
          <w:szCs w:val="24"/>
        </w:rPr>
        <w:t xml:space="preserve"> and the team has reduced its headcount by </w:t>
      </w:r>
      <w:r w:rsidR="006845F8">
        <w:rPr>
          <w:szCs w:val="24"/>
        </w:rPr>
        <w:t>two</w:t>
      </w:r>
      <w:r w:rsidR="006E560C">
        <w:rPr>
          <w:szCs w:val="24"/>
        </w:rPr>
        <w:t xml:space="preserve"> as a result.</w:t>
      </w:r>
    </w:p>
    <w:p w14:paraId="75A655B8" w14:textId="5AE412F8" w:rsidR="00842FD4" w:rsidRDefault="00274AAC" w:rsidP="00842FD4">
      <w:pPr>
        <w:spacing w:after="200" w:line="276" w:lineRule="auto"/>
        <w:rPr>
          <w:szCs w:val="24"/>
        </w:rPr>
      </w:pPr>
      <w:r>
        <w:rPr>
          <w:szCs w:val="24"/>
        </w:rPr>
        <w:t xml:space="preserve">In </w:t>
      </w:r>
      <w:r w:rsidR="00567F85" w:rsidRPr="00567F85">
        <w:rPr>
          <w:szCs w:val="24"/>
        </w:rPr>
        <w:t>2023</w:t>
      </w:r>
      <w:r w:rsidR="004276F4">
        <w:rPr>
          <w:szCs w:val="24"/>
        </w:rPr>
        <w:t>-</w:t>
      </w:r>
      <w:r w:rsidR="00567F85" w:rsidRPr="00567F85">
        <w:rPr>
          <w:szCs w:val="24"/>
        </w:rPr>
        <w:t xml:space="preserve">24 </w:t>
      </w:r>
      <w:r>
        <w:rPr>
          <w:szCs w:val="24"/>
        </w:rPr>
        <w:t xml:space="preserve">SCTS introduced </w:t>
      </w:r>
      <w:r w:rsidR="000F00B1">
        <w:rPr>
          <w:szCs w:val="24"/>
        </w:rPr>
        <w:t>more solemn</w:t>
      </w:r>
      <w:r w:rsidR="00567F85" w:rsidRPr="00567F85">
        <w:rPr>
          <w:szCs w:val="24"/>
        </w:rPr>
        <w:t xml:space="preserve"> courts</w:t>
      </w:r>
      <w:r>
        <w:rPr>
          <w:szCs w:val="24"/>
        </w:rPr>
        <w:t xml:space="preserve"> as one tool to manage the court backlogs built up during covid</w:t>
      </w:r>
      <w:r w:rsidR="000F00B1">
        <w:rPr>
          <w:szCs w:val="24"/>
        </w:rPr>
        <w:t xml:space="preserve">. </w:t>
      </w:r>
      <w:r w:rsidR="00567F85" w:rsidRPr="00567F85">
        <w:rPr>
          <w:szCs w:val="24"/>
        </w:rPr>
        <w:t>It is anticipate</w:t>
      </w:r>
      <w:r w:rsidR="00083D25">
        <w:rPr>
          <w:szCs w:val="24"/>
        </w:rPr>
        <w:t>d</w:t>
      </w:r>
      <w:r w:rsidR="00567F85" w:rsidRPr="00567F85">
        <w:rPr>
          <w:szCs w:val="24"/>
        </w:rPr>
        <w:t xml:space="preserve"> it will take until 2026 to clear all court backlogs</w:t>
      </w:r>
      <w:r w:rsidR="00083D25">
        <w:rPr>
          <w:szCs w:val="24"/>
        </w:rPr>
        <w:t xml:space="preserve"> </w:t>
      </w:r>
      <w:r>
        <w:rPr>
          <w:szCs w:val="24"/>
        </w:rPr>
        <w:t>therefore</w:t>
      </w:r>
      <w:r w:rsidR="00083D25">
        <w:rPr>
          <w:szCs w:val="24"/>
        </w:rPr>
        <w:t xml:space="preserve"> the team will continue to see high volumes.</w:t>
      </w:r>
      <w:r w:rsidR="00C04335">
        <w:rPr>
          <w:szCs w:val="24"/>
        </w:rPr>
        <w:t xml:space="preserve"> </w:t>
      </w:r>
    </w:p>
    <w:p w14:paraId="4F979A44" w14:textId="01B4BC4D" w:rsidR="00C04335" w:rsidRDefault="00C04335" w:rsidP="00842FD4">
      <w:pPr>
        <w:spacing w:after="200" w:line="276" w:lineRule="auto"/>
        <w:rPr>
          <w:szCs w:val="24"/>
        </w:rPr>
      </w:pPr>
      <w:r>
        <w:rPr>
          <w:szCs w:val="24"/>
        </w:rPr>
        <w:t xml:space="preserve">On this basis, and until we can assess </w:t>
      </w:r>
      <w:r w:rsidR="0005004D">
        <w:rPr>
          <w:szCs w:val="24"/>
        </w:rPr>
        <w:t xml:space="preserve">the </w:t>
      </w:r>
      <w:r w:rsidR="00D64F03">
        <w:rPr>
          <w:szCs w:val="24"/>
        </w:rPr>
        <w:t xml:space="preserve">net </w:t>
      </w:r>
      <w:r w:rsidR="0005004D">
        <w:rPr>
          <w:szCs w:val="24"/>
        </w:rPr>
        <w:t xml:space="preserve">performance impacts of the reduced headcount and increased volumes on the one hand and the simpler </w:t>
      </w:r>
      <w:r w:rsidR="00D64F03">
        <w:rPr>
          <w:szCs w:val="24"/>
        </w:rPr>
        <w:t xml:space="preserve">fee system on the other, we do not propose to make any changes other than to the negotiation benchmark in line with other aid types. </w:t>
      </w:r>
    </w:p>
    <w:p w14:paraId="509C00F1" w14:textId="1ED2795D" w:rsidR="00842FD4" w:rsidRPr="004276F4" w:rsidRDefault="00842FD4" w:rsidP="00842FD4">
      <w:pPr>
        <w:pStyle w:val="ListParagraph"/>
        <w:numPr>
          <w:ilvl w:val="1"/>
          <w:numId w:val="9"/>
        </w:numPr>
        <w:spacing w:after="120"/>
        <w:rPr>
          <w:b/>
          <w:bCs/>
          <w:color w:val="000000" w:themeColor="text1"/>
        </w:rPr>
      </w:pPr>
      <w:r w:rsidRPr="004276F4">
        <w:rPr>
          <w:b/>
          <w:bCs/>
          <w:color w:val="000000" w:themeColor="text1"/>
        </w:rPr>
        <w:t>Children’s accounts</w:t>
      </w:r>
    </w:p>
    <w:p w14:paraId="001ED832" w14:textId="77777777" w:rsidR="00842FD4" w:rsidRPr="00842FD4" w:rsidRDefault="00842FD4" w:rsidP="00842FD4">
      <w:pPr>
        <w:pStyle w:val="ListParagraph"/>
        <w:ind w:left="0"/>
        <w:rPr>
          <w:color w:val="000000" w:themeColor="text1"/>
        </w:rPr>
      </w:pPr>
    </w:p>
    <w:p w14:paraId="0D47A452" w14:textId="61E3425C" w:rsidR="00F87FDD" w:rsidRDefault="00F87FDD" w:rsidP="00F87FDD">
      <w:pPr>
        <w:spacing w:after="200" w:line="276" w:lineRule="auto"/>
        <w:rPr>
          <w:szCs w:val="24"/>
        </w:rPr>
      </w:pPr>
      <w:r>
        <w:rPr>
          <w:szCs w:val="24"/>
        </w:rPr>
        <w:t>Processing in the team has been strong in 2023</w:t>
      </w:r>
      <w:r w:rsidR="004276F4">
        <w:rPr>
          <w:szCs w:val="24"/>
        </w:rPr>
        <w:t>-</w:t>
      </w:r>
      <w:r>
        <w:rPr>
          <w:szCs w:val="24"/>
        </w:rPr>
        <w:t xml:space="preserve">24 with </w:t>
      </w:r>
      <w:r w:rsidR="006845F8">
        <w:rPr>
          <w:szCs w:val="24"/>
        </w:rPr>
        <w:t>all months being</w:t>
      </w:r>
      <w:r>
        <w:rPr>
          <w:szCs w:val="24"/>
        </w:rPr>
        <w:t xml:space="preserve"> better than</w:t>
      </w:r>
      <w:r w:rsidRPr="00567F85">
        <w:rPr>
          <w:szCs w:val="24"/>
        </w:rPr>
        <w:t>.</w:t>
      </w:r>
      <w:r>
        <w:rPr>
          <w:szCs w:val="24"/>
        </w:rPr>
        <w:t xml:space="preserve">  </w:t>
      </w:r>
      <w:r w:rsidR="006845F8" w:rsidRPr="006845F8">
        <w:rPr>
          <w:szCs w:val="24"/>
        </w:rPr>
        <w:t xml:space="preserve">The team dealing with increases in volumes of Adults with Incapacity (AWI), Mental Health and assuming responsibility for permanency cases </w:t>
      </w:r>
      <w:r w:rsidRPr="006845F8">
        <w:rPr>
          <w:szCs w:val="24"/>
        </w:rPr>
        <w:t xml:space="preserve">will better balance work </w:t>
      </w:r>
      <w:r>
        <w:rPr>
          <w:szCs w:val="24"/>
        </w:rPr>
        <w:t xml:space="preserve">between Civil and Children’s and therefore it is not proposed to change any of the processing day benchmarks.  </w:t>
      </w:r>
    </w:p>
    <w:p w14:paraId="556B2A98" w14:textId="4EB00EE9" w:rsidR="00842FD4" w:rsidRDefault="00B53722" w:rsidP="00274AAC">
      <w:pPr>
        <w:spacing w:after="200" w:line="276" w:lineRule="auto"/>
        <w:rPr>
          <w:color w:val="000000" w:themeColor="text1"/>
        </w:rPr>
      </w:pPr>
      <w:r w:rsidRPr="008738D3">
        <w:rPr>
          <w:szCs w:val="24"/>
        </w:rPr>
        <w:t>The increased use of interim accounts</w:t>
      </w:r>
      <w:r>
        <w:rPr>
          <w:szCs w:val="24"/>
        </w:rPr>
        <w:t xml:space="preserve"> has made </w:t>
      </w:r>
      <w:r w:rsidR="00047948">
        <w:rPr>
          <w:szCs w:val="24"/>
        </w:rPr>
        <w:t xml:space="preserve">possible </w:t>
      </w:r>
      <w:r>
        <w:rPr>
          <w:szCs w:val="24"/>
        </w:rPr>
        <w:t>an improvement in the initial assessment paid in full and ratio of negotiations.</w:t>
      </w:r>
      <w:r w:rsidR="00F87FDD">
        <w:rPr>
          <w:szCs w:val="24"/>
        </w:rPr>
        <w:t xml:space="preserve"> </w:t>
      </w:r>
      <w:bookmarkEnd w:id="2"/>
    </w:p>
    <w:p w14:paraId="6D240020" w14:textId="17CFB2B3" w:rsidR="000A2BAE" w:rsidRPr="0076007C" w:rsidRDefault="000A2BAE" w:rsidP="0076007C">
      <w:pPr>
        <w:spacing w:after="120"/>
        <w:rPr>
          <w:color w:val="000000" w:themeColor="text1"/>
        </w:rPr>
        <w:sectPr w:rsidR="000A2BAE" w:rsidRPr="0076007C" w:rsidSect="001A2180">
          <w:headerReference w:type="default" r:id="rId11"/>
          <w:footerReference w:type="default" r:id="rId12"/>
          <w:headerReference w:type="first" r:id="rId13"/>
          <w:footerReference w:type="first" r:id="rId14"/>
          <w:pgSz w:w="11906" w:h="16838"/>
          <w:pgMar w:top="1440" w:right="1133" w:bottom="1418" w:left="1276" w:header="680" w:footer="624" w:gutter="0"/>
          <w:cols w:sep="1" w:space="720"/>
          <w:titlePg/>
          <w:docGrid w:linePitch="360"/>
        </w:sectPr>
      </w:pPr>
    </w:p>
    <w:p w14:paraId="00990EED" w14:textId="34068D33" w:rsidR="00C6770D" w:rsidRPr="00DE171A" w:rsidRDefault="00842FD4" w:rsidP="00C6770D">
      <w:pPr>
        <w:spacing w:after="160" w:line="259" w:lineRule="auto"/>
        <w:rPr>
          <w:b/>
          <w:szCs w:val="24"/>
        </w:rPr>
      </w:pPr>
      <w:r>
        <w:rPr>
          <w:b/>
          <w:szCs w:val="24"/>
        </w:rPr>
        <w:lastRenderedPageBreak/>
        <w:t>APPENDIX 1: 2024-25 PERFORMANCE INDICATORS</w:t>
      </w:r>
    </w:p>
    <w:p w14:paraId="5184BA93" w14:textId="7D3D8CEB" w:rsidR="006841A3" w:rsidRDefault="00CA1F27" w:rsidP="4DE49C6B">
      <w:pPr>
        <w:spacing w:before="100" w:beforeAutospacing="1" w:after="100" w:afterAutospacing="1"/>
      </w:pPr>
      <w:r w:rsidRPr="00CA1F27">
        <w:rPr>
          <w:noProof/>
        </w:rPr>
        <w:drawing>
          <wp:inline distT="0" distB="0" distL="0" distR="0" wp14:anchorId="66B4978E" wp14:editId="2C3544A7">
            <wp:extent cx="9372600" cy="4962525"/>
            <wp:effectExtent l="0" t="0" r="0" b="9525"/>
            <wp:docPr id="375529572" name="Picture 2" descr="A summary of performance indict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29572" name="Picture 2" descr="A summary of performance indictato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72600" cy="4962525"/>
                    </a:xfrm>
                    <a:prstGeom prst="rect">
                      <a:avLst/>
                    </a:prstGeom>
                    <a:noFill/>
                    <a:ln>
                      <a:noFill/>
                    </a:ln>
                  </pic:spPr>
                </pic:pic>
              </a:graphicData>
            </a:graphic>
          </wp:inline>
        </w:drawing>
      </w:r>
    </w:p>
    <w:p w14:paraId="7E0153D8" w14:textId="25BB6641" w:rsidR="00DE717A" w:rsidRDefault="00DE717A">
      <w:pPr>
        <w:spacing w:before="100" w:beforeAutospacing="1" w:after="100" w:afterAutospacing="1"/>
      </w:pPr>
      <w:r>
        <w:br w:type="page"/>
      </w:r>
    </w:p>
    <w:p w14:paraId="60F86243" w14:textId="56FBB85E" w:rsidR="002E3C60" w:rsidRDefault="00261CE0">
      <w:pPr>
        <w:spacing w:before="100" w:beforeAutospacing="1" w:after="100" w:afterAutospacing="1"/>
      </w:pPr>
      <w:r w:rsidRPr="00261CE0">
        <w:rPr>
          <w:noProof/>
        </w:rPr>
        <w:lastRenderedPageBreak/>
        <w:drawing>
          <wp:inline distT="0" distB="0" distL="0" distR="0" wp14:anchorId="7C3D6B0B" wp14:editId="0C084A2E">
            <wp:extent cx="9372600" cy="6210300"/>
            <wp:effectExtent l="0" t="0" r="0" b="0"/>
            <wp:docPr id="1067519413" name="Picture 1" descr="A summary of performance indictators final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19413" name="Picture 1" descr="A summary of performance indictators final sec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72600" cy="6210300"/>
                    </a:xfrm>
                    <a:prstGeom prst="rect">
                      <a:avLst/>
                    </a:prstGeom>
                    <a:noFill/>
                    <a:ln>
                      <a:noFill/>
                    </a:ln>
                  </pic:spPr>
                </pic:pic>
              </a:graphicData>
            </a:graphic>
          </wp:inline>
        </w:drawing>
      </w:r>
    </w:p>
    <w:p w14:paraId="2D908816" w14:textId="217B7032" w:rsidR="002E3C60" w:rsidRDefault="004538DE" w:rsidP="004276F4">
      <w:pPr>
        <w:spacing w:before="100" w:beforeAutospacing="1" w:after="100" w:afterAutospacing="1"/>
        <w:jc w:val="center"/>
      </w:pPr>
      <w:r w:rsidRPr="004538DE">
        <w:rPr>
          <w:noProof/>
        </w:rPr>
        <w:lastRenderedPageBreak/>
        <w:drawing>
          <wp:inline distT="0" distB="0" distL="0" distR="0" wp14:anchorId="4412C3F7" wp14:editId="7577F794">
            <wp:extent cx="7434580" cy="6286500"/>
            <wp:effectExtent l="0" t="0" r="0" b="0"/>
            <wp:docPr id="1064561312" name="Picture 3" descr="A summary of account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61312" name="Picture 3" descr="A summary of accounts performa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34580" cy="6286500"/>
                    </a:xfrm>
                    <a:prstGeom prst="rect">
                      <a:avLst/>
                    </a:prstGeom>
                    <a:noFill/>
                    <a:ln>
                      <a:noFill/>
                    </a:ln>
                  </pic:spPr>
                </pic:pic>
              </a:graphicData>
            </a:graphic>
          </wp:inline>
        </w:drawing>
      </w:r>
    </w:p>
    <w:p w14:paraId="0C0C4F24" w14:textId="1DB43BAE" w:rsidR="002D51CA" w:rsidRDefault="002D51CA" w:rsidP="7136B272">
      <w:pPr>
        <w:spacing w:before="100" w:beforeAutospacing="1" w:after="100" w:afterAutospacing="1"/>
      </w:pPr>
    </w:p>
    <w:p w14:paraId="797F711D" w14:textId="77777777" w:rsidR="002E3C60" w:rsidRDefault="002E3C60" w:rsidP="00F45F5E">
      <w:pPr>
        <w:spacing w:before="100" w:beforeAutospacing="1" w:after="100" w:afterAutospacing="1"/>
        <w:jc w:val="center"/>
      </w:pPr>
    </w:p>
    <w:p w14:paraId="7CED6271" w14:textId="143032CB" w:rsidR="002E3C60" w:rsidRDefault="00A032F2" w:rsidP="00F45F5E">
      <w:pPr>
        <w:spacing w:before="100" w:beforeAutospacing="1" w:after="100" w:afterAutospacing="1"/>
        <w:jc w:val="center"/>
      </w:pPr>
      <w:r w:rsidRPr="00A032F2">
        <w:rPr>
          <w:noProof/>
        </w:rPr>
        <w:drawing>
          <wp:inline distT="0" distB="0" distL="0" distR="0" wp14:anchorId="57EB2818" wp14:editId="1CEF7446">
            <wp:extent cx="9540875" cy="3583940"/>
            <wp:effectExtent l="0" t="0" r="3175" b="0"/>
            <wp:docPr id="1546420429" name="Picture 4" descr="A summary of Children'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20429" name="Picture 4" descr="A summary of Children's performa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40875" cy="3583940"/>
                    </a:xfrm>
                    <a:prstGeom prst="rect">
                      <a:avLst/>
                    </a:prstGeom>
                    <a:noFill/>
                    <a:ln>
                      <a:noFill/>
                    </a:ln>
                  </pic:spPr>
                </pic:pic>
              </a:graphicData>
            </a:graphic>
          </wp:inline>
        </w:drawing>
      </w:r>
    </w:p>
    <w:p w14:paraId="4F44CD20" w14:textId="77777777" w:rsidR="000A02D3" w:rsidRDefault="000A02D3" w:rsidP="00F45F5E">
      <w:pPr>
        <w:spacing w:before="100" w:beforeAutospacing="1" w:after="100" w:afterAutospacing="1"/>
        <w:jc w:val="center"/>
      </w:pPr>
    </w:p>
    <w:p w14:paraId="1D7E358B" w14:textId="77777777" w:rsidR="000A02D3" w:rsidRPr="00362F68" w:rsidRDefault="000A02D3" w:rsidP="00F45F5E">
      <w:pPr>
        <w:spacing w:before="100" w:beforeAutospacing="1" w:after="100" w:afterAutospacing="1"/>
        <w:jc w:val="center"/>
        <w:sectPr w:rsidR="000A02D3" w:rsidRPr="00362F68" w:rsidSect="001A2180">
          <w:headerReference w:type="even" r:id="rId19"/>
          <w:headerReference w:type="default" r:id="rId20"/>
          <w:footerReference w:type="even" r:id="rId21"/>
          <w:footerReference w:type="default" r:id="rId22"/>
          <w:headerReference w:type="first" r:id="rId23"/>
          <w:footerReference w:type="first" r:id="rId24"/>
          <w:pgSz w:w="16838" w:h="11906" w:orient="landscape"/>
          <w:pgMar w:top="426" w:right="820" w:bottom="851" w:left="993" w:header="680" w:footer="624" w:gutter="0"/>
          <w:cols w:sep="1" w:space="720"/>
          <w:docGrid w:linePitch="360"/>
        </w:sectPr>
      </w:pPr>
    </w:p>
    <w:p w14:paraId="0DD8E513" w14:textId="77777777" w:rsidR="00F77A60" w:rsidRDefault="00F77A60" w:rsidP="00F77A60"/>
    <w:p w14:paraId="54D8B9A1" w14:textId="77777777" w:rsidR="00F9675B" w:rsidRDefault="00F9675B" w:rsidP="00F77A60"/>
    <w:tbl>
      <w:tblPr>
        <w:tblStyle w:val="TableGrid"/>
        <w:tblW w:w="10468" w:type="dxa"/>
        <w:tblInd w:w="-714" w:type="dxa"/>
        <w:tblLook w:val="04A0" w:firstRow="1" w:lastRow="0" w:firstColumn="1" w:lastColumn="0" w:noHBand="0" w:noVBand="1"/>
      </w:tblPr>
      <w:tblGrid>
        <w:gridCol w:w="425"/>
        <w:gridCol w:w="10043"/>
      </w:tblGrid>
      <w:tr w:rsidR="00F77A60" w:rsidRPr="00E349F0" w14:paraId="50680C5B" w14:textId="77777777" w:rsidTr="004276F4">
        <w:tc>
          <w:tcPr>
            <w:tcW w:w="425" w:type="dxa"/>
            <w:shd w:val="clear" w:color="auto" w:fill="D9D9D9" w:themeFill="background1" w:themeFillShade="D9"/>
          </w:tcPr>
          <w:p w14:paraId="19564A61" w14:textId="77777777" w:rsidR="00F77A60" w:rsidRPr="00E349F0" w:rsidRDefault="00F77A60" w:rsidP="00461223"/>
        </w:tc>
        <w:tc>
          <w:tcPr>
            <w:tcW w:w="10043" w:type="dxa"/>
            <w:shd w:val="clear" w:color="auto" w:fill="D9D9D9" w:themeFill="background1" w:themeFillShade="D9"/>
          </w:tcPr>
          <w:p w14:paraId="1E702C81" w14:textId="77777777" w:rsidR="00F77A60" w:rsidRPr="00C57B33" w:rsidRDefault="00F77A60" w:rsidP="00461223">
            <w:pPr>
              <w:rPr>
                <w:b/>
              </w:rPr>
            </w:pPr>
            <w:r w:rsidRPr="00C57B33">
              <w:rPr>
                <w:b/>
              </w:rPr>
              <w:t xml:space="preserve">Governance Links </w:t>
            </w:r>
          </w:p>
        </w:tc>
      </w:tr>
      <w:tr w:rsidR="00F77A60" w:rsidRPr="00E349F0" w14:paraId="4298DF35" w14:textId="77777777" w:rsidTr="004276F4">
        <w:tc>
          <w:tcPr>
            <w:tcW w:w="425" w:type="dxa"/>
          </w:tcPr>
          <w:p w14:paraId="42AEE171" w14:textId="77777777" w:rsidR="00F77A60" w:rsidRPr="00E349F0" w:rsidRDefault="00F77A60" w:rsidP="00461223">
            <w:r w:rsidRPr="00E349F0">
              <w:t>1</w:t>
            </w:r>
          </w:p>
        </w:tc>
        <w:tc>
          <w:tcPr>
            <w:tcW w:w="10043" w:type="dxa"/>
          </w:tcPr>
          <w:p w14:paraId="4A0B727C" w14:textId="77777777" w:rsidR="00F77A60" w:rsidRPr="00C57B33" w:rsidRDefault="00F77A60" w:rsidP="00461223">
            <w:pPr>
              <w:rPr>
                <w:b/>
              </w:rPr>
            </w:pPr>
            <w:r w:rsidRPr="00C57B33">
              <w:rPr>
                <w:b/>
              </w:rPr>
              <w:t>Finance and Resources</w:t>
            </w:r>
          </w:p>
          <w:p w14:paraId="3433CEFF" w14:textId="77777777" w:rsidR="00F77A60" w:rsidRPr="00E349F0" w:rsidRDefault="00F77A60" w:rsidP="001919A6">
            <w:r w:rsidRPr="00116D9E">
              <w:t xml:space="preserve">Resources are key to the delivery of good performance. </w:t>
            </w:r>
            <w:r w:rsidR="001919A6">
              <w:t xml:space="preserve">There are no </w:t>
            </w:r>
            <w:r w:rsidR="000B29D9">
              <w:t xml:space="preserve">additional </w:t>
            </w:r>
            <w:r w:rsidR="001919A6">
              <w:t>resourcing issues to flag to the Board which have affected the performance reported.</w:t>
            </w:r>
          </w:p>
        </w:tc>
      </w:tr>
      <w:tr w:rsidR="00F77A60" w:rsidRPr="00E349F0" w14:paraId="6C280D09" w14:textId="77777777" w:rsidTr="004276F4">
        <w:tc>
          <w:tcPr>
            <w:tcW w:w="425" w:type="dxa"/>
          </w:tcPr>
          <w:p w14:paraId="7DB7D489" w14:textId="77777777" w:rsidR="00F77A60" w:rsidRPr="00E349F0" w:rsidRDefault="00F77A60" w:rsidP="00461223">
            <w:r w:rsidRPr="00E349F0">
              <w:t>2</w:t>
            </w:r>
          </w:p>
        </w:tc>
        <w:tc>
          <w:tcPr>
            <w:tcW w:w="10043" w:type="dxa"/>
          </w:tcPr>
          <w:p w14:paraId="10617546" w14:textId="77777777" w:rsidR="00F77A60" w:rsidRPr="00C57B33" w:rsidRDefault="00F77A60" w:rsidP="00461223">
            <w:pPr>
              <w:rPr>
                <w:b/>
              </w:rPr>
            </w:pPr>
            <w:r w:rsidRPr="00C57B33">
              <w:rPr>
                <w:b/>
              </w:rPr>
              <w:t xml:space="preserve">Risk </w:t>
            </w:r>
          </w:p>
          <w:p w14:paraId="05DCA852" w14:textId="77777777" w:rsidR="00F77A60" w:rsidRPr="004276F4" w:rsidRDefault="00F77A60" w:rsidP="00461223">
            <w:pPr>
              <w:rPr>
                <w:i/>
                <w:iCs/>
              </w:rPr>
            </w:pPr>
            <w:r w:rsidRPr="004276F4">
              <w:rPr>
                <w:i/>
                <w:iCs/>
              </w:rPr>
              <w:t>Applications</w:t>
            </w:r>
          </w:p>
          <w:p w14:paraId="7D31F381" w14:textId="562D7FCC" w:rsidR="00F77A60" w:rsidRPr="009E1784" w:rsidRDefault="00F77A60" w:rsidP="00461223">
            <w:r w:rsidRPr="009E1784">
              <w:t xml:space="preserve">This report gives assurance that we are managing the functional risks identified in relation to: </w:t>
            </w:r>
            <w:r w:rsidR="004276F4">
              <w:br/>
            </w:r>
            <w:r w:rsidRPr="009E1784">
              <w:t>(</w:t>
            </w:r>
            <w:proofErr w:type="spellStart"/>
            <w:r w:rsidRPr="009E1784">
              <w:t>i</w:t>
            </w:r>
            <w:proofErr w:type="spellEnd"/>
            <w:r w:rsidRPr="009E1784">
              <w:t>) Failure to accurately assess applications and increases in accordance with SLAB's policies and procedures</w:t>
            </w:r>
            <w:r w:rsidR="004276F4">
              <w:br/>
            </w:r>
            <w:r w:rsidRPr="009E1784">
              <w:t>(ii) Failure to take operational decisions within agreed service standards.</w:t>
            </w:r>
          </w:p>
          <w:p w14:paraId="00579208" w14:textId="77777777" w:rsidR="00F77A60" w:rsidRPr="004276F4" w:rsidRDefault="00F77A60" w:rsidP="00461223">
            <w:pPr>
              <w:rPr>
                <w:i/>
                <w:iCs/>
              </w:rPr>
            </w:pPr>
            <w:r w:rsidRPr="004276F4">
              <w:rPr>
                <w:i/>
                <w:iCs/>
              </w:rPr>
              <w:t>Accounts</w:t>
            </w:r>
          </w:p>
          <w:p w14:paraId="55AD15BE" w14:textId="2A8C904D" w:rsidR="00F77A60" w:rsidRPr="00E349F0" w:rsidRDefault="00F77A60" w:rsidP="00461223">
            <w:r w:rsidRPr="009E1784">
              <w:t xml:space="preserve">This report gives assurance that we are managing the functional risks identified in relation to: </w:t>
            </w:r>
            <w:r w:rsidR="004276F4">
              <w:br/>
            </w:r>
            <w:r w:rsidRPr="009E1784">
              <w:t>(</w:t>
            </w:r>
            <w:proofErr w:type="spellStart"/>
            <w:r w:rsidRPr="009E1784">
              <w:t>i</w:t>
            </w:r>
            <w:proofErr w:type="spellEnd"/>
            <w:r w:rsidRPr="009E1784">
              <w:t xml:space="preserve">) </w:t>
            </w:r>
            <w:r w:rsidR="004D623C">
              <w:t>regular monitoring of performance in addition to the corporate risk 4</w:t>
            </w:r>
            <w:r w:rsidRPr="009E1784">
              <w:t>.</w:t>
            </w:r>
          </w:p>
        </w:tc>
      </w:tr>
      <w:tr w:rsidR="00F77A60" w:rsidRPr="009C66A0" w14:paraId="7657DD82" w14:textId="77777777" w:rsidTr="004276F4">
        <w:tc>
          <w:tcPr>
            <w:tcW w:w="425" w:type="dxa"/>
          </w:tcPr>
          <w:p w14:paraId="57890B81" w14:textId="77777777" w:rsidR="00F77A60" w:rsidRPr="00E349F0" w:rsidRDefault="00F77A60" w:rsidP="00461223">
            <w:r w:rsidRPr="00E349F0">
              <w:t>3</w:t>
            </w:r>
          </w:p>
          <w:p w14:paraId="3F8B29CE" w14:textId="77777777" w:rsidR="00F77A60" w:rsidRPr="00E349F0" w:rsidRDefault="00F77A60" w:rsidP="00461223"/>
        </w:tc>
        <w:tc>
          <w:tcPr>
            <w:tcW w:w="10043" w:type="dxa"/>
          </w:tcPr>
          <w:p w14:paraId="31D7D0E3" w14:textId="3D4D1F7A" w:rsidR="00F77A60" w:rsidRPr="004276F4" w:rsidRDefault="00F77A60" w:rsidP="00461223">
            <w:pPr>
              <w:rPr>
                <w:b/>
              </w:rPr>
            </w:pPr>
            <w:r w:rsidRPr="00C57B33">
              <w:rPr>
                <w:b/>
              </w:rPr>
              <w:t>Legal and Compliance</w:t>
            </w:r>
          </w:p>
          <w:p w14:paraId="182C4B77" w14:textId="52BD5A38" w:rsidR="00F77A60" w:rsidRPr="00E349F0" w:rsidRDefault="00F77A60" w:rsidP="00461223">
            <w:r>
              <w:t>No issues of note.</w:t>
            </w:r>
          </w:p>
        </w:tc>
      </w:tr>
      <w:tr w:rsidR="00F77A60" w:rsidRPr="009C66A0" w14:paraId="78E8DD3C" w14:textId="77777777" w:rsidTr="004276F4">
        <w:tc>
          <w:tcPr>
            <w:tcW w:w="425" w:type="dxa"/>
          </w:tcPr>
          <w:p w14:paraId="23D9B6CB" w14:textId="77777777" w:rsidR="00F77A60" w:rsidRPr="00E349F0" w:rsidRDefault="00F77A60" w:rsidP="00461223">
            <w:r w:rsidRPr="00E349F0">
              <w:t>4</w:t>
            </w:r>
          </w:p>
        </w:tc>
        <w:tc>
          <w:tcPr>
            <w:tcW w:w="10043" w:type="dxa"/>
          </w:tcPr>
          <w:p w14:paraId="0FDA9504" w14:textId="3BD38975" w:rsidR="00F77A60" w:rsidRPr="004276F4" w:rsidRDefault="00F77A60" w:rsidP="00461223">
            <w:pPr>
              <w:rPr>
                <w:b/>
              </w:rPr>
            </w:pPr>
            <w:r w:rsidRPr="00C57B33">
              <w:rPr>
                <w:b/>
              </w:rPr>
              <w:t>Performance</w:t>
            </w:r>
          </w:p>
          <w:p w14:paraId="64D9218C" w14:textId="04473BF3" w:rsidR="00F77A60" w:rsidRPr="00E349F0" w:rsidRDefault="00567F85" w:rsidP="00461223">
            <w:r>
              <w:t>The purpose of the paper is setting the performance indicators</w:t>
            </w:r>
            <w:r w:rsidR="00F77A60">
              <w:t>.</w:t>
            </w:r>
          </w:p>
        </w:tc>
      </w:tr>
      <w:tr w:rsidR="00F77A60" w:rsidRPr="009C66A0" w14:paraId="4F198B0D" w14:textId="77777777" w:rsidTr="004276F4">
        <w:tc>
          <w:tcPr>
            <w:tcW w:w="425" w:type="dxa"/>
          </w:tcPr>
          <w:p w14:paraId="187C3DC9" w14:textId="77777777" w:rsidR="00F77A60" w:rsidRPr="00E349F0" w:rsidRDefault="00F77A60" w:rsidP="00461223">
            <w:r w:rsidRPr="00E349F0">
              <w:t>5</w:t>
            </w:r>
          </w:p>
        </w:tc>
        <w:tc>
          <w:tcPr>
            <w:tcW w:w="10043" w:type="dxa"/>
          </w:tcPr>
          <w:p w14:paraId="4CFE6B52" w14:textId="0697ADC7" w:rsidR="00F77A60" w:rsidRPr="004276F4" w:rsidRDefault="00F77A60" w:rsidP="00461223">
            <w:pPr>
              <w:rPr>
                <w:b/>
              </w:rPr>
            </w:pPr>
            <w:r w:rsidRPr="00C57B33">
              <w:rPr>
                <w:b/>
              </w:rPr>
              <w:t>Equalities Impact</w:t>
            </w:r>
          </w:p>
          <w:p w14:paraId="576815CF" w14:textId="03F25F86" w:rsidR="00567F85" w:rsidRPr="00116D9E" w:rsidRDefault="00F77A60" w:rsidP="00461223">
            <w:r w:rsidRPr="009E1784">
              <w:t>An impact assessment is not required for this paper.</w:t>
            </w:r>
          </w:p>
        </w:tc>
      </w:tr>
      <w:tr w:rsidR="00F77A60" w:rsidRPr="009C66A0" w14:paraId="75834182" w14:textId="77777777" w:rsidTr="004276F4">
        <w:tc>
          <w:tcPr>
            <w:tcW w:w="425" w:type="dxa"/>
          </w:tcPr>
          <w:p w14:paraId="21F85E4C" w14:textId="77777777" w:rsidR="00F77A60" w:rsidRPr="00E349F0" w:rsidRDefault="00F77A60" w:rsidP="00461223">
            <w:r w:rsidRPr="00E349F0">
              <w:t>6</w:t>
            </w:r>
          </w:p>
        </w:tc>
        <w:tc>
          <w:tcPr>
            <w:tcW w:w="10043" w:type="dxa"/>
          </w:tcPr>
          <w:p w14:paraId="32C4999A" w14:textId="5F6025D1" w:rsidR="00F77A60" w:rsidRPr="004276F4" w:rsidRDefault="00F77A60" w:rsidP="00461223">
            <w:pPr>
              <w:rPr>
                <w:b/>
              </w:rPr>
            </w:pPr>
            <w:r w:rsidRPr="00C57B33">
              <w:rPr>
                <w:b/>
              </w:rPr>
              <w:t>Privacy Impact and Data Protection</w:t>
            </w:r>
          </w:p>
          <w:p w14:paraId="3B45881B" w14:textId="4814C1EB" w:rsidR="00567F85" w:rsidRPr="00E349F0" w:rsidRDefault="00F77A60" w:rsidP="00461223">
            <w:r w:rsidRPr="00E349F0">
              <w:t xml:space="preserve">No privacy or data protection issues identified.  </w:t>
            </w:r>
          </w:p>
        </w:tc>
      </w:tr>
      <w:tr w:rsidR="00F77A60" w:rsidRPr="009C66A0" w14:paraId="31142895" w14:textId="77777777" w:rsidTr="004276F4">
        <w:tc>
          <w:tcPr>
            <w:tcW w:w="425" w:type="dxa"/>
          </w:tcPr>
          <w:p w14:paraId="4774FFED" w14:textId="77777777" w:rsidR="00F77A60" w:rsidRPr="00E349F0" w:rsidRDefault="00F77A60" w:rsidP="00461223">
            <w:r w:rsidRPr="00E349F0">
              <w:t>7</w:t>
            </w:r>
          </w:p>
        </w:tc>
        <w:tc>
          <w:tcPr>
            <w:tcW w:w="10043" w:type="dxa"/>
          </w:tcPr>
          <w:p w14:paraId="67EEAEFE" w14:textId="78008C56" w:rsidR="00F77A60" w:rsidRPr="004276F4" w:rsidRDefault="00F77A60" w:rsidP="00461223">
            <w:pPr>
              <w:rPr>
                <w:b/>
              </w:rPr>
            </w:pPr>
            <w:r w:rsidRPr="00C57B33">
              <w:rPr>
                <w:b/>
              </w:rPr>
              <w:t>Communications and Engagement</w:t>
            </w:r>
          </w:p>
          <w:p w14:paraId="4ABC3398" w14:textId="3A15F90F" w:rsidR="00567F85" w:rsidRPr="004276F4" w:rsidRDefault="00F77A60" w:rsidP="00461223">
            <w:r w:rsidRPr="009E1784">
              <w:t xml:space="preserve">This paper has been agreed for publication and we are also publishing separate information regarding our performance via our website. </w:t>
            </w:r>
          </w:p>
        </w:tc>
      </w:tr>
    </w:tbl>
    <w:p w14:paraId="7258F8E2" w14:textId="77777777" w:rsidR="00403FD2" w:rsidRDefault="00403FD2" w:rsidP="00F77A60"/>
    <w:tbl>
      <w:tblPr>
        <w:tblStyle w:val="TableGrid"/>
        <w:tblW w:w="10490" w:type="dxa"/>
        <w:tblInd w:w="-714" w:type="dxa"/>
        <w:tblLook w:val="04A0" w:firstRow="1" w:lastRow="0" w:firstColumn="1" w:lastColumn="0" w:noHBand="0" w:noVBand="1"/>
      </w:tblPr>
      <w:tblGrid>
        <w:gridCol w:w="10490"/>
      </w:tblGrid>
      <w:tr w:rsidR="00403FD2" w:rsidRPr="009C66A0" w14:paraId="6DACEF99" w14:textId="77777777" w:rsidTr="004276F4">
        <w:tc>
          <w:tcPr>
            <w:tcW w:w="10490" w:type="dxa"/>
            <w:shd w:val="clear" w:color="auto" w:fill="D9D9D9" w:themeFill="background1" w:themeFillShade="D9"/>
          </w:tcPr>
          <w:p w14:paraId="5A50ED50" w14:textId="77777777" w:rsidR="00403FD2" w:rsidRPr="00C57B33" w:rsidRDefault="00403FD2" w:rsidP="00780F56">
            <w:pPr>
              <w:rPr>
                <w:b/>
                <w:color w:val="FF0000"/>
              </w:rPr>
            </w:pPr>
            <w:r>
              <w:rPr>
                <w:b/>
              </w:rPr>
              <w:t>Conclusion and next steps</w:t>
            </w:r>
          </w:p>
        </w:tc>
      </w:tr>
      <w:tr w:rsidR="00403FD2" w:rsidRPr="009C66A0" w14:paraId="1833E20B" w14:textId="77777777" w:rsidTr="004276F4">
        <w:tc>
          <w:tcPr>
            <w:tcW w:w="10490" w:type="dxa"/>
            <w:tcBorders>
              <w:right w:val="single" w:sz="4" w:space="0" w:color="auto"/>
            </w:tcBorders>
          </w:tcPr>
          <w:p w14:paraId="66F9CCD4" w14:textId="6F556524" w:rsidR="00403FD2" w:rsidRPr="009C66A0" w:rsidRDefault="00403FD2" w:rsidP="00780F56">
            <w:r w:rsidRPr="00CA0A48">
              <w:t xml:space="preserve">Members are asked to </w:t>
            </w:r>
            <w:r w:rsidR="00E0484A">
              <w:t>approve the benchmarks for 2024-25 as detailed in appendix 1</w:t>
            </w:r>
            <w:r w:rsidRPr="00CA0A48">
              <w:t>.</w:t>
            </w:r>
          </w:p>
        </w:tc>
      </w:tr>
    </w:tbl>
    <w:p w14:paraId="19739198" w14:textId="77777777" w:rsidR="00403FD2" w:rsidRPr="00CA0A48" w:rsidRDefault="00403FD2" w:rsidP="00F77A60"/>
    <w:tbl>
      <w:tblPr>
        <w:tblStyle w:val="TableGrid"/>
        <w:tblW w:w="10490" w:type="dxa"/>
        <w:tblInd w:w="-714" w:type="dxa"/>
        <w:tblLook w:val="04A0" w:firstRow="1" w:lastRow="0" w:firstColumn="1" w:lastColumn="0" w:noHBand="0" w:noVBand="1"/>
      </w:tblPr>
      <w:tblGrid>
        <w:gridCol w:w="10490"/>
      </w:tblGrid>
      <w:tr w:rsidR="00F77A60" w:rsidRPr="009C66A0" w14:paraId="0E35F67B" w14:textId="77777777" w:rsidTr="004276F4">
        <w:tc>
          <w:tcPr>
            <w:tcW w:w="10490" w:type="dxa"/>
            <w:shd w:val="clear" w:color="auto" w:fill="D9D9D9" w:themeFill="background1" w:themeFillShade="D9"/>
          </w:tcPr>
          <w:p w14:paraId="3C93D3ED" w14:textId="77777777" w:rsidR="00F77A60" w:rsidRPr="00C57B33" w:rsidRDefault="00F77A60" w:rsidP="00461223">
            <w:pPr>
              <w:rPr>
                <w:b/>
                <w:color w:val="FF0000"/>
              </w:rPr>
            </w:pPr>
            <w:r w:rsidRPr="00C57B33">
              <w:rPr>
                <w:b/>
              </w:rPr>
              <w:t>Appendices</w:t>
            </w:r>
          </w:p>
        </w:tc>
      </w:tr>
      <w:tr w:rsidR="00F77A60" w:rsidRPr="009C66A0" w14:paraId="05C47772" w14:textId="77777777" w:rsidTr="004276F4">
        <w:tc>
          <w:tcPr>
            <w:tcW w:w="10490" w:type="dxa"/>
            <w:tcBorders>
              <w:right w:val="single" w:sz="4" w:space="0" w:color="auto"/>
            </w:tcBorders>
          </w:tcPr>
          <w:p w14:paraId="0E73A66E" w14:textId="6A343154" w:rsidR="00F77A60" w:rsidRPr="009C66A0" w:rsidRDefault="00F77A60" w:rsidP="00E0484A">
            <w:r>
              <w:t>Appendix</w:t>
            </w:r>
            <w:r w:rsidR="00C6770D">
              <w:t xml:space="preserve"> 1</w:t>
            </w:r>
            <w:r>
              <w:t xml:space="preserve">: </w:t>
            </w:r>
            <w:r w:rsidRPr="00CA0A48">
              <w:t>Guide to the SLAB Operation Performance Overview Report (SOPOR)</w:t>
            </w:r>
          </w:p>
        </w:tc>
      </w:tr>
    </w:tbl>
    <w:p w14:paraId="3F9019AE" w14:textId="77777777" w:rsidR="00E0484A" w:rsidRDefault="00E0484A" w:rsidP="00403FD2"/>
    <w:p w14:paraId="1635FE02" w14:textId="77777777" w:rsidR="00E0484A" w:rsidRDefault="00E0484A" w:rsidP="00403FD2">
      <w:pPr>
        <w:sectPr w:rsidR="00E0484A" w:rsidSect="001A2180">
          <w:pgSz w:w="11906" w:h="16838"/>
          <w:pgMar w:top="1440" w:right="1440" w:bottom="1440" w:left="1440" w:header="708" w:footer="708" w:gutter="0"/>
          <w:cols w:space="708"/>
          <w:docGrid w:linePitch="360"/>
        </w:sectPr>
      </w:pPr>
    </w:p>
    <w:p w14:paraId="5D270DB4" w14:textId="74EA3EB5" w:rsidR="00F77A60" w:rsidRPr="00403FD2" w:rsidRDefault="00403FD2" w:rsidP="00403FD2">
      <w:pPr>
        <w:rPr>
          <w:b/>
        </w:rPr>
      </w:pPr>
      <w:r w:rsidRPr="00403FD2">
        <w:rPr>
          <w:b/>
        </w:rPr>
        <w:lastRenderedPageBreak/>
        <w:t>A</w:t>
      </w:r>
      <w:r w:rsidR="00F77A60" w:rsidRPr="00403FD2">
        <w:rPr>
          <w:b/>
        </w:rPr>
        <w:t xml:space="preserve">ppendix </w:t>
      </w:r>
      <w:r w:rsidR="00274AAC">
        <w:rPr>
          <w:b/>
        </w:rPr>
        <w:t>2</w:t>
      </w:r>
      <w:r w:rsidR="00C16763">
        <w:rPr>
          <w:b/>
        </w:rPr>
        <w:t>: Guide to the SLAB Operation Performance Overview Report</w:t>
      </w:r>
    </w:p>
    <w:p w14:paraId="3E45A28F" w14:textId="77777777" w:rsidR="00F77A60" w:rsidRDefault="00F77A60" w:rsidP="00F77A60"/>
    <w:p w14:paraId="0B33F61D" w14:textId="77777777" w:rsidR="00C16763" w:rsidRPr="001536D0" w:rsidRDefault="00C16763" w:rsidP="00C16763">
      <w:pPr>
        <w:rPr>
          <w:b/>
          <w:bCs/>
        </w:rPr>
      </w:pPr>
      <w:r w:rsidRPr="001536D0">
        <w:rPr>
          <w:b/>
          <w:bCs/>
        </w:rPr>
        <w:t>STRUCTURE</w:t>
      </w:r>
    </w:p>
    <w:p w14:paraId="63755F98" w14:textId="77777777" w:rsidR="00C16763" w:rsidRPr="00E5184A" w:rsidRDefault="00C16763" w:rsidP="00C16763">
      <w:pPr>
        <w:pStyle w:val="BodyText"/>
      </w:pPr>
    </w:p>
    <w:p w14:paraId="28E138BD" w14:textId="77777777" w:rsidR="00C16763" w:rsidRPr="004276F4" w:rsidRDefault="00C16763" w:rsidP="00C16763">
      <w:pPr>
        <w:pStyle w:val="BodyText"/>
        <w:rPr>
          <w:sz w:val="24"/>
          <w:szCs w:val="24"/>
        </w:rPr>
      </w:pPr>
      <w:r w:rsidRPr="004276F4">
        <w:rPr>
          <w:sz w:val="24"/>
          <w:szCs w:val="24"/>
        </w:rPr>
        <w:t xml:space="preserve">In the SOPOR the Key Performance Indicators (KPIs) are grouped by operational area and type of measure. </w:t>
      </w:r>
    </w:p>
    <w:p w14:paraId="634A816D" w14:textId="77777777" w:rsidR="00C16763" w:rsidRPr="004276F4" w:rsidRDefault="00C16763" w:rsidP="00C16763">
      <w:pPr>
        <w:pStyle w:val="BodyText"/>
        <w:rPr>
          <w:sz w:val="24"/>
          <w:szCs w:val="24"/>
        </w:rPr>
      </w:pPr>
    </w:p>
    <w:p w14:paraId="3C54197A" w14:textId="624401DF" w:rsidR="00C16763" w:rsidRPr="004276F4" w:rsidRDefault="00C16763" w:rsidP="00C16763">
      <w:pPr>
        <w:pStyle w:val="BodyText"/>
        <w:rPr>
          <w:sz w:val="24"/>
          <w:szCs w:val="24"/>
        </w:rPr>
      </w:pPr>
      <w:r w:rsidRPr="004276F4">
        <w:rPr>
          <w:sz w:val="24"/>
          <w:szCs w:val="24"/>
        </w:rPr>
        <w:t xml:space="preserve">The first </w:t>
      </w:r>
      <w:r w:rsidR="004276F4">
        <w:rPr>
          <w:sz w:val="24"/>
          <w:szCs w:val="24"/>
        </w:rPr>
        <w:t>three</w:t>
      </w:r>
      <w:r w:rsidRPr="004276F4">
        <w:rPr>
          <w:sz w:val="24"/>
          <w:szCs w:val="24"/>
        </w:rPr>
        <w:t xml:space="preserve"> groups of KPIs are on Applications areas: Civil; Criminal and Children’s, and the bottom </w:t>
      </w:r>
      <w:r w:rsidR="004276F4">
        <w:rPr>
          <w:sz w:val="24"/>
          <w:szCs w:val="24"/>
        </w:rPr>
        <w:t>three</w:t>
      </w:r>
      <w:r w:rsidRPr="004276F4">
        <w:rPr>
          <w:sz w:val="24"/>
          <w:szCs w:val="24"/>
        </w:rPr>
        <w:t xml:space="preserve"> on Accounts areas.</w:t>
      </w:r>
    </w:p>
    <w:p w14:paraId="01621FDC" w14:textId="77777777" w:rsidR="00C16763" w:rsidRPr="004276F4" w:rsidRDefault="00C16763" w:rsidP="00C16763">
      <w:pPr>
        <w:pStyle w:val="BodyText"/>
        <w:rPr>
          <w:sz w:val="24"/>
          <w:szCs w:val="24"/>
        </w:rPr>
      </w:pPr>
    </w:p>
    <w:p w14:paraId="2C6CF9CA" w14:textId="77777777" w:rsidR="00C16763" w:rsidRPr="004276F4" w:rsidRDefault="00C16763" w:rsidP="00C16763">
      <w:pPr>
        <w:pStyle w:val="BodyText"/>
        <w:rPr>
          <w:sz w:val="24"/>
          <w:szCs w:val="24"/>
        </w:rPr>
      </w:pPr>
      <w:r w:rsidRPr="004276F4">
        <w:rPr>
          <w:sz w:val="24"/>
          <w:szCs w:val="24"/>
        </w:rPr>
        <w:t>The way we report on KPIs is by tracking them against benchmarks.</w:t>
      </w:r>
    </w:p>
    <w:p w14:paraId="6BB77D11" w14:textId="77777777" w:rsidR="00C16763" w:rsidRPr="004276F4" w:rsidRDefault="00C16763" w:rsidP="00C16763">
      <w:pPr>
        <w:pStyle w:val="BodyText"/>
        <w:rPr>
          <w:sz w:val="24"/>
          <w:szCs w:val="24"/>
        </w:rPr>
      </w:pPr>
    </w:p>
    <w:p w14:paraId="7945F3D7" w14:textId="0A12899F" w:rsidR="00C16763" w:rsidRPr="004276F4" w:rsidRDefault="00C16763" w:rsidP="00C16763">
      <w:pPr>
        <w:pStyle w:val="BodyText"/>
        <w:rPr>
          <w:sz w:val="24"/>
          <w:szCs w:val="24"/>
        </w:rPr>
      </w:pPr>
      <w:r w:rsidRPr="004276F4">
        <w:rPr>
          <w:sz w:val="24"/>
          <w:szCs w:val="24"/>
        </w:rPr>
        <w:t xml:space="preserve">In Civil we report Adults with Incapacity cases separately. These are high in </w:t>
      </w:r>
      <w:r w:rsidR="004276F4" w:rsidRPr="004276F4">
        <w:rPr>
          <w:sz w:val="24"/>
          <w:szCs w:val="24"/>
        </w:rPr>
        <w:t>volume,</w:t>
      </w:r>
      <w:r w:rsidRPr="004276F4">
        <w:rPr>
          <w:sz w:val="24"/>
          <w:szCs w:val="24"/>
        </w:rPr>
        <w:t xml:space="preserve"> and we take decisions on these in a much shorter timescale because the statutory tests are more straightforward. These are separated out to avoid a disproportionate impact on performance statistics.</w:t>
      </w:r>
    </w:p>
    <w:p w14:paraId="0BA86EAD" w14:textId="77777777" w:rsidR="00C16763" w:rsidRPr="004276F4" w:rsidRDefault="00C16763" w:rsidP="00C16763">
      <w:pPr>
        <w:pStyle w:val="BodyText"/>
        <w:rPr>
          <w:sz w:val="24"/>
          <w:szCs w:val="24"/>
        </w:rPr>
      </w:pPr>
    </w:p>
    <w:p w14:paraId="57AAA828" w14:textId="77777777" w:rsidR="00C16763" w:rsidRPr="004276F4" w:rsidRDefault="00C16763" w:rsidP="00C16763">
      <w:pPr>
        <w:pStyle w:val="BodyText"/>
        <w:rPr>
          <w:sz w:val="24"/>
          <w:szCs w:val="24"/>
        </w:rPr>
      </w:pPr>
      <w:r w:rsidRPr="004276F4">
        <w:rPr>
          <w:sz w:val="24"/>
          <w:szCs w:val="24"/>
        </w:rPr>
        <w:t>In Criminal we report on summary and solemn cases separately.</w:t>
      </w:r>
    </w:p>
    <w:p w14:paraId="4901E10B" w14:textId="77777777" w:rsidR="00C16763" w:rsidRPr="004276F4" w:rsidRDefault="00C16763" w:rsidP="00C16763">
      <w:pPr>
        <w:pStyle w:val="Heading2"/>
      </w:pPr>
    </w:p>
    <w:p w14:paraId="68234D04" w14:textId="77777777" w:rsidR="00C16763" w:rsidRPr="004276F4" w:rsidRDefault="00C16763" w:rsidP="00C16763">
      <w:pPr>
        <w:pStyle w:val="BodyText"/>
        <w:rPr>
          <w:sz w:val="24"/>
          <w:szCs w:val="24"/>
        </w:rPr>
      </w:pPr>
      <w:r w:rsidRPr="004276F4">
        <w:rPr>
          <w:sz w:val="24"/>
          <w:szCs w:val="24"/>
        </w:rPr>
        <w:t>Benchmarks are proposed to try to balance the aim of being challenging but achievable but also the need to manage the risks and uncertainty around the coming year. They are based on performance during the previous year and on the expected operating environment of the year coming.</w:t>
      </w:r>
    </w:p>
    <w:p w14:paraId="2D4E937B" w14:textId="77777777" w:rsidR="00C16763" w:rsidRPr="004276F4" w:rsidRDefault="00C16763" w:rsidP="00C16763">
      <w:pPr>
        <w:pStyle w:val="BodyText"/>
        <w:rPr>
          <w:sz w:val="24"/>
          <w:szCs w:val="24"/>
        </w:rPr>
      </w:pPr>
    </w:p>
    <w:p w14:paraId="3A7CA748" w14:textId="72250625" w:rsidR="00C16763" w:rsidRPr="004276F4" w:rsidRDefault="00C16763" w:rsidP="00C16763">
      <w:pPr>
        <w:pStyle w:val="BodyText"/>
        <w:rPr>
          <w:sz w:val="24"/>
          <w:szCs w:val="24"/>
        </w:rPr>
      </w:pPr>
      <w:r w:rsidRPr="004276F4">
        <w:rPr>
          <w:sz w:val="24"/>
          <w:szCs w:val="24"/>
        </w:rPr>
        <w:t>A rolling 3-month average (a mean) is the basis for calculating and reporting performance. This is compared against a static benchmark with performance (the KPIs) reported in terms of three zones:</w:t>
      </w:r>
    </w:p>
    <w:p w14:paraId="5B2A4793" w14:textId="77777777" w:rsidR="00C16763" w:rsidRPr="004276F4" w:rsidRDefault="00C16763" w:rsidP="00C16763">
      <w:pPr>
        <w:rPr>
          <w:szCs w:val="24"/>
        </w:rPr>
      </w:pPr>
    </w:p>
    <w:p w14:paraId="0008CB1E" w14:textId="77777777" w:rsidR="00C16763" w:rsidRPr="004276F4" w:rsidRDefault="00C16763" w:rsidP="00C16763">
      <w:pPr>
        <w:pStyle w:val="ListParagraph"/>
        <w:numPr>
          <w:ilvl w:val="0"/>
          <w:numId w:val="2"/>
        </w:numPr>
        <w:rPr>
          <w:szCs w:val="24"/>
        </w:rPr>
      </w:pPr>
      <w:r w:rsidRPr="004276F4">
        <w:rPr>
          <w:szCs w:val="24"/>
        </w:rPr>
        <w:t>Met (the benchmark)</w:t>
      </w:r>
    </w:p>
    <w:p w14:paraId="6C64E2E9" w14:textId="77777777" w:rsidR="00C16763" w:rsidRPr="004276F4" w:rsidRDefault="00C16763" w:rsidP="00C16763">
      <w:pPr>
        <w:pStyle w:val="ListParagraph"/>
        <w:numPr>
          <w:ilvl w:val="0"/>
          <w:numId w:val="2"/>
        </w:numPr>
        <w:rPr>
          <w:szCs w:val="24"/>
        </w:rPr>
      </w:pPr>
      <w:r w:rsidRPr="004276F4">
        <w:rPr>
          <w:szCs w:val="24"/>
        </w:rPr>
        <w:t>Worse than (the benchmark)</w:t>
      </w:r>
    </w:p>
    <w:p w14:paraId="7561FA81" w14:textId="77777777" w:rsidR="00C16763" w:rsidRPr="004276F4" w:rsidRDefault="00C16763" w:rsidP="00C16763">
      <w:pPr>
        <w:pStyle w:val="ListParagraph"/>
        <w:numPr>
          <w:ilvl w:val="0"/>
          <w:numId w:val="2"/>
        </w:numPr>
        <w:rPr>
          <w:szCs w:val="24"/>
        </w:rPr>
      </w:pPr>
      <w:r w:rsidRPr="004276F4">
        <w:rPr>
          <w:szCs w:val="24"/>
        </w:rPr>
        <w:t>Better than (the benchmark)</w:t>
      </w:r>
    </w:p>
    <w:p w14:paraId="4AD42A10" w14:textId="77777777" w:rsidR="00C16763" w:rsidRPr="004276F4" w:rsidRDefault="00C16763" w:rsidP="00C16763">
      <w:pPr>
        <w:pStyle w:val="BodyText"/>
        <w:rPr>
          <w:sz w:val="24"/>
          <w:szCs w:val="24"/>
        </w:rPr>
      </w:pPr>
      <w:r w:rsidRPr="004276F4">
        <w:rPr>
          <w:sz w:val="24"/>
          <w:szCs w:val="24"/>
        </w:rPr>
        <w:t xml:space="preserve">  </w:t>
      </w:r>
    </w:p>
    <w:p w14:paraId="485E83C0" w14:textId="5A29E6D7" w:rsidR="00C16763" w:rsidRPr="004276F4" w:rsidRDefault="00C16763" w:rsidP="00C16763">
      <w:pPr>
        <w:pStyle w:val="BodyText"/>
        <w:rPr>
          <w:sz w:val="24"/>
          <w:szCs w:val="24"/>
        </w:rPr>
      </w:pPr>
      <w:r w:rsidRPr="004276F4">
        <w:rPr>
          <w:sz w:val="24"/>
          <w:szCs w:val="24"/>
        </w:rPr>
        <w:t>A green-yellow-blue</w:t>
      </w:r>
      <w:r w:rsidRPr="004276F4">
        <w:rPr>
          <w:sz w:val="24"/>
          <w:szCs w:val="24"/>
          <w:lang w:val="en-GB"/>
        </w:rPr>
        <w:t xml:space="preserve"> colour</w:t>
      </w:r>
      <w:r w:rsidRPr="004276F4">
        <w:rPr>
          <w:sz w:val="24"/>
          <w:szCs w:val="24"/>
        </w:rPr>
        <w:t xml:space="preserve"> highlighting scheme is used. Green indicates a benchmark is being met. Yellow highlights the ‘Worse than’ zone and </w:t>
      </w:r>
      <w:r w:rsidR="004276F4" w:rsidRPr="004276F4">
        <w:rPr>
          <w:sz w:val="24"/>
          <w:szCs w:val="24"/>
        </w:rPr>
        <w:t>blue</w:t>
      </w:r>
      <w:r w:rsidRPr="004276F4">
        <w:rPr>
          <w:sz w:val="24"/>
          <w:szCs w:val="24"/>
        </w:rPr>
        <w:t xml:space="preserve"> highlights the ‘Better than’ zone.</w:t>
      </w:r>
    </w:p>
    <w:p w14:paraId="6CF131B7" w14:textId="77777777" w:rsidR="00C16763" w:rsidRPr="004276F4" w:rsidRDefault="00C16763" w:rsidP="00C16763">
      <w:pPr>
        <w:pStyle w:val="BodyText"/>
        <w:rPr>
          <w:sz w:val="24"/>
          <w:szCs w:val="24"/>
        </w:rPr>
      </w:pPr>
    </w:p>
    <w:p w14:paraId="7C0D38EE" w14:textId="712AE194" w:rsidR="00C16763" w:rsidRPr="004276F4" w:rsidRDefault="00C16763" w:rsidP="00C16763">
      <w:pPr>
        <w:pStyle w:val="BodyText"/>
        <w:rPr>
          <w:sz w:val="24"/>
          <w:szCs w:val="24"/>
        </w:rPr>
      </w:pPr>
      <w:r w:rsidRPr="004276F4">
        <w:rPr>
          <w:sz w:val="24"/>
          <w:szCs w:val="24"/>
        </w:rPr>
        <w:t>The Met zone is defined initially as the benchmark plus or minus a percentage figure (typically between 1 &amp; 12.5%</w:t>
      </w:r>
      <w:r w:rsidRPr="004276F4">
        <w:rPr>
          <w:rStyle w:val="FootnoteReference"/>
          <w:sz w:val="24"/>
          <w:szCs w:val="24"/>
        </w:rPr>
        <w:footnoteReference w:id="2"/>
      </w:r>
      <w:r w:rsidRPr="004276F4">
        <w:rPr>
          <w:sz w:val="24"/>
          <w:szCs w:val="24"/>
        </w:rPr>
        <w:t xml:space="preserve">). The ‘Better than’ and ‘Worse than’ zones are above or below the Met zone – depending on the type of measure. For example with the First Decision % Granted measure, in general, higher figures are better.  So the ‘Better than’ zone is above the Met zone, </w:t>
      </w:r>
      <w:r w:rsidR="004276F4">
        <w:rPr>
          <w:sz w:val="24"/>
          <w:szCs w:val="24"/>
        </w:rPr>
        <w:t>that is</w:t>
      </w:r>
      <w:r w:rsidRPr="004276F4">
        <w:rPr>
          <w:sz w:val="24"/>
          <w:szCs w:val="24"/>
        </w:rPr>
        <w:t xml:space="preserve"> above 101% of the benchmark for Civil AWI. But we aren’t necessarily aiming to be as high as possible – we may find issues with accuracy and quality if we get too high or we may need to expend a disproportionate amount of effort to achieve the KPI benchmark.</w:t>
      </w:r>
    </w:p>
    <w:p w14:paraId="25A0C751" w14:textId="77777777" w:rsidR="00C16763" w:rsidRPr="004276F4" w:rsidRDefault="00C16763" w:rsidP="00C16763">
      <w:pPr>
        <w:pStyle w:val="BodyText"/>
        <w:rPr>
          <w:sz w:val="24"/>
          <w:szCs w:val="24"/>
        </w:rPr>
      </w:pPr>
      <w:r w:rsidRPr="004276F4">
        <w:rPr>
          <w:sz w:val="24"/>
          <w:szCs w:val="24"/>
        </w:rPr>
        <w:lastRenderedPageBreak/>
        <w:t>With the Duration and Further Work ratio measures the ‘Better than’ zones are below the benchmark (less than 95% or 90% of the benchmark depending on the specific KPI zone).</w:t>
      </w:r>
    </w:p>
    <w:p w14:paraId="240B3BC1" w14:textId="77777777" w:rsidR="00C16763" w:rsidRPr="004276F4" w:rsidRDefault="00C16763" w:rsidP="00C16763">
      <w:pPr>
        <w:pStyle w:val="BodyText"/>
        <w:rPr>
          <w:sz w:val="24"/>
          <w:szCs w:val="24"/>
        </w:rPr>
      </w:pPr>
    </w:p>
    <w:p w14:paraId="5E001FF9" w14:textId="23111A09" w:rsidR="00C16763" w:rsidRPr="004276F4" w:rsidRDefault="00C16763" w:rsidP="00C16763">
      <w:pPr>
        <w:pStyle w:val="BodyText"/>
        <w:rPr>
          <w:bCs/>
          <w:sz w:val="24"/>
          <w:szCs w:val="24"/>
        </w:rPr>
      </w:pPr>
      <w:r w:rsidRPr="004276F4">
        <w:rPr>
          <w:sz w:val="24"/>
          <w:szCs w:val="24"/>
        </w:rPr>
        <w:t xml:space="preserve">All measures are calculated for the most recent </w:t>
      </w:r>
      <w:r w:rsidR="004276F4">
        <w:rPr>
          <w:sz w:val="24"/>
          <w:szCs w:val="24"/>
        </w:rPr>
        <w:t>three</w:t>
      </w:r>
      <w:r w:rsidR="004276F4" w:rsidRPr="004276F4">
        <w:rPr>
          <w:sz w:val="24"/>
          <w:szCs w:val="24"/>
        </w:rPr>
        <w:t>-month</w:t>
      </w:r>
      <w:r w:rsidRPr="004276F4">
        <w:rPr>
          <w:sz w:val="24"/>
          <w:szCs w:val="24"/>
        </w:rPr>
        <w:t xml:space="preserve"> period and the 11 previous results are also shown so that trends over </w:t>
      </w:r>
      <w:r w:rsidR="004276F4">
        <w:rPr>
          <w:sz w:val="24"/>
          <w:szCs w:val="24"/>
        </w:rPr>
        <w:t>one</w:t>
      </w:r>
      <w:r w:rsidRPr="004276F4">
        <w:rPr>
          <w:sz w:val="24"/>
          <w:szCs w:val="24"/>
        </w:rPr>
        <w:t xml:space="preserve"> year can be seen.</w:t>
      </w:r>
    </w:p>
    <w:p w14:paraId="45D76A86" w14:textId="77777777" w:rsidR="00C16763" w:rsidRDefault="00C16763" w:rsidP="00C16763">
      <w:pPr>
        <w:pStyle w:val="BodyText"/>
      </w:pPr>
    </w:p>
    <w:p w14:paraId="741E7310" w14:textId="77777777" w:rsidR="00C16763" w:rsidRPr="00E5184A" w:rsidRDefault="00C16763" w:rsidP="00C16763">
      <w:pPr>
        <w:pStyle w:val="Heading2"/>
      </w:pPr>
      <w:r>
        <w:t xml:space="preserve">DESCRIPTION OF MEASURES </w:t>
      </w:r>
      <w:r w:rsidRPr="00E5184A">
        <w:t xml:space="preserve">IN </w:t>
      </w:r>
      <w:r>
        <w:t xml:space="preserve">THE </w:t>
      </w:r>
      <w:r w:rsidRPr="00E5184A">
        <w:t>SOPOR</w:t>
      </w:r>
    </w:p>
    <w:p w14:paraId="4F312B97" w14:textId="77777777" w:rsidR="00C16763" w:rsidRPr="00E5184A" w:rsidRDefault="00C16763" w:rsidP="00C16763">
      <w:pPr>
        <w:pStyle w:val="BodyText"/>
      </w:pPr>
    </w:p>
    <w:p w14:paraId="4C6EFD17" w14:textId="1230C010" w:rsidR="00C16763" w:rsidRPr="004276F4" w:rsidRDefault="00C16763" w:rsidP="00C16763">
      <w:pPr>
        <w:pStyle w:val="BodyText"/>
        <w:rPr>
          <w:b/>
          <w:bCs/>
          <w:sz w:val="24"/>
          <w:szCs w:val="24"/>
        </w:rPr>
      </w:pPr>
      <w:r w:rsidRPr="004276F4">
        <w:rPr>
          <w:b/>
          <w:bCs/>
          <w:sz w:val="24"/>
          <w:szCs w:val="24"/>
        </w:rPr>
        <w:t xml:space="preserve">Duration </w:t>
      </w:r>
    </w:p>
    <w:p w14:paraId="58F048D3" w14:textId="50F2598B" w:rsidR="00C16763" w:rsidRPr="004276F4" w:rsidRDefault="00C16763" w:rsidP="00C16763">
      <w:pPr>
        <w:pStyle w:val="BodyText"/>
        <w:rPr>
          <w:sz w:val="24"/>
          <w:szCs w:val="24"/>
        </w:rPr>
      </w:pPr>
      <w:r w:rsidRPr="004276F4">
        <w:rPr>
          <w:sz w:val="24"/>
          <w:szCs w:val="24"/>
        </w:rPr>
        <w:t>The key duration shown for applications is the average time, in calendar days, from receipt of a main legal aid application by SLAB, to when we take the first official decision on it. This duration includes all weekends and holidays.</w:t>
      </w:r>
      <w:r w:rsidR="004276F4">
        <w:rPr>
          <w:sz w:val="24"/>
          <w:szCs w:val="24"/>
        </w:rPr>
        <w:t xml:space="preserve"> </w:t>
      </w:r>
      <w:r w:rsidRPr="004276F4">
        <w:rPr>
          <w:sz w:val="24"/>
          <w:szCs w:val="24"/>
        </w:rPr>
        <w:t>It also includes any period where we are asking the solicitor, or applicant, for more information to help us take the decision.</w:t>
      </w:r>
    </w:p>
    <w:p w14:paraId="1526AEF5" w14:textId="77777777" w:rsidR="00C16763" w:rsidRPr="004276F4" w:rsidRDefault="00C16763" w:rsidP="00C16763">
      <w:pPr>
        <w:pStyle w:val="BodyText"/>
        <w:rPr>
          <w:sz w:val="24"/>
          <w:szCs w:val="24"/>
        </w:rPr>
      </w:pPr>
    </w:p>
    <w:p w14:paraId="08129A7D" w14:textId="77777777" w:rsidR="00C16763" w:rsidRPr="004276F4" w:rsidRDefault="00C16763" w:rsidP="00C16763">
      <w:pPr>
        <w:pStyle w:val="BodyText"/>
        <w:rPr>
          <w:sz w:val="24"/>
          <w:szCs w:val="24"/>
        </w:rPr>
      </w:pPr>
      <w:r w:rsidRPr="004276F4">
        <w:rPr>
          <w:sz w:val="24"/>
          <w:szCs w:val="24"/>
        </w:rPr>
        <w:t xml:space="preserve">This indicator measures both the workflow performance of SLAB but also the degree to which solicitors and applicants are managing to provide all necessary information.  </w:t>
      </w:r>
    </w:p>
    <w:p w14:paraId="4CBD6AB3" w14:textId="77777777" w:rsidR="00C16763" w:rsidRPr="004276F4" w:rsidRDefault="00C16763" w:rsidP="00C16763">
      <w:pPr>
        <w:pStyle w:val="BodyText"/>
        <w:rPr>
          <w:sz w:val="24"/>
          <w:szCs w:val="24"/>
        </w:rPr>
      </w:pPr>
      <w:r w:rsidRPr="004276F4">
        <w:rPr>
          <w:sz w:val="24"/>
          <w:szCs w:val="24"/>
        </w:rPr>
        <w:t xml:space="preserve">Simply put </w:t>
      </w:r>
      <w:r w:rsidRPr="004276F4">
        <w:rPr>
          <w:b/>
          <w:bCs/>
          <w:sz w:val="24"/>
          <w:szCs w:val="24"/>
          <w:u w:val="single"/>
        </w:rPr>
        <w:t>lower</w:t>
      </w:r>
      <w:r w:rsidRPr="004276F4">
        <w:rPr>
          <w:sz w:val="24"/>
          <w:szCs w:val="24"/>
        </w:rPr>
        <w:t xml:space="preserve"> is better.</w:t>
      </w:r>
    </w:p>
    <w:p w14:paraId="19B34533" w14:textId="77777777" w:rsidR="00C16763" w:rsidRPr="004276F4" w:rsidRDefault="00C16763" w:rsidP="00C16763">
      <w:pPr>
        <w:pStyle w:val="BodyText"/>
        <w:rPr>
          <w:sz w:val="24"/>
          <w:szCs w:val="24"/>
        </w:rPr>
      </w:pPr>
    </w:p>
    <w:p w14:paraId="0D7265C9" w14:textId="7C620A9A" w:rsidR="00C16763" w:rsidRPr="004276F4" w:rsidRDefault="00C16763" w:rsidP="00C16763">
      <w:pPr>
        <w:pStyle w:val="BodyText"/>
        <w:rPr>
          <w:sz w:val="24"/>
          <w:szCs w:val="24"/>
        </w:rPr>
      </w:pPr>
      <w:r w:rsidRPr="004276F4">
        <w:rPr>
          <w:sz w:val="24"/>
          <w:szCs w:val="24"/>
        </w:rPr>
        <w:t>In accounts the first instance duration is a very similar measure – it is from registration of the account to the date payment is received into the solicitor’s bank account. It is in calendar days and again includes any period where we are asking the solicitor for more information to help us assess the account.</w:t>
      </w:r>
    </w:p>
    <w:p w14:paraId="78B78298" w14:textId="77777777" w:rsidR="00C16763" w:rsidRPr="004276F4" w:rsidRDefault="00C16763" w:rsidP="00C16763">
      <w:pPr>
        <w:pStyle w:val="BodyText"/>
        <w:rPr>
          <w:sz w:val="24"/>
          <w:szCs w:val="24"/>
        </w:rPr>
      </w:pPr>
    </w:p>
    <w:p w14:paraId="3319F25D" w14:textId="77777777" w:rsidR="00C16763" w:rsidRPr="004276F4" w:rsidRDefault="00C16763" w:rsidP="00C16763">
      <w:pPr>
        <w:pStyle w:val="BodyText"/>
        <w:rPr>
          <w:sz w:val="24"/>
          <w:szCs w:val="24"/>
        </w:rPr>
      </w:pPr>
      <w:r w:rsidRPr="004276F4">
        <w:rPr>
          <w:sz w:val="24"/>
          <w:szCs w:val="24"/>
        </w:rPr>
        <w:t xml:space="preserve">The negotiation duration is the same measure but for accounts that are follow-up accounts to negotiate sums that we have abated from initial accounts. </w:t>
      </w:r>
    </w:p>
    <w:p w14:paraId="0573980E" w14:textId="77777777" w:rsidR="00C16763" w:rsidRPr="004276F4" w:rsidRDefault="00C16763" w:rsidP="00C16763">
      <w:pPr>
        <w:pStyle w:val="BodyText"/>
        <w:rPr>
          <w:sz w:val="24"/>
          <w:szCs w:val="24"/>
        </w:rPr>
      </w:pPr>
    </w:p>
    <w:p w14:paraId="28717DBD" w14:textId="5E81BFD1" w:rsidR="00C16763" w:rsidRPr="004276F4" w:rsidRDefault="00C16763" w:rsidP="00C16763">
      <w:pPr>
        <w:pStyle w:val="BodyText"/>
        <w:rPr>
          <w:b/>
          <w:bCs/>
          <w:sz w:val="24"/>
          <w:szCs w:val="24"/>
        </w:rPr>
      </w:pPr>
      <w:r w:rsidRPr="004276F4">
        <w:rPr>
          <w:b/>
          <w:bCs/>
          <w:sz w:val="24"/>
          <w:szCs w:val="24"/>
        </w:rPr>
        <w:t>Grant/paid in full rate</w:t>
      </w:r>
    </w:p>
    <w:p w14:paraId="24F1731C" w14:textId="779196EB" w:rsidR="00C16763" w:rsidRPr="004276F4" w:rsidRDefault="00C16763" w:rsidP="00C16763">
      <w:pPr>
        <w:pStyle w:val="BodyText"/>
        <w:rPr>
          <w:sz w:val="24"/>
          <w:szCs w:val="24"/>
        </w:rPr>
      </w:pPr>
      <w:r w:rsidRPr="004276F4">
        <w:rPr>
          <w:sz w:val="24"/>
          <w:szCs w:val="24"/>
        </w:rPr>
        <w:t xml:space="preserve">The first official decision on a legal aid application can be one of </w:t>
      </w:r>
      <w:r w:rsidR="004276F4">
        <w:rPr>
          <w:sz w:val="24"/>
          <w:szCs w:val="24"/>
        </w:rPr>
        <w:t>three</w:t>
      </w:r>
      <w:r w:rsidRPr="004276F4">
        <w:rPr>
          <w:sz w:val="24"/>
          <w:szCs w:val="24"/>
        </w:rPr>
        <w:t xml:space="preserve"> main types: grant; refuse; or not consider due to lack of information. The percent granted measure is the number of grants divided by (indexed) by the total number of first decisions in the period and expressed as a percentage.  </w:t>
      </w:r>
    </w:p>
    <w:p w14:paraId="5DD9BC88" w14:textId="77777777" w:rsidR="00C16763" w:rsidRPr="004276F4" w:rsidRDefault="00C16763" w:rsidP="00C16763">
      <w:pPr>
        <w:pStyle w:val="BodyText"/>
        <w:rPr>
          <w:sz w:val="24"/>
          <w:szCs w:val="24"/>
        </w:rPr>
      </w:pPr>
    </w:p>
    <w:p w14:paraId="05229290" w14:textId="77777777" w:rsidR="00C16763" w:rsidRPr="004276F4" w:rsidRDefault="00C16763" w:rsidP="00C16763">
      <w:pPr>
        <w:pStyle w:val="BodyText"/>
        <w:rPr>
          <w:sz w:val="24"/>
          <w:szCs w:val="24"/>
        </w:rPr>
      </w:pPr>
      <w:r w:rsidRPr="004276F4">
        <w:rPr>
          <w:sz w:val="24"/>
          <w:szCs w:val="24"/>
        </w:rPr>
        <w:t xml:space="preserve">This indicator measures the effectiveness with which SLAB and the profession are facilitating solicitors to make appropriate and complete applications.  </w:t>
      </w:r>
    </w:p>
    <w:p w14:paraId="1A5D5A08" w14:textId="77777777" w:rsidR="00C16763" w:rsidRPr="004276F4" w:rsidRDefault="00C16763" w:rsidP="00C16763">
      <w:pPr>
        <w:pStyle w:val="BodyText"/>
        <w:rPr>
          <w:sz w:val="24"/>
          <w:szCs w:val="24"/>
        </w:rPr>
      </w:pPr>
      <w:r w:rsidRPr="004276F4">
        <w:rPr>
          <w:sz w:val="24"/>
          <w:szCs w:val="24"/>
        </w:rPr>
        <w:t xml:space="preserve">Simply put </w:t>
      </w:r>
      <w:r w:rsidRPr="004276F4">
        <w:rPr>
          <w:b/>
          <w:bCs/>
          <w:sz w:val="24"/>
          <w:szCs w:val="24"/>
          <w:u w:val="single"/>
        </w:rPr>
        <w:t>higher</w:t>
      </w:r>
      <w:r w:rsidRPr="004276F4">
        <w:rPr>
          <w:sz w:val="24"/>
          <w:szCs w:val="24"/>
        </w:rPr>
        <w:t xml:space="preserve"> is better.</w:t>
      </w:r>
    </w:p>
    <w:p w14:paraId="0A53B5D5" w14:textId="77777777" w:rsidR="00C16763" w:rsidRPr="004276F4" w:rsidRDefault="00C16763" w:rsidP="00C16763">
      <w:pPr>
        <w:pStyle w:val="BodyText"/>
        <w:rPr>
          <w:sz w:val="24"/>
          <w:szCs w:val="24"/>
        </w:rPr>
      </w:pPr>
    </w:p>
    <w:p w14:paraId="48736673" w14:textId="293768A7" w:rsidR="00C16763" w:rsidRPr="004276F4" w:rsidRDefault="00C16763" w:rsidP="00C16763">
      <w:pPr>
        <w:pStyle w:val="BodyText"/>
        <w:rPr>
          <w:sz w:val="24"/>
          <w:szCs w:val="24"/>
        </w:rPr>
      </w:pPr>
      <w:r w:rsidRPr="004276F4">
        <w:rPr>
          <w:sz w:val="24"/>
          <w:szCs w:val="24"/>
        </w:rPr>
        <w:t xml:space="preserve">In accounts the equivalent measure is the percent of accounts that we </w:t>
      </w:r>
      <w:r w:rsidR="004276F4" w:rsidRPr="004276F4">
        <w:rPr>
          <w:sz w:val="24"/>
          <w:szCs w:val="24"/>
        </w:rPr>
        <w:t>can</w:t>
      </w:r>
      <w:r w:rsidRPr="004276F4">
        <w:rPr>
          <w:sz w:val="24"/>
          <w:szCs w:val="24"/>
        </w:rPr>
        <w:t xml:space="preserve"> pay all that solicitors are claiming</w:t>
      </w:r>
      <w:r w:rsidR="004276F4">
        <w:rPr>
          <w:sz w:val="24"/>
          <w:szCs w:val="24"/>
        </w:rPr>
        <w:t xml:space="preserve"> (</w:t>
      </w:r>
      <w:r w:rsidRPr="004276F4">
        <w:rPr>
          <w:sz w:val="24"/>
          <w:szCs w:val="24"/>
        </w:rPr>
        <w:t>without abating them</w:t>
      </w:r>
      <w:r w:rsidR="004276F4">
        <w:rPr>
          <w:sz w:val="24"/>
          <w:szCs w:val="24"/>
        </w:rPr>
        <w:t>)</w:t>
      </w:r>
      <w:r w:rsidRPr="004276F4">
        <w:rPr>
          <w:sz w:val="24"/>
          <w:szCs w:val="24"/>
        </w:rPr>
        <w:t xml:space="preserve">.  </w:t>
      </w:r>
    </w:p>
    <w:p w14:paraId="0E2E1ADA" w14:textId="77777777" w:rsidR="00C16763" w:rsidRPr="004276F4" w:rsidRDefault="00C16763" w:rsidP="00C16763">
      <w:pPr>
        <w:pStyle w:val="BodyText"/>
        <w:rPr>
          <w:sz w:val="24"/>
          <w:szCs w:val="24"/>
        </w:rPr>
      </w:pPr>
    </w:p>
    <w:p w14:paraId="19C8E534" w14:textId="6EB6EB15" w:rsidR="00C16763" w:rsidRPr="004276F4" w:rsidRDefault="00C16763" w:rsidP="00C16763">
      <w:pPr>
        <w:pStyle w:val="BodyText"/>
        <w:rPr>
          <w:sz w:val="24"/>
          <w:szCs w:val="24"/>
        </w:rPr>
      </w:pPr>
      <w:r w:rsidRPr="004276F4">
        <w:rPr>
          <w:sz w:val="24"/>
          <w:szCs w:val="24"/>
        </w:rPr>
        <w:t xml:space="preserve">‘Abatement’ describes the process by which the amount paid by SLAB includes one or more deductions from the amount claimed by a solicitor. This can occur for many different reasons. Subsequent negotiations with firms can result in part or </w:t>
      </w:r>
      <w:r w:rsidR="004276F4" w:rsidRPr="004276F4">
        <w:rPr>
          <w:sz w:val="24"/>
          <w:szCs w:val="24"/>
        </w:rPr>
        <w:t>all</w:t>
      </w:r>
      <w:r w:rsidRPr="004276F4">
        <w:rPr>
          <w:sz w:val="24"/>
          <w:szCs w:val="24"/>
        </w:rPr>
        <w:t xml:space="preserve"> the sum abated being reinstated, often because we are provided with further information that allows us to be satisfied that a claim is valid or reasonable. This can be additional information (such as vouching) to support a claim, or an explanation to justify a particular activity which had appeared to us on the face of it to be unnecessary, unreasonable or uneconomical.</w:t>
      </w:r>
    </w:p>
    <w:p w14:paraId="6A40B5F6" w14:textId="77777777" w:rsidR="00C16763" w:rsidRPr="004276F4" w:rsidRDefault="00C16763" w:rsidP="00C16763">
      <w:pPr>
        <w:pStyle w:val="BodyText"/>
        <w:rPr>
          <w:sz w:val="24"/>
          <w:szCs w:val="24"/>
        </w:rPr>
      </w:pPr>
      <w:r w:rsidRPr="004276F4">
        <w:rPr>
          <w:sz w:val="24"/>
          <w:szCs w:val="24"/>
        </w:rPr>
        <w:lastRenderedPageBreak/>
        <w:t>SLAB needs to protect the Legal Aid Fund from unjustified expenditure; however this needs to be undertaken in a manner that is seen to be fair, transparent and done in a consistent and efficient manner.</w:t>
      </w:r>
    </w:p>
    <w:p w14:paraId="1CE2623A" w14:textId="77777777" w:rsidR="00C16763" w:rsidRPr="004276F4" w:rsidRDefault="00C16763" w:rsidP="00C16763">
      <w:pPr>
        <w:pStyle w:val="BodyText"/>
        <w:rPr>
          <w:sz w:val="24"/>
          <w:szCs w:val="24"/>
        </w:rPr>
      </w:pPr>
    </w:p>
    <w:p w14:paraId="33DF109B" w14:textId="38456F0A" w:rsidR="00C16763" w:rsidRPr="004276F4" w:rsidRDefault="004276F4" w:rsidP="00C16763">
      <w:pPr>
        <w:pStyle w:val="BodyText"/>
        <w:rPr>
          <w:sz w:val="24"/>
          <w:szCs w:val="24"/>
        </w:rPr>
      </w:pPr>
      <w:r w:rsidRPr="004276F4">
        <w:rPr>
          <w:sz w:val="24"/>
          <w:szCs w:val="24"/>
        </w:rPr>
        <w:t>Ultimately,</w:t>
      </w:r>
      <w:r w:rsidR="00C16763" w:rsidRPr="004276F4">
        <w:rPr>
          <w:sz w:val="24"/>
          <w:szCs w:val="24"/>
        </w:rPr>
        <w:t xml:space="preserve"> we will be using the information on what we finally pay against, the original lodged amount and the initial payment to understand how we can ensure more could be paid at the first instance. </w:t>
      </w:r>
    </w:p>
    <w:p w14:paraId="0F8CD35E" w14:textId="77777777" w:rsidR="00C16763" w:rsidRPr="004276F4" w:rsidRDefault="00C16763" w:rsidP="00C16763">
      <w:pPr>
        <w:pStyle w:val="BodyText"/>
        <w:rPr>
          <w:sz w:val="24"/>
          <w:szCs w:val="24"/>
        </w:rPr>
      </w:pPr>
    </w:p>
    <w:p w14:paraId="08A11534" w14:textId="5AC19F35" w:rsidR="00C16763" w:rsidRPr="004276F4" w:rsidRDefault="00C16763" w:rsidP="00C16763">
      <w:pPr>
        <w:pStyle w:val="BodyText"/>
        <w:rPr>
          <w:b/>
          <w:bCs/>
          <w:sz w:val="24"/>
          <w:szCs w:val="24"/>
        </w:rPr>
      </w:pPr>
      <w:r w:rsidRPr="004276F4">
        <w:rPr>
          <w:b/>
          <w:bCs/>
          <w:sz w:val="24"/>
          <w:szCs w:val="24"/>
        </w:rPr>
        <w:t>Ratio of Further Work (Negotiation) to First Decision (First Instance)</w:t>
      </w:r>
    </w:p>
    <w:p w14:paraId="26B732ED" w14:textId="76ABAE12" w:rsidR="00C16763" w:rsidRPr="004276F4" w:rsidRDefault="00C16763" w:rsidP="00C16763">
      <w:pPr>
        <w:pStyle w:val="BodyText"/>
        <w:rPr>
          <w:sz w:val="24"/>
          <w:szCs w:val="24"/>
        </w:rPr>
      </w:pPr>
      <w:r w:rsidRPr="004276F4">
        <w:rPr>
          <w:sz w:val="24"/>
          <w:szCs w:val="24"/>
        </w:rPr>
        <w:t>In applications this indicator is the number of cases requiring further work divided by the total number of first decisions in the period and expressed as a percentage. In accounts it is the number of negotiation accounts paid compared with the number of first instance accounts.</w:t>
      </w:r>
    </w:p>
    <w:p w14:paraId="5D296911" w14:textId="77777777" w:rsidR="00C16763" w:rsidRPr="004276F4" w:rsidRDefault="00C16763" w:rsidP="00C16763">
      <w:pPr>
        <w:pStyle w:val="BodyText"/>
        <w:rPr>
          <w:sz w:val="24"/>
          <w:szCs w:val="24"/>
        </w:rPr>
      </w:pPr>
    </w:p>
    <w:p w14:paraId="18B08925" w14:textId="01DB3ABD" w:rsidR="00C16763" w:rsidRPr="004276F4" w:rsidRDefault="00C16763" w:rsidP="00C16763">
      <w:pPr>
        <w:pStyle w:val="BodyText"/>
        <w:rPr>
          <w:sz w:val="24"/>
          <w:szCs w:val="24"/>
        </w:rPr>
      </w:pPr>
      <w:r w:rsidRPr="004276F4">
        <w:rPr>
          <w:sz w:val="24"/>
          <w:szCs w:val="24"/>
        </w:rPr>
        <w:t xml:space="preserve">This indicator measures </w:t>
      </w:r>
      <w:r w:rsidR="004276F4" w:rsidRPr="004276F4">
        <w:rPr>
          <w:sz w:val="24"/>
          <w:szCs w:val="24"/>
        </w:rPr>
        <w:t>a few</w:t>
      </w:r>
      <w:r w:rsidRPr="004276F4">
        <w:rPr>
          <w:sz w:val="24"/>
          <w:szCs w:val="24"/>
        </w:rPr>
        <w:t xml:space="preserve"> different key elements of the process:</w:t>
      </w:r>
    </w:p>
    <w:p w14:paraId="478A0D5C" w14:textId="77777777" w:rsidR="00C16763" w:rsidRPr="004276F4" w:rsidRDefault="00C16763" w:rsidP="00C16763">
      <w:pPr>
        <w:pStyle w:val="BodyText"/>
        <w:rPr>
          <w:sz w:val="24"/>
          <w:szCs w:val="24"/>
        </w:rPr>
      </w:pPr>
    </w:p>
    <w:p w14:paraId="162F4FC0" w14:textId="298CFAA2" w:rsidR="00C16763" w:rsidRPr="004276F4" w:rsidRDefault="00C16763" w:rsidP="00C16763">
      <w:pPr>
        <w:pStyle w:val="BodyText"/>
        <w:numPr>
          <w:ilvl w:val="0"/>
          <w:numId w:val="1"/>
        </w:numPr>
        <w:rPr>
          <w:sz w:val="24"/>
          <w:szCs w:val="24"/>
        </w:rPr>
      </w:pPr>
      <w:r w:rsidRPr="004276F4">
        <w:rPr>
          <w:sz w:val="24"/>
          <w:szCs w:val="24"/>
        </w:rPr>
        <w:t>the effectiveness with which SLAB is getting correct applications/accounts in the first instance</w:t>
      </w:r>
    </w:p>
    <w:p w14:paraId="30133D9C" w14:textId="2077CF1A" w:rsidR="00C16763" w:rsidRPr="004276F4" w:rsidRDefault="00C16763" w:rsidP="00C16763">
      <w:pPr>
        <w:pStyle w:val="BodyText"/>
        <w:numPr>
          <w:ilvl w:val="0"/>
          <w:numId w:val="1"/>
        </w:numPr>
        <w:rPr>
          <w:sz w:val="24"/>
          <w:szCs w:val="24"/>
        </w:rPr>
      </w:pPr>
      <w:r w:rsidRPr="004276F4">
        <w:rPr>
          <w:sz w:val="24"/>
          <w:szCs w:val="24"/>
        </w:rPr>
        <w:t>that SLAB is making correct decisions</w:t>
      </w:r>
    </w:p>
    <w:p w14:paraId="6D2F60BC" w14:textId="4C974CC8" w:rsidR="00C16763" w:rsidRPr="004276F4" w:rsidRDefault="004276F4" w:rsidP="00C16763">
      <w:pPr>
        <w:pStyle w:val="BodyText"/>
        <w:numPr>
          <w:ilvl w:val="0"/>
          <w:numId w:val="1"/>
        </w:numPr>
        <w:rPr>
          <w:sz w:val="24"/>
          <w:szCs w:val="24"/>
        </w:rPr>
      </w:pPr>
      <w:r>
        <w:rPr>
          <w:sz w:val="24"/>
          <w:szCs w:val="24"/>
        </w:rPr>
        <w:t>t</w:t>
      </w:r>
      <w:r w:rsidR="00C16763" w:rsidRPr="004276F4">
        <w:rPr>
          <w:sz w:val="24"/>
          <w:szCs w:val="24"/>
        </w:rPr>
        <w:t>he effectiveness with which SLAB is communicating those decisions.</w:t>
      </w:r>
    </w:p>
    <w:p w14:paraId="4D9F0F0C" w14:textId="77777777" w:rsidR="00C16763" w:rsidRPr="004276F4" w:rsidRDefault="00C16763" w:rsidP="00C16763">
      <w:pPr>
        <w:pStyle w:val="BodyText"/>
        <w:rPr>
          <w:sz w:val="24"/>
          <w:szCs w:val="24"/>
        </w:rPr>
      </w:pPr>
    </w:p>
    <w:p w14:paraId="6A1117D9" w14:textId="77777777" w:rsidR="00C16763" w:rsidRPr="004276F4" w:rsidRDefault="00C16763" w:rsidP="00C16763">
      <w:pPr>
        <w:pStyle w:val="BodyText"/>
        <w:rPr>
          <w:sz w:val="24"/>
          <w:szCs w:val="24"/>
        </w:rPr>
      </w:pPr>
      <w:r w:rsidRPr="004276F4">
        <w:rPr>
          <w:sz w:val="24"/>
          <w:szCs w:val="24"/>
        </w:rPr>
        <w:t xml:space="preserve">Poor performance in any of those areas could result in an increase in this ratio.  Simply put </w:t>
      </w:r>
      <w:r w:rsidRPr="004276F4">
        <w:rPr>
          <w:b/>
          <w:bCs/>
          <w:sz w:val="24"/>
          <w:szCs w:val="24"/>
          <w:u w:val="single"/>
        </w:rPr>
        <w:t>lower</w:t>
      </w:r>
      <w:r w:rsidRPr="004276F4">
        <w:rPr>
          <w:sz w:val="24"/>
          <w:szCs w:val="24"/>
        </w:rPr>
        <w:t xml:space="preserve"> is better.</w:t>
      </w:r>
    </w:p>
    <w:p w14:paraId="2CCCCD87" w14:textId="77777777" w:rsidR="00C16763" w:rsidRDefault="00C16763" w:rsidP="00C16763"/>
    <w:p w14:paraId="1F6FBF9D" w14:textId="6499F45D" w:rsidR="00C16763" w:rsidRPr="00C16763" w:rsidRDefault="00C16763" w:rsidP="00C16763">
      <w:pPr>
        <w:rPr>
          <w:b/>
          <w:bCs/>
        </w:rPr>
      </w:pPr>
      <w:r w:rsidRPr="00C16763">
        <w:rPr>
          <w:b/>
          <w:bCs/>
        </w:rPr>
        <w:t>Accuracy</w:t>
      </w:r>
    </w:p>
    <w:p w14:paraId="1F02F9CE" w14:textId="12317A50" w:rsidR="00C16763" w:rsidRDefault="00C16763" w:rsidP="00C16763">
      <w:r>
        <w:t>This is measured through sampling of cases in both the applications and accounts areas. Cases are scored with a range of 1 to 4</w:t>
      </w:r>
      <w:r w:rsidR="004276F4">
        <w:t>:</w:t>
      </w:r>
    </w:p>
    <w:p w14:paraId="7BAA6E74" w14:textId="317F866F" w:rsidR="00C16763" w:rsidRDefault="00C16763" w:rsidP="00C16763">
      <w:pPr>
        <w:ind w:left="851" w:hanging="425"/>
      </w:pPr>
      <w:r>
        <w:t>1 = Fundamental error – an error caused an incorrect decision to be taken</w:t>
      </w:r>
    </w:p>
    <w:p w14:paraId="28BA1FCA" w14:textId="5DAE2A89" w:rsidR="00C16763" w:rsidRDefault="00C16763" w:rsidP="00C16763">
      <w:pPr>
        <w:ind w:left="851" w:hanging="425"/>
      </w:pPr>
      <w:r>
        <w:t>2 = Non=fundamental error – an error found but this did not result in an incorrect decision</w:t>
      </w:r>
    </w:p>
    <w:p w14:paraId="1869004B" w14:textId="514A6860" w:rsidR="00C16763" w:rsidRDefault="00C16763" w:rsidP="00C16763">
      <w:pPr>
        <w:ind w:left="851" w:hanging="425"/>
      </w:pPr>
      <w:r>
        <w:t xml:space="preserve">3 = Issue – a correct decision was taken but some of the justification was </w:t>
      </w:r>
      <w:proofErr w:type="spellStart"/>
      <w:r>
        <w:t>incaccurate</w:t>
      </w:r>
      <w:proofErr w:type="spellEnd"/>
    </w:p>
    <w:p w14:paraId="59EF18C1" w14:textId="5B2A1B60" w:rsidR="00C16763" w:rsidRDefault="00C16763" w:rsidP="00C16763">
      <w:pPr>
        <w:ind w:left="851" w:hanging="425"/>
      </w:pPr>
      <w:r>
        <w:t>4 = correct decision with the correct justification</w:t>
      </w:r>
    </w:p>
    <w:p w14:paraId="42C1E39B" w14:textId="77777777" w:rsidR="00C16763" w:rsidRDefault="00C16763" w:rsidP="00C16763"/>
    <w:p w14:paraId="5DB7985D" w14:textId="48F0FC72" w:rsidR="00C16763" w:rsidRDefault="00C16763" w:rsidP="00C16763">
      <w:r>
        <w:t xml:space="preserve">The percentage figure reported is the percent of measurements that are scored 4, </w:t>
      </w:r>
      <w:r w:rsidR="008E7B22">
        <w:t>that is,</w:t>
      </w:r>
      <w:r>
        <w:t xml:space="preserve"> correct.</w:t>
      </w:r>
    </w:p>
    <w:p w14:paraId="7BF3AB36" w14:textId="77777777" w:rsidR="00D2054F" w:rsidRDefault="00D2054F" w:rsidP="00C16763"/>
    <w:p w14:paraId="3AFC5B6A" w14:textId="77777777" w:rsidR="00D2054F" w:rsidRPr="00D2054F" w:rsidRDefault="00D2054F" w:rsidP="00D2054F">
      <w:pPr>
        <w:pStyle w:val="paragraph"/>
        <w:spacing w:before="0" w:beforeAutospacing="0" w:after="0" w:afterAutospacing="0"/>
        <w:textAlignment w:val="baseline"/>
        <w:rPr>
          <w:rFonts w:ascii="Trebuchet MS" w:hAnsi="Trebuchet MS" w:cs="Segoe UI"/>
          <w:sz w:val="18"/>
          <w:szCs w:val="18"/>
        </w:rPr>
      </w:pPr>
      <w:r w:rsidRPr="00D2054F">
        <w:rPr>
          <w:rStyle w:val="normaltextrun"/>
          <w:rFonts w:ascii="Trebuchet MS" w:hAnsi="Trebuchet MS" w:cs="Segoe UI"/>
          <w:b/>
          <w:bCs/>
          <w:color w:val="000000"/>
        </w:rPr>
        <w:t>Solicitor surveys </w:t>
      </w:r>
      <w:r w:rsidRPr="00D2054F">
        <w:rPr>
          <w:rStyle w:val="eop"/>
          <w:rFonts w:ascii="Trebuchet MS" w:hAnsi="Trebuchet MS" w:cs="Segoe UI"/>
          <w:color w:val="000000"/>
        </w:rPr>
        <w:t> </w:t>
      </w:r>
    </w:p>
    <w:p w14:paraId="7E4BB3F7" w14:textId="77777777" w:rsidR="00D2054F" w:rsidRDefault="00D2054F" w:rsidP="00D2054F">
      <w:pPr>
        <w:pStyle w:val="paragraph"/>
        <w:spacing w:before="0" w:beforeAutospacing="0" w:after="0" w:afterAutospacing="0"/>
        <w:textAlignment w:val="baseline"/>
        <w:rPr>
          <w:rStyle w:val="eop"/>
          <w:rFonts w:ascii="Trebuchet MS" w:hAnsi="Trebuchet MS" w:cs="Segoe UI"/>
          <w:color w:val="000000"/>
        </w:rPr>
      </w:pPr>
      <w:r w:rsidRPr="00D2054F">
        <w:rPr>
          <w:rStyle w:val="normaltextrun"/>
          <w:rFonts w:ascii="Trebuchet MS" w:hAnsi="Trebuchet MS" w:cs="Segoe UI"/>
          <w:color w:val="000000"/>
        </w:rPr>
        <w:t>We have trialled a new approach to surveying solicitors about their satisfaction with our service. Solicitors were asked to indicate their satisfaction using a 5-point scale. </w:t>
      </w:r>
      <w:r w:rsidRPr="00D2054F">
        <w:rPr>
          <w:rStyle w:val="eop"/>
          <w:rFonts w:ascii="Trebuchet MS" w:hAnsi="Trebuchet MS" w:cs="Segoe UI"/>
          <w:color w:val="000000"/>
        </w:rPr>
        <w:t> </w:t>
      </w:r>
    </w:p>
    <w:p w14:paraId="0AE1E8BA" w14:textId="77777777" w:rsidR="00D2054F" w:rsidRPr="00D2054F" w:rsidRDefault="00D2054F" w:rsidP="00D2054F">
      <w:pPr>
        <w:pStyle w:val="paragraph"/>
        <w:spacing w:before="0" w:beforeAutospacing="0" w:after="0" w:afterAutospacing="0"/>
        <w:textAlignment w:val="baseline"/>
        <w:rPr>
          <w:rFonts w:ascii="Trebuchet MS" w:hAnsi="Trebuchet MS" w:cs="Segoe UI"/>
          <w:sz w:val="18"/>
          <w:szCs w:val="18"/>
        </w:rPr>
      </w:pPr>
    </w:p>
    <w:p w14:paraId="39440F5B" w14:textId="3A42E4CB" w:rsidR="00D2054F" w:rsidRDefault="00D2054F" w:rsidP="00D2054F">
      <w:pPr>
        <w:pStyle w:val="paragraph"/>
        <w:spacing w:before="0" w:beforeAutospacing="0" w:after="0" w:afterAutospacing="0"/>
        <w:textAlignment w:val="baseline"/>
        <w:rPr>
          <w:rStyle w:val="eop"/>
          <w:rFonts w:ascii="Trebuchet MS" w:hAnsi="Trebuchet MS" w:cs="Segoe UI"/>
          <w:color w:val="000000"/>
        </w:rPr>
      </w:pPr>
      <w:r w:rsidRPr="00D2054F">
        <w:rPr>
          <w:rStyle w:val="normaltextrun"/>
          <w:rFonts w:ascii="Trebuchet MS" w:hAnsi="Trebuchet MS" w:cs="Segoe UI"/>
          <w:color w:val="000000"/>
        </w:rPr>
        <w:t xml:space="preserve">The percent satisfied score reported here is the percent of solicitors who responded </w:t>
      </w:r>
      <w:r w:rsidR="008E7B22">
        <w:rPr>
          <w:rStyle w:val="normaltextrun"/>
          <w:rFonts w:ascii="Trebuchet MS" w:hAnsi="Trebuchet MS" w:cs="Segoe UI"/>
          <w:color w:val="000000"/>
        </w:rPr>
        <w:t xml:space="preserve">as </w:t>
      </w:r>
      <w:r w:rsidRPr="00D2054F">
        <w:rPr>
          <w:rStyle w:val="normaltextrun"/>
          <w:rFonts w:ascii="Trebuchet MS" w:hAnsi="Trebuchet MS" w:cs="Segoe UI"/>
          <w:color w:val="000000"/>
        </w:rPr>
        <w:t>either Fairly Satisfied (4) or Very Satisfied (5) on the scale. </w:t>
      </w:r>
      <w:r w:rsidRPr="00D2054F">
        <w:rPr>
          <w:rStyle w:val="eop"/>
          <w:rFonts w:ascii="Trebuchet MS" w:hAnsi="Trebuchet MS" w:cs="Segoe UI"/>
          <w:color w:val="000000"/>
        </w:rPr>
        <w:t> </w:t>
      </w:r>
    </w:p>
    <w:p w14:paraId="3D47DD8D" w14:textId="77777777" w:rsidR="00D2054F" w:rsidRPr="00D2054F" w:rsidRDefault="00D2054F" w:rsidP="00D2054F">
      <w:pPr>
        <w:pStyle w:val="paragraph"/>
        <w:spacing w:before="0" w:beforeAutospacing="0" w:after="0" w:afterAutospacing="0"/>
        <w:textAlignment w:val="baseline"/>
        <w:rPr>
          <w:rFonts w:ascii="Trebuchet MS" w:hAnsi="Trebuchet MS" w:cs="Segoe UI"/>
          <w:sz w:val="18"/>
          <w:szCs w:val="18"/>
        </w:rPr>
      </w:pPr>
    </w:p>
    <w:p w14:paraId="030DDD05" w14:textId="77777777" w:rsidR="00D2054F" w:rsidRDefault="00D2054F" w:rsidP="00D2054F">
      <w:pPr>
        <w:pStyle w:val="paragraph"/>
        <w:spacing w:before="0" w:beforeAutospacing="0" w:after="0" w:afterAutospacing="0"/>
        <w:textAlignment w:val="baseline"/>
        <w:rPr>
          <w:rStyle w:val="eop"/>
          <w:rFonts w:ascii="Trebuchet MS" w:hAnsi="Trebuchet MS" w:cs="Segoe UI"/>
          <w:color w:val="000000"/>
        </w:rPr>
      </w:pPr>
      <w:r w:rsidRPr="00D2054F">
        <w:rPr>
          <w:rStyle w:val="normaltextrun"/>
          <w:rFonts w:ascii="Trebuchet MS" w:hAnsi="Trebuchet MS" w:cs="Segoe UI"/>
          <w:color w:val="000000"/>
        </w:rPr>
        <w:t>The satisfaction question was targeted separately on a three-month rolling basis at solicitors carrying out Civil work, Criminal work and Children’s work. Within each area one question was asked regarding the applications service and one question was asked regarding the accounts service. We also provided the option for solicitors to respond with open comments in a free-text box. </w:t>
      </w:r>
      <w:r w:rsidRPr="00D2054F">
        <w:rPr>
          <w:rStyle w:val="eop"/>
          <w:rFonts w:ascii="Trebuchet MS" w:hAnsi="Trebuchet MS" w:cs="Segoe UI"/>
          <w:color w:val="000000"/>
        </w:rPr>
        <w:t> </w:t>
      </w:r>
    </w:p>
    <w:p w14:paraId="45E4BCD1" w14:textId="77777777" w:rsidR="00D2054F" w:rsidRDefault="00D2054F" w:rsidP="00D2054F">
      <w:pPr>
        <w:pStyle w:val="paragraph"/>
        <w:spacing w:before="0" w:beforeAutospacing="0" w:after="0" w:afterAutospacing="0"/>
        <w:textAlignment w:val="baseline"/>
        <w:rPr>
          <w:rStyle w:val="eop"/>
          <w:rFonts w:ascii="Trebuchet MS" w:hAnsi="Trebuchet MS" w:cs="Segoe UI"/>
          <w:color w:val="000000"/>
        </w:rPr>
      </w:pPr>
      <w:r w:rsidRPr="00D2054F">
        <w:rPr>
          <w:rStyle w:val="normaltextrun"/>
          <w:rFonts w:ascii="Trebuchet MS" w:hAnsi="Trebuchet MS" w:cs="Segoe UI"/>
          <w:color w:val="000000"/>
        </w:rPr>
        <w:lastRenderedPageBreak/>
        <w:t>In the first month we asked the application question and the accounts question of solicitors who had made any civil applications in the past three months. In the second month we did the same for criminal and in the third month we did the same for children’s. Then in the fourth month we went back to civil and repeated the approach. </w:t>
      </w:r>
      <w:r w:rsidRPr="00D2054F">
        <w:rPr>
          <w:rStyle w:val="eop"/>
          <w:rFonts w:ascii="Trebuchet MS" w:hAnsi="Trebuchet MS" w:cs="Segoe UI"/>
          <w:color w:val="000000"/>
        </w:rPr>
        <w:t> </w:t>
      </w:r>
    </w:p>
    <w:p w14:paraId="4C4811C5" w14:textId="77777777" w:rsidR="00D2054F" w:rsidRPr="00D2054F" w:rsidRDefault="00D2054F" w:rsidP="00D2054F">
      <w:pPr>
        <w:pStyle w:val="paragraph"/>
        <w:spacing w:before="0" w:beforeAutospacing="0" w:after="0" w:afterAutospacing="0"/>
        <w:textAlignment w:val="baseline"/>
        <w:rPr>
          <w:rFonts w:ascii="Trebuchet MS" w:hAnsi="Trebuchet MS" w:cs="Segoe UI"/>
          <w:sz w:val="18"/>
          <w:szCs w:val="18"/>
        </w:rPr>
      </w:pPr>
    </w:p>
    <w:p w14:paraId="732C7A03" w14:textId="0E4D9CFB" w:rsidR="00D2054F" w:rsidRPr="00D2054F" w:rsidRDefault="00D2054F" w:rsidP="00D2054F">
      <w:pPr>
        <w:pStyle w:val="paragraph"/>
        <w:spacing w:before="0" w:beforeAutospacing="0" w:after="0" w:afterAutospacing="0"/>
        <w:textAlignment w:val="baseline"/>
        <w:rPr>
          <w:rFonts w:ascii="Trebuchet MS" w:hAnsi="Trebuchet MS" w:cs="Segoe UI"/>
          <w:sz w:val="18"/>
          <w:szCs w:val="18"/>
        </w:rPr>
      </w:pPr>
      <w:r w:rsidRPr="00D2054F">
        <w:rPr>
          <w:rStyle w:val="normaltextrun"/>
          <w:rFonts w:ascii="Trebuchet MS" w:hAnsi="Trebuchet MS" w:cs="Segoe UI"/>
          <w:color w:val="000000"/>
        </w:rPr>
        <w:t xml:space="preserve">We developed this approach to minimise the level of repeat questioning any individual solicitor might receive in one month. Despite this, the number of responses dropped over time and so we switched to six-monthly rather than quarterly surveys. After a break during the covid period, response numbers have continued to be low. For this </w:t>
      </w:r>
      <w:r w:rsidR="008E7B22" w:rsidRPr="00D2054F">
        <w:rPr>
          <w:rStyle w:val="normaltextrun"/>
          <w:rFonts w:ascii="Trebuchet MS" w:hAnsi="Trebuchet MS" w:cs="Segoe UI"/>
          <w:color w:val="000000"/>
        </w:rPr>
        <w:t>reason,</w:t>
      </w:r>
      <w:r w:rsidRPr="00D2054F">
        <w:rPr>
          <w:rStyle w:val="normaltextrun"/>
          <w:rFonts w:ascii="Trebuchet MS" w:hAnsi="Trebuchet MS" w:cs="Segoe UI"/>
          <w:color w:val="000000"/>
        </w:rPr>
        <w:t xml:space="preserve"> we decided to review our approach to gathering solicitor feedback and so did not undertake the last round of scheduled surveys. We will update members when the new process is in place. </w:t>
      </w:r>
    </w:p>
    <w:p w14:paraId="33869739" w14:textId="77777777" w:rsidR="008738D3" w:rsidRPr="00D2054F" w:rsidRDefault="008738D3" w:rsidP="00C16763">
      <w:pPr>
        <w:spacing w:before="100" w:beforeAutospacing="1"/>
      </w:pPr>
    </w:p>
    <w:sectPr w:rsidR="008738D3" w:rsidRPr="00D2054F" w:rsidSect="001A21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A546" w14:textId="77777777" w:rsidR="001A2180" w:rsidRDefault="001A2180" w:rsidP="00F77A60">
      <w:r>
        <w:separator/>
      </w:r>
    </w:p>
  </w:endnote>
  <w:endnote w:type="continuationSeparator" w:id="0">
    <w:p w14:paraId="67E96473" w14:textId="77777777" w:rsidR="001A2180" w:rsidRDefault="001A2180" w:rsidP="00F77A60">
      <w:r>
        <w:continuationSeparator/>
      </w:r>
    </w:p>
  </w:endnote>
  <w:endnote w:type="continuationNotice" w:id="1">
    <w:p w14:paraId="71C45035" w14:textId="77777777" w:rsidR="001A2180" w:rsidRDefault="001A2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4918" w14:textId="39E97632" w:rsidR="00CC5CAD" w:rsidRDefault="00CC5CAD" w:rsidP="00461223">
    <w:pPr>
      <w:pStyle w:val="Footer"/>
    </w:pPr>
    <w:r w:rsidRPr="00101A53">
      <w:rPr>
        <w:i/>
      </w:rPr>
      <w:t>The Scottish Legal Aid Board</w:t>
    </w:r>
    <w:r w:rsidRPr="00101A53">
      <w:t xml:space="preserve">     </w:t>
    </w:r>
    <w:r w:rsidRPr="00101A53">
      <w:rPr>
        <w:b/>
        <w:color w:val="2B579A"/>
        <w:shd w:val="clear" w:color="auto" w:fill="E6E6E6"/>
      </w:rPr>
      <w:fldChar w:fldCharType="begin"/>
    </w:r>
    <w:r w:rsidRPr="00101A53">
      <w:rPr>
        <w:b/>
      </w:rPr>
      <w:instrText xml:space="preserve"> PAGE   \* MERGEFORMAT </w:instrText>
    </w:r>
    <w:r w:rsidRPr="00101A53">
      <w:rPr>
        <w:b/>
        <w:color w:val="2B579A"/>
        <w:shd w:val="clear" w:color="auto" w:fill="E6E6E6"/>
      </w:rPr>
      <w:fldChar w:fldCharType="separate"/>
    </w:r>
    <w:r w:rsidR="00075D88">
      <w:rPr>
        <w:b/>
        <w:noProof/>
      </w:rPr>
      <w:t>4</w:t>
    </w:r>
    <w:r w:rsidRPr="00101A53">
      <w:rPr>
        <w:b/>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92AD" w14:textId="6A0BC28E" w:rsidR="00CC5CAD" w:rsidRPr="00101A53" w:rsidRDefault="00CC5CAD" w:rsidP="00461223">
    <w:pPr>
      <w:pStyle w:val="Footer"/>
    </w:pPr>
    <w:r w:rsidRPr="00101A53">
      <w:rPr>
        <w:i/>
      </w:rPr>
      <w:t>The Scottish Legal Aid Board</w:t>
    </w:r>
    <w:r w:rsidRPr="00101A53">
      <w:t xml:space="preserve">     </w:t>
    </w:r>
    <w:r w:rsidRPr="00101A53">
      <w:rPr>
        <w:b/>
        <w:color w:val="2B579A"/>
        <w:shd w:val="clear" w:color="auto" w:fill="E6E6E6"/>
      </w:rPr>
      <w:fldChar w:fldCharType="begin"/>
    </w:r>
    <w:r w:rsidRPr="00101A53">
      <w:rPr>
        <w:b/>
      </w:rPr>
      <w:instrText xml:space="preserve"> PAGE   \* MERGEFORMAT </w:instrText>
    </w:r>
    <w:r w:rsidRPr="00101A53">
      <w:rPr>
        <w:b/>
        <w:color w:val="2B579A"/>
        <w:shd w:val="clear" w:color="auto" w:fill="E6E6E6"/>
      </w:rPr>
      <w:fldChar w:fldCharType="separate"/>
    </w:r>
    <w:r w:rsidR="00075D88">
      <w:rPr>
        <w:b/>
        <w:noProof/>
      </w:rPr>
      <w:t>1</w:t>
    </w:r>
    <w:r w:rsidRPr="00101A53">
      <w:rPr>
        <w:b/>
        <w:noProof/>
        <w:color w:val="2B579A"/>
        <w:shd w:val="clear" w:color="auto" w:fill="E6E6E6"/>
      </w:rPr>
      <w:fldChar w:fldCharType="end"/>
    </w:r>
  </w:p>
  <w:p w14:paraId="5C37D901" w14:textId="77777777" w:rsidR="00CC5CAD" w:rsidRDefault="00CC5CAD" w:rsidP="00461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A7A53" w14:textId="77777777" w:rsidR="00283516" w:rsidRDefault="002835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9C713" w14:textId="2452F1D3" w:rsidR="00283516" w:rsidRDefault="00283516" w:rsidP="00461223">
    <w:pPr>
      <w:pStyle w:val="Footer"/>
    </w:pPr>
    <w:r w:rsidRPr="00101A53">
      <w:rPr>
        <w:i/>
      </w:rPr>
      <w:t>The Scottish Legal Aid Board</w:t>
    </w:r>
    <w:r w:rsidRPr="00101A53">
      <w:t xml:space="preserve">     </w:t>
    </w:r>
    <w:r w:rsidRPr="00101A53">
      <w:rPr>
        <w:b/>
        <w:color w:val="2B579A"/>
        <w:shd w:val="clear" w:color="auto" w:fill="E6E6E6"/>
      </w:rPr>
      <w:fldChar w:fldCharType="begin"/>
    </w:r>
    <w:r w:rsidRPr="00101A53">
      <w:rPr>
        <w:b/>
      </w:rPr>
      <w:instrText xml:space="preserve"> PAGE   \* MERGEFORMAT </w:instrText>
    </w:r>
    <w:r w:rsidRPr="00101A53">
      <w:rPr>
        <w:b/>
        <w:color w:val="2B579A"/>
        <w:shd w:val="clear" w:color="auto" w:fill="E6E6E6"/>
      </w:rPr>
      <w:fldChar w:fldCharType="separate"/>
    </w:r>
    <w:r w:rsidR="00075D88">
      <w:rPr>
        <w:b/>
        <w:noProof/>
      </w:rPr>
      <w:t>7</w:t>
    </w:r>
    <w:r w:rsidRPr="00101A53">
      <w:rPr>
        <w:b/>
        <w:noProof/>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CD33" w14:textId="77777777" w:rsidR="00283516" w:rsidRPr="00101A53" w:rsidRDefault="00283516" w:rsidP="00461223">
    <w:pPr>
      <w:pStyle w:val="Footer"/>
    </w:pPr>
    <w:r w:rsidRPr="00101A53">
      <w:rPr>
        <w:i/>
      </w:rPr>
      <w:t>The Scottish Legal Aid Board</w:t>
    </w:r>
    <w:r w:rsidRPr="00101A53">
      <w:t xml:space="preserve">     </w:t>
    </w:r>
    <w:r w:rsidRPr="00101A53">
      <w:rPr>
        <w:b/>
        <w:color w:val="2B579A"/>
        <w:shd w:val="clear" w:color="auto" w:fill="E6E6E6"/>
      </w:rPr>
      <w:fldChar w:fldCharType="begin"/>
    </w:r>
    <w:r w:rsidRPr="00101A53">
      <w:rPr>
        <w:b/>
      </w:rPr>
      <w:instrText xml:space="preserve"> PAGE   \* MERGEFORMAT </w:instrText>
    </w:r>
    <w:r w:rsidRPr="00101A53">
      <w:rPr>
        <w:b/>
        <w:color w:val="2B579A"/>
        <w:shd w:val="clear" w:color="auto" w:fill="E6E6E6"/>
      </w:rPr>
      <w:fldChar w:fldCharType="separate"/>
    </w:r>
    <w:r>
      <w:rPr>
        <w:b/>
        <w:noProof/>
      </w:rPr>
      <w:t>5</w:t>
    </w:r>
    <w:r w:rsidRPr="00101A53">
      <w:rPr>
        <w:b/>
        <w:noProof/>
        <w:color w:val="2B579A"/>
        <w:shd w:val="clear" w:color="auto" w:fill="E6E6E6"/>
      </w:rPr>
      <w:fldChar w:fldCharType="end"/>
    </w:r>
  </w:p>
  <w:p w14:paraId="2A08077A" w14:textId="77777777" w:rsidR="00283516" w:rsidRDefault="00283516" w:rsidP="0046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BCF0F" w14:textId="77777777" w:rsidR="001A2180" w:rsidRDefault="001A2180" w:rsidP="00F77A60">
      <w:r>
        <w:separator/>
      </w:r>
    </w:p>
  </w:footnote>
  <w:footnote w:type="continuationSeparator" w:id="0">
    <w:p w14:paraId="1519B52F" w14:textId="77777777" w:rsidR="001A2180" w:rsidRDefault="001A2180" w:rsidP="00F77A60">
      <w:r>
        <w:continuationSeparator/>
      </w:r>
    </w:p>
  </w:footnote>
  <w:footnote w:type="continuationNotice" w:id="1">
    <w:p w14:paraId="787FD3CE" w14:textId="77777777" w:rsidR="001A2180" w:rsidRDefault="001A2180"/>
  </w:footnote>
  <w:footnote w:id="2">
    <w:p w14:paraId="706A97E1" w14:textId="3D04BB94" w:rsidR="00C16763" w:rsidRPr="004276F4" w:rsidRDefault="00C16763" w:rsidP="00C16763">
      <w:pPr>
        <w:pStyle w:val="FootnoteText"/>
        <w:rPr>
          <w:rFonts w:ascii="Trebuchet MS" w:hAnsi="Trebuchet MS"/>
          <w:lang w:val="en-US"/>
        </w:rPr>
      </w:pPr>
      <w:r w:rsidRPr="004276F4">
        <w:rPr>
          <w:rStyle w:val="FootnoteReference"/>
          <w:rFonts w:ascii="Trebuchet MS" w:hAnsi="Trebuchet MS"/>
        </w:rPr>
        <w:footnoteRef/>
      </w:r>
      <w:r w:rsidRPr="004276F4">
        <w:rPr>
          <w:rFonts w:ascii="Trebuchet MS" w:hAnsi="Trebuchet MS"/>
        </w:rPr>
        <w:t xml:space="preserve"> </w:t>
      </w:r>
      <w:r w:rsidRPr="004276F4">
        <w:rPr>
          <w:rFonts w:ascii="Trebuchet MS" w:hAnsi="Trebuchet MS"/>
          <w:lang w:val="en-US"/>
        </w:rPr>
        <w:t xml:space="preserve">The precise percentage is determined visually to best capture the variation </w:t>
      </w:r>
      <w:r w:rsidR="004276F4">
        <w:rPr>
          <w:rFonts w:ascii="Trebuchet MS" w:hAnsi="Trebuchet MS"/>
          <w:lang w:val="en-US"/>
        </w:rPr>
        <w:t>and</w:t>
      </w:r>
      <w:r w:rsidRPr="004276F4">
        <w:rPr>
          <w:rFonts w:ascii="Trebuchet MS" w:hAnsi="Trebuchet MS"/>
          <w:lang w:val="en-US"/>
        </w:rPr>
        <w:t xml:space="preserve"> scale of the specific KPI. A 10% range around 90% can capture more of the KPI datapoints than a 10% range around </w:t>
      </w:r>
      <w:r w:rsidR="004276F4">
        <w:rPr>
          <w:rFonts w:ascii="Trebuchet MS" w:hAnsi="Trebuchet MS"/>
          <w:lang w:val="en-US"/>
        </w:rPr>
        <w:t>five</w:t>
      </w:r>
      <w:r w:rsidRPr="004276F4">
        <w:rPr>
          <w:rFonts w:ascii="Trebuchet MS" w:hAnsi="Trebuchet MS"/>
          <w:lang w:val="en-US"/>
        </w:rPr>
        <w:t xml:space="preserve"> days – depending on the KPI. This adjustment is because of the differences in application and account types and processes which produce different distributions for the different measures – some are more variable than others. This is especially so in relation to the size of the measure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078DA" w14:textId="77777777" w:rsidR="00CC5CAD" w:rsidRDefault="00CC5CAD" w:rsidP="00461223">
    <w:pPr>
      <w:pStyle w:val="Header"/>
    </w:pPr>
    <w:r>
      <w:rPr>
        <w:noProof/>
        <w:color w:val="2B579A"/>
        <w:shd w:val="clear" w:color="auto" w:fill="E6E6E6"/>
        <w:lang w:eastAsia="en-GB"/>
      </w:rPr>
      <w:drawing>
        <wp:anchor distT="0" distB="0" distL="114300" distR="114300" simplePos="0" relativeHeight="251658244" behindDoc="1" locked="0" layoutInCell="1" allowOverlap="1" wp14:anchorId="7127DC07" wp14:editId="528C07E6">
          <wp:simplePos x="0" y="0"/>
          <wp:positionH relativeFrom="page">
            <wp:align>right</wp:align>
          </wp:positionH>
          <wp:positionV relativeFrom="page">
            <wp:align>top</wp:align>
          </wp:positionV>
          <wp:extent cx="1466850" cy="1551205"/>
          <wp:effectExtent l="0" t="0" r="0" b="0"/>
          <wp:wrapNone/>
          <wp:docPr id="1881460943" name="Picture 18814609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60943" name="Picture 188146094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rPr>
      <w:drawing>
        <wp:anchor distT="0" distB="0" distL="114300" distR="114300" simplePos="0" relativeHeight="251658243" behindDoc="1" locked="0" layoutInCell="1" allowOverlap="1" wp14:anchorId="6E2B300F" wp14:editId="6117DDAA">
          <wp:simplePos x="0" y="0"/>
          <wp:positionH relativeFrom="page">
            <wp:posOffset>9229725</wp:posOffset>
          </wp:positionH>
          <wp:positionV relativeFrom="page">
            <wp:posOffset>0</wp:posOffset>
          </wp:positionV>
          <wp:extent cx="1466850" cy="1551205"/>
          <wp:effectExtent l="0" t="0" r="0" b="0"/>
          <wp:wrapNone/>
          <wp:docPr id="819894930" name="Picture 819894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4930" name="Picture 81989493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01170" w14:textId="371414F2" w:rsidR="0039573E" w:rsidRDefault="003A50FE" w:rsidP="00461223">
    <w:pPr>
      <w:pStyle w:val="Header"/>
      <w:tabs>
        <w:tab w:val="clear" w:pos="4513"/>
        <w:tab w:val="clear" w:pos="9026"/>
        <w:tab w:val="right" w:pos="9356"/>
      </w:tabs>
    </w:pPr>
    <w:r>
      <w:rPr>
        <w:noProof/>
        <w:color w:val="2B579A"/>
        <w:shd w:val="clear" w:color="auto" w:fill="E6E6E6"/>
        <w:lang w:eastAsia="en-GB"/>
      </w:rPr>
      <w:drawing>
        <wp:anchor distT="0" distB="0" distL="114300" distR="114300" simplePos="0" relativeHeight="251658245" behindDoc="0" locked="0" layoutInCell="1" allowOverlap="1" wp14:anchorId="0BD32A4F" wp14:editId="6B9FBE2A">
          <wp:simplePos x="0" y="0"/>
          <wp:positionH relativeFrom="leftMargin">
            <wp:posOffset>238125</wp:posOffset>
          </wp:positionH>
          <wp:positionV relativeFrom="paragraph">
            <wp:posOffset>-355600</wp:posOffset>
          </wp:positionV>
          <wp:extent cx="742950" cy="895350"/>
          <wp:effectExtent l="0" t="0" r="0" b="0"/>
          <wp:wrapSquare wrapText="bothSides"/>
          <wp:docPr id="2145748213"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45748213"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73E">
      <w:rPr>
        <w:noProof/>
        <w:color w:val="2B579A"/>
        <w:shd w:val="clear" w:color="auto" w:fill="E6E6E6"/>
        <w:lang w:eastAsia="en-GB"/>
      </w:rPr>
      <w:drawing>
        <wp:anchor distT="0" distB="0" distL="114300" distR="114300" simplePos="0" relativeHeight="251658247" behindDoc="1" locked="0" layoutInCell="1" allowOverlap="1" wp14:anchorId="65A48883" wp14:editId="6A4F3150">
          <wp:simplePos x="0" y="0"/>
          <wp:positionH relativeFrom="page">
            <wp:align>right</wp:align>
          </wp:positionH>
          <wp:positionV relativeFrom="page">
            <wp:posOffset>-57150</wp:posOffset>
          </wp:positionV>
          <wp:extent cx="933450" cy="1140639"/>
          <wp:effectExtent l="0" t="0" r="0" b="2540"/>
          <wp:wrapNone/>
          <wp:docPr id="1490799485" name="Picture 1490799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99485" name="Picture 149079948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1140639"/>
                  </a:xfrm>
                  <a:prstGeom prst="rect">
                    <a:avLst/>
                  </a:prstGeom>
                  <a:noFill/>
                </pic:spPr>
              </pic:pic>
            </a:graphicData>
          </a:graphic>
          <wp14:sizeRelH relativeFrom="margin">
            <wp14:pctWidth>0</wp14:pctWidth>
          </wp14:sizeRelH>
          <wp14:sizeRelV relativeFrom="margin">
            <wp14:pctHeight>0</wp14:pctHeight>
          </wp14:sizeRelV>
        </wp:anchor>
      </w:drawing>
    </w:r>
    <w:r w:rsidR="0039573E">
      <w:rPr>
        <w:noProof/>
        <w:color w:val="2B579A"/>
        <w:shd w:val="clear" w:color="auto" w:fill="E6E6E6"/>
        <w:lang w:eastAsia="en-GB"/>
      </w:rPr>
      <w:drawing>
        <wp:anchor distT="0" distB="0" distL="114300" distR="114300" simplePos="0" relativeHeight="251658246" behindDoc="1" locked="0" layoutInCell="1" allowOverlap="1" wp14:anchorId="1F66C812" wp14:editId="7B23C52B">
          <wp:simplePos x="0" y="0"/>
          <wp:positionH relativeFrom="page">
            <wp:align>right</wp:align>
          </wp:positionH>
          <wp:positionV relativeFrom="page">
            <wp:align>top</wp:align>
          </wp:positionV>
          <wp:extent cx="933450" cy="1140639"/>
          <wp:effectExtent l="0" t="0" r="0" b="2540"/>
          <wp:wrapNone/>
          <wp:docPr id="236798345" name="Picture 236798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98345" name="Picture 23679834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1140639"/>
                  </a:xfrm>
                  <a:prstGeom prst="rect">
                    <a:avLst/>
                  </a:prstGeom>
                  <a:noFill/>
                </pic:spPr>
              </pic:pic>
            </a:graphicData>
          </a:graphic>
          <wp14:sizeRelH relativeFrom="margin">
            <wp14:pctWidth>0</wp14:pctWidth>
          </wp14:sizeRelH>
          <wp14:sizeRelV relativeFrom="margin">
            <wp14:pctHeight>0</wp14:pctHeight>
          </wp14:sizeRelV>
        </wp:anchor>
      </w:drawing>
    </w:r>
    <w:r w:rsidR="0039573E">
      <w:t xml:space="preserve">                                                          </w:t>
    </w:r>
  </w:p>
  <w:p w14:paraId="1339DD64" w14:textId="77777777" w:rsidR="0039573E" w:rsidRDefault="0039573E" w:rsidP="00C6614E">
    <w:pPr>
      <w:pStyle w:val="Header"/>
      <w:tabs>
        <w:tab w:val="clear" w:pos="4513"/>
        <w:tab w:val="clear" w:pos="9026"/>
        <w:tab w:val="right" w:pos="9356"/>
      </w:tabs>
      <w:jc w:val="right"/>
    </w:pPr>
  </w:p>
  <w:p w14:paraId="460AAEA4" w14:textId="367CF7A8" w:rsidR="0039573E" w:rsidRPr="00C6614E" w:rsidRDefault="0039573E" w:rsidP="00054A64">
    <w:pPr>
      <w:pStyle w:val="Header"/>
      <w:tabs>
        <w:tab w:val="clear" w:pos="4513"/>
        <w:tab w:val="clear" w:pos="9026"/>
        <w:tab w:val="right" w:pos="9356"/>
      </w:tabs>
      <w:jc w:val="right"/>
      <w:rPr>
        <w:color w:val="FF0000"/>
      </w:rPr>
    </w:pPr>
    <w:r>
      <w:t xml:space="preserve">                                                          </w:t>
    </w:r>
  </w:p>
  <w:p w14:paraId="22DAB6C0" w14:textId="77777777" w:rsidR="00CC5CAD" w:rsidRPr="00C6614E" w:rsidRDefault="00CC5CAD" w:rsidP="00461223">
    <w:pPr>
      <w:pStyle w:val="Header"/>
      <w:tabs>
        <w:tab w:val="clear" w:pos="4513"/>
        <w:tab w:val="clear" w:pos="9026"/>
        <w:tab w:val="right" w:pos="9356"/>
      </w:tabs>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140EC" w14:textId="77777777" w:rsidR="00283516" w:rsidRDefault="002835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9E058" w14:textId="77777777" w:rsidR="00283516" w:rsidRDefault="00283516" w:rsidP="00461223">
    <w:pPr>
      <w:pStyle w:val="Header"/>
    </w:pPr>
    <w:r>
      <w:rPr>
        <w:noProof/>
        <w:color w:val="2B579A"/>
        <w:shd w:val="clear" w:color="auto" w:fill="E6E6E6"/>
        <w:lang w:eastAsia="en-GB"/>
      </w:rPr>
      <w:drawing>
        <wp:anchor distT="0" distB="0" distL="114300" distR="114300" simplePos="0" relativeHeight="251658241" behindDoc="1" locked="0" layoutInCell="1" allowOverlap="1" wp14:anchorId="7ADC78D8" wp14:editId="264FED2C">
          <wp:simplePos x="0" y="0"/>
          <wp:positionH relativeFrom="page">
            <wp:align>right</wp:align>
          </wp:positionH>
          <wp:positionV relativeFrom="page">
            <wp:align>top</wp:align>
          </wp:positionV>
          <wp:extent cx="1466850" cy="1551205"/>
          <wp:effectExtent l="0" t="0" r="0" b="0"/>
          <wp:wrapNone/>
          <wp:docPr id="1037722852" name="Picture 10377228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22852" name="Picture 103772285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rPr>
      <w:drawing>
        <wp:anchor distT="0" distB="0" distL="114300" distR="114300" simplePos="0" relativeHeight="251658240" behindDoc="1" locked="0" layoutInCell="1" allowOverlap="1" wp14:anchorId="7AEEAEBA" wp14:editId="634A6FD9">
          <wp:simplePos x="0" y="0"/>
          <wp:positionH relativeFrom="page">
            <wp:posOffset>9229725</wp:posOffset>
          </wp:positionH>
          <wp:positionV relativeFrom="page">
            <wp:posOffset>0</wp:posOffset>
          </wp:positionV>
          <wp:extent cx="1466850" cy="1551205"/>
          <wp:effectExtent l="0" t="0" r="0" b="0"/>
          <wp:wrapNone/>
          <wp:docPr id="1121145186" name="Picture 1121145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45186" name="Picture 112114518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F1097" w14:textId="77777777" w:rsidR="00283516" w:rsidRDefault="00283516" w:rsidP="00461223">
    <w:pPr>
      <w:pStyle w:val="Header"/>
      <w:tabs>
        <w:tab w:val="clear" w:pos="4513"/>
        <w:tab w:val="clear" w:pos="9026"/>
        <w:tab w:val="right" w:pos="9356"/>
      </w:tabs>
    </w:pPr>
    <w:r>
      <w:rPr>
        <w:noProof/>
        <w:color w:val="2B579A"/>
        <w:shd w:val="clear" w:color="auto" w:fill="E6E6E6"/>
        <w:lang w:eastAsia="en-GB"/>
      </w:rPr>
      <w:drawing>
        <wp:anchor distT="0" distB="0" distL="114300" distR="114300" simplePos="0" relativeHeight="251658242" behindDoc="0" locked="0" layoutInCell="1" allowOverlap="1" wp14:anchorId="17A3E28F" wp14:editId="39B1C0E2">
          <wp:simplePos x="0" y="0"/>
          <wp:positionH relativeFrom="margin">
            <wp:align>left</wp:align>
          </wp:positionH>
          <wp:positionV relativeFrom="paragraph">
            <wp:posOffset>-36830</wp:posOffset>
          </wp:positionV>
          <wp:extent cx="687070" cy="855345"/>
          <wp:effectExtent l="0" t="0" r="0" b="1905"/>
          <wp:wrapSquare wrapText="bothSides"/>
          <wp:docPr id="1939254217" name="Picture 19392542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39254217" name="Picture 193925421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707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B55357">
      <w:t xml:space="preserve">Report No: </w:t>
    </w:r>
    <w:r w:rsidRPr="009225A3">
      <w:rPr>
        <w:b/>
      </w:rPr>
      <w:t>SLAB/20</w:t>
    </w:r>
    <w:r>
      <w:rPr>
        <w:b/>
      </w:rPr>
      <w:t>20</w:t>
    </w:r>
    <w:r w:rsidRPr="009225A3">
      <w:rPr>
        <w:b/>
      </w:rPr>
      <w:t>/</w:t>
    </w:r>
    <w:r>
      <w:rPr>
        <w:b/>
      </w:rPr>
      <w:t>15</w:t>
    </w:r>
  </w:p>
  <w:p w14:paraId="6F9C6F2F" w14:textId="77777777" w:rsidR="00283516" w:rsidRDefault="00283516" w:rsidP="00461223">
    <w:pPr>
      <w:pStyle w:val="Header"/>
      <w:tabs>
        <w:tab w:val="clear" w:pos="4513"/>
        <w:tab w:val="clear" w:pos="9026"/>
        <w:tab w:val="right" w:pos="9356"/>
      </w:tabs>
    </w:pPr>
    <w:r>
      <w:tab/>
      <w:t>Agenda Item: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C330B"/>
    <w:multiLevelType w:val="hybridMultilevel"/>
    <w:tmpl w:val="C47A39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85A04D5"/>
    <w:multiLevelType w:val="hybridMultilevel"/>
    <w:tmpl w:val="47D62B8A"/>
    <w:lvl w:ilvl="0" w:tplc="B3C8A2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C5534"/>
    <w:multiLevelType w:val="hybridMultilevel"/>
    <w:tmpl w:val="F702B5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FBF7A9A"/>
    <w:multiLevelType w:val="multilevel"/>
    <w:tmpl w:val="FCE0CE3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793819FB"/>
    <w:multiLevelType w:val="hybridMultilevel"/>
    <w:tmpl w:val="171E5F4A"/>
    <w:lvl w:ilvl="0" w:tplc="4934A9AE">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7A0D06C9"/>
    <w:multiLevelType w:val="hybridMultilevel"/>
    <w:tmpl w:val="82A8EE9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7C4D6339"/>
    <w:multiLevelType w:val="multilevel"/>
    <w:tmpl w:val="9A02D4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7CF05B9F"/>
    <w:multiLevelType w:val="hybridMultilevel"/>
    <w:tmpl w:val="1E46EC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11469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824809">
    <w:abstractNumId w:val="4"/>
  </w:num>
  <w:num w:numId="3" w16cid:durableId="2113737958">
    <w:abstractNumId w:val="3"/>
  </w:num>
  <w:num w:numId="4" w16cid:durableId="86579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921468">
    <w:abstractNumId w:val="2"/>
  </w:num>
  <w:num w:numId="6" w16cid:durableId="408499385">
    <w:abstractNumId w:val="5"/>
  </w:num>
  <w:num w:numId="7" w16cid:durableId="976378750">
    <w:abstractNumId w:val="1"/>
  </w:num>
  <w:num w:numId="8" w16cid:durableId="2072456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638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045874">
    <w:abstractNumId w:val="6"/>
  </w:num>
  <w:num w:numId="11" w16cid:durableId="62766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60"/>
    <w:rsid w:val="00041B18"/>
    <w:rsid w:val="00041E06"/>
    <w:rsid w:val="000441BB"/>
    <w:rsid w:val="00044538"/>
    <w:rsid w:val="00045C6E"/>
    <w:rsid w:val="00047948"/>
    <w:rsid w:val="0005004D"/>
    <w:rsid w:val="000508C7"/>
    <w:rsid w:val="00051AC2"/>
    <w:rsid w:val="00054A64"/>
    <w:rsid w:val="000560AD"/>
    <w:rsid w:val="00061708"/>
    <w:rsid w:val="00063598"/>
    <w:rsid w:val="0007114C"/>
    <w:rsid w:val="00075D88"/>
    <w:rsid w:val="00080DE8"/>
    <w:rsid w:val="00083D25"/>
    <w:rsid w:val="00085631"/>
    <w:rsid w:val="00086616"/>
    <w:rsid w:val="00096912"/>
    <w:rsid w:val="000A02D3"/>
    <w:rsid w:val="000A2B0E"/>
    <w:rsid w:val="000A2BAE"/>
    <w:rsid w:val="000A6254"/>
    <w:rsid w:val="000B0640"/>
    <w:rsid w:val="000B29D9"/>
    <w:rsid w:val="000B33D5"/>
    <w:rsid w:val="000B3FD8"/>
    <w:rsid w:val="000C516C"/>
    <w:rsid w:val="000C57D2"/>
    <w:rsid w:val="000C5A49"/>
    <w:rsid w:val="000D0B6B"/>
    <w:rsid w:val="000D73B0"/>
    <w:rsid w:val="000E0B0A"/>
    <w:rsid w:val="000E3FE4"/>
    <w:rsid w:val="000E6AB9"/>
    <w:rsid w:val="000F00B1"/>
    <w:rsid w:val="001046D4"/>
    <w:rsid w:val="00105CA2"/>
    <w:rsid w:val="0010770C"/>
    <w:rsid w:val="00120C47"/>
    <w:rsid w:val="001240E7"/>
    <w:rsid w:val="001241A5"/>
    <w:rsid w:val="00130C59"/>
    <w:rsid w:val="00137436"/>
    <w:rsid w:val="00144549"/>
    <w:rsid w:val="00145918"/>
    <w:rsid w:val="0015504B"/>
    <w:rsid w:val="0016085F"/>
    <w:rsid w:val="00165F86"/>
    <w:rsid w:val="00167E09"/>
    <w:rsid w:val="00170322"/>
    <w:rsid w:val="00175C59"/>
    <w:rsid w:val="00181300"/>
    <w:rsid w:val="0018144C"/>
    <w:rsid w:val="00181C79"/>
    <w:rsid w:val="00187439"/>
    <w:rsid w:val="00187849"/>
    <w:rsid w:val="001919A6"/>
    <w:rsid w:val="0019555F"/>
    <w:rsid w:val="001A2180"/>
    <w:rsid w:val="001A7B43"/>
    <w:rsid w:val="001A7BD4"/>
    <w:rsid w:val="001B37B8"/>
    <w:rsid w:val="001D4098"/>
    <w:rsid w:val="001D5482"/>
    <w:rsid w:val="001D7645"/>
    <w:rsid w:val="001D77F6"/>
    <w:rsid w:val="001E33DE"/>
    <w:rsid w:val="001E3A28"/>
    <w:rsid w:val="001E5466"/>
    <w:rsid w:val="001E7685"/>
    <w:rsid w:val="00201CE7"/>
    <w:rsid w:val="00202FE4"/>
    <w:rsid w:val="002036F9"/>
    <w:rsid w:val="00211843"/>
    <w:rsid w:val="002123E8"/>
    <w:rsid w:val="0021682A"/>
    <w:rsid w:val="0022115A"/>
    <w:rsid w:val="00222534"/>
    <w:rsid w:val="00223EA9"/>
    <w:rsid w:val="002249E1"/>
    <w:rsid w:val="002332D4"/>
    <w:rsid w:val="0023659D"/>
    <w:rsid w:val="00236B43"/>
    <w:rsid w:val="00252145"/>
    <w:rsid w:val="0025567A"/>
    <w:rsid w:val="00256D33"/>
    <w:rsid w:val="00261CE0"/>
    <w:rsid w:val="0026583B"/>
    <w:rsid w:val="00270AFF"/>
    <w:rsid w:val="00274AAC"/>
    <w:rsid w:val="00281091"/>
    <w:rsid w:val="00283516"/>
    <w:rsid w:val="002914E8"/>
    <w:rsid w:val="002A3EFE"/>
    <w:rsid w:val="002A4E84"/>
    <w:rsid w:val="002A64B7"/>
    <w:rsid w:val="002C2E9B"/>
    <w:rsid w:val="002C4DBD"/>
    <w:rsid w:val="002C5B50"/>
    <w:rsid w:val="002C7908"/>
    <w:rsid w:val="002D049D"/>
    <w:rsid w:val="002D21F4"/>
    <w:rsid w:val="002D519C"/>
    <w:rsid w:val="002D51CA"/>
    <w:rsid w:val="002E3C60"/>
    <w:rsid w:val="002E65B4"/>
    <w:rsid w:val="002E7277"/>
    <w:rsid w:val="002F3EC3"/>
    <w:rsid w:val="002F4C48"/>
    <w:rsid w:val="002F51BE"/>
    <w:rsid w:val="00311C6D"/>
    <w:rsid w:val="00321038"/>
    <w:rsid w:val="00321DB0"/>
    <w:rsid w:val="0032500B"/>
    <w:rsid w:val="0032656E"/>
    <w:rsid w:val="00331E65"/>
    <w:rsid w:val="0033355E"/>
    <w:rsid w:val="00333875"/>
    <w:rsid w:val="00347604"/>
    <w:rsid w:val="00351752"/>
    <w:rsid w:val="00355AFA"/>
    <w:rsid w:val="00362F68"/>
    <w:rsid w:val="003668F1"/>
    <w:rsid w:val="00367148"/>
    <w:rsid w:val="00371251"/>
    <w:rsid w:val="00386F73"/>
    <w:rsid w:val="0039573E"/>
    <w:rsid w:val="003A0A2C"/>
    <w:rsid w:val="003A50FE"/>
    <w:rsid w:val="003A51CD"/>
    <w:rsid w:val="003A6B93"/>
    <w:rsid w:val="003B2D94"/>
    <w:rsid w:val="003B4941"/>
    <w:rsid w:val="003B760F"/>
    <w:rsid w:val="003C2475"/>
    <w:rsid w:val="003D0960"/>
    <w:rsid w:val="003E0167"/>
    <w:rsid w:val="003E7699"/>
    <w:rsid w:val="003F2A28"/>
    <w:rsid w:val="003F4451"/>
    <w:rsid w:val="003F7556"/>
    <w:rsid w:val="003F761C"/>
    <w:rsid w:val="0040024D"/>
    <w:rsid w:val="00400724"/>
    <w:rsid w:val="00400936"/>
    <w:rsid w:val="00403FD2"/>
    <w:rsid w:val="004055EB"/>
    <w:rsid w:val="004064CD"/>
    <w:rsid w:val="00407F59"/>
    <w:rsid w:val="00411514"/>
    <w:rsid w:val="00413878"/>
    <w:rsid w:val="004212A1"/>
    <w:rsid w:val="00421FDF"/>
    <w:rsid w:val="0042254A"/>
    <w:rsid w:val="00422617"/>
    <w:rsid w:val="00427445"/>
    <w:rsid w:val="004276F4"/>
    <w:rsid w:val="004362D6"/>
    <w:rsid w:val="00441712"/>
    <w:rsid w:val="004434BF"/>
    <w:rsid w:val="004531F4"/>
    <w:rsid w:val="004538DE"/>
    <w:rsid w:val="00456FD3"/>
    <w:rsid w:val="00460C96"/>
    <w:rsid w:val="00461223"/>
    <w:rsid w:val="004625C4"/>
    <w:rsid w:val="004629D2"/>
    <w:rsid w:val="00463051"/>
    <w:rsid w:val="004660D2"/>
    <w:rsid w:val="00482AF7"/>
    <w:rsid w:val="00485AC0"/>
    <w:rsid w:val="0048763C"/>
    <w:rsid w:val="00492DE3"/>
    <w:rsid w:val="004937CF"/>
    <w:rsid w:val="004A1C92"/>
    <w:rsid w:val="004A6847"/>
    <w:rsid w:val="004B1D93"/>
    <w:rsid w:val="004B2705"/>
    <w:rsid w:val="004B4A0C"/>
    <w:rsid w:val="004B6F48"/>
    <w:rsid w:val="004B6FF9"/>
    <w:rsid w:val="004D07D1"/>
    <w:rsid w:val="004D623C"/>
    <w:rsid w:val="004D790E"/>
    <w:rsid w:val="004D7E09"/>
    <w:rsid w:val="004E0BDE"/>
    <w:rsid w:val="004E19B0"/>
    <w:rsid w:val="004E6118"/>
    <w:rsid w:val="004E73BE"/>
    <w:rsid w:val="004F6B02"/>
    <w:rsid w:val="0050481D"/>
    <w:rsid w:val="00507C41"/>
    <w:rsid w:val="00521BEA"/>
    <w:rsid w:val="00524355"/>
    <w:rsid w:val="00525AE6"/>
    <w:rsid w:val="005377AA"/>
    <w:rsid w:val="005379DC"/>
    <w:rsid w:val="00540538"/>
    <w:rsid w:val="0054415F"/>
    <w:rsid w:val="00554E4A"/>
    <w:rsid w:val="00555C4F"/>
    <w:rsid w:val="00561AF0"/>
    <w:rsid w:val="00567F85"/>
    <w:rsid w:val="005713E5"/>
    <w:rsid w:val="0057342B"/>
    <w:rsid w:val="00573AA7"/>
    <w:rsid w:val="005745DA"/>
    <w:rsid w:val="00574993"/>
    <w:rsid w:val="00597887"/>
    <w:rsid w:val="005A2A3F"/>
    <w:rsid w:val="005B080B"/>
    <w:rsid w:val="005B3F5B"/>
    <w:rsid w:val="005C06BA"/>
    <w:rsid w:val="005C1ABD"/>
    <w:rsid w:val="005C2543"/>
    <w:rsid w:val="005C3A2C"/>
    <w:rsid w:val="005F018F"/>
    <w:rsid w:val="00600A9D"/>
    <w:rsid w:val="0060111E"/>
    <w:rsid w:val="00603164"/>
    <w:rsid w:val="00605802"/>
    <w:rsid w:val="00621244"/>
    <w:rsid w:val="00621D6E"/>
    <w:rsid w:val="00631391"/>
    <w:rsid w:val="00632219"/>
    <w:rsid w:val="0063512D"/>
    <w:rsid w:val="006411AF"/>
    <w:rsid w:val="00642FD6"/>
    <w:rsid w:val="006504B1"/>
    <w:rsid w:val="006513C1"/>
    <w:rsid w:val="0065184C"/>
    <w:rsid w:val="006522B7"/>
    <w:rsid w:val="0065608D"/>
    <w:rsid w:val="00656220"/>
    <w:rsid w:val="00657598"/>
    <w:rsid w:val="00657E43"/>
    <w:rsid w:val="0066280F"/>
    <w:rsid w:val="006841A3"/>
    <w:rsid w:val="006845F8"/>
    <w:rsid w:val="00691EEF"/>
    <w:rsid w:val="006A28F7"/>
    <w:rsid w:val="006A5C5E"/>
    <w:rsid w:val="006B1FFD"/>
    <w:rsid w:val="006B2E35"/>
    <w:rsid w:val="006C5D6E"/>
    <w:rsid w:val="006C7198"/>
    <w:rsid w:val="006C79E4"/>
    <w:rsid w:val="006D0876"/>
    <w:rsid w:val="006D1143"/>
    <w:rsid w:val="006D3933"/>
    <w:rsid w:val="006D4AC8"/>
    <w:rsid w:val="006E02E5"/>
    <w:rsid w:val="006E560C"/>
    <w:rsid w:val="006E79C0"/>
    <w:rsid w:val="006F2BE3"/>
    <w:rsid w:val="006F31C4"/>
    <w:rsid w:val="006F7D1E"/>
    <w:rsid w:val="00704117"/>
    <w:rsid w:val="007133F0"/>
    <w:rsid w:val="007166D6"/>
    <w:rsid w:val="00722EB6"/>
    <w:rsid w:val="00723015"/>
    <w:rsid w:val="00724EB9"/>
    <w:rsid w:val="00725184"/>
    <w:rsid w:val="00726223"/>
    <w:rsid w:val="00726446"/>
    <w:rsid w:val="00736B8E"/>
    <w:rsid w:val="007370EB"/>
    <w:rsid w:val="007459BA"/>
    <w:rsid w:val="00753411"/>
    <w:rsid w:val="00754ED7"/>
    <w:rsid w:val="00756202"/>
    <w:rsid w:val="0076007C"/>
    <w:rsid w:val="0076314A"/>
    <w:rsid w:val="007645F1"/>
    <w:rsid w:val="007734D4"/>
    <w:rsid w:val="0077380E"/>
    <w:rsid w:val="0077465E"/>
    <w:rsid w:val="00780489"/>
    <w:rsid w:val="00780F56"/>
    <w:rsid w:val="0078583A"/>
    <w:rsid w:val="007864F5"/>
    <w:rsid w:val="00786F22"/>
    <w:rsid w:val="007902FC"/>
    <w:rsid w:val="00791949"/>
    <w:rsid w:val="007A3C32"/>
    <w:rsid w:val="007B0A21"/>
    <w:rsid w:val="007B1BC1"/>
    <w:rsid w:val="007D6A9E"/>
    <w:rsid w:val="007E01AB"/>
    <w:rsid w:val="00802FE1"/>
    <w:rsid w:val="008049D4"/>
    <w:rsid w:val="008107CC"/>
    <w:rsid w:val="008154A8"/>
    <w:rsid w:val="008203D9"/>
    <w:rsid w:val="00820562"/>
    <w:rsid w:val="00820BBC"/>
    <w:rsid w:val="00826B72"/>
    <w:rsid w:val="00842FD4"/>
    <w:rsid w:val="00846BFA"/>
    <w:rsid w:val="008529D4"/>
    <w:rsid w:val="008616FE"/>
    <w:rsid w:val="00861E2B"/>
    <w:rsid w:val="00863FEE"/>
    <w:rsid w:val="00866D6E"/>
    <w:rsid w:val="00866F19"/>
    <w:rsid w:val="008738D3"/>
    <w:rsid w:val="008800B2"/>
    <w:rsid w:val="00885A28"/>
    <w:rsid w:val="0088718D"/>
    <w:rsid w:val="00896000"/>
    <w:rsid w:val="00896A40"/>
    <w:rsid w:val="00896C98"/>
    <w:rsid w:val="008C4D88"/>
    <w:rsid w:val="008D48E5"/>
    <w:rsid w:val="008E61BE"/>
    <w:rsid w:val="008E730C"/>
    <w:rsid w:val="008E7B22"/>
    <w:rsid w:val="008F0DE1"/>
    <w:rsid w:val="008F2EDF"/>
    <w:rsid w:val="008F7CAE"/>
    <w:rsid w:val="008F7E2B"/>
    <w:rsid w:val="00911E6E"/>
    <w:rsid w:val="00933302"/>
    <w:rsid w:val="00973E78"/>
    <w:rsid w:val="00981FF5"/>
    <w:rsid w:val="009853BE"/>
    <w:rsid w:val="0099141A"/>
    <w:rsid w:val="009918EF"/>
    <w:rsid w:val="00991DDC"/>
    <w:rsid w:val="00997FD4"/>
    <w:rsid w:val="009A188B"/>
    <w:rsid w:val="009A4FB2"/>
    <w:rsid w:val="009A5A9F"/>
    <w:rsid w:val="009A7243"/>
    <w:rsid w:val="009B1E21"/>
    <w:rsid w:val="009C6731"/>
    <w:rsid w:val="009E4B8C"/>
    <w:rsid w:val="009E6DF0"/>
    <w:rsid w:val="00A02461"/>
    <w:rsid w:val="00A032F2"/>
    <w:rsid w:val="00A1427A"/>
    <w:rsid w:val="00A16EB6"/>
    <w:rsid w:val="00A20B46"/>
    <w:rsid w:val="00A34121"/>
    <w:rsid w:val="00A36E39"/>
    <w:rsid w:val="00A408E2"/>
    <w:rsid w:val="00A40A98"/>
    <w:rsid w:val="00A44900"/>
    <w:rsid w:val="00A620A4"/>
    <w:rsid w:val="00A62CD2"/>
    <w:rsid w:val="00A64F5A"/>
    <w:rsid w:val="00A66EE1"/>
    <w:rsid w:val="00A71C9C"/>
    <w:rsid w:val="00A757F6"/>
    <w:rsid w:val="00AA376A"/>
    <w:rsid w:val="00AC21B6"/>
    <w:rsid w:val="00AD2776"/>
    <w:rsid w:val="00AD28B7"/>
    <w:rsid w:val="00AE052B"/>
    <w:rsid w:val="00AE1357"/>
    <w:rsid w:val="00AE4BBB"/>
    <w:rsid w:val="00AF1F74"/>
    <w:rsid w:val="00B0029F"/>
    <w:rsid w:val="00B0769E"/>
    <w:rsid w:val="00B07B95"/>
    <w:rsid w:val="00B17AD4"/>
    <w:rsid w:val="00B2087F"/>
    <w:rsid w:val="00B22062"/>
    <w:rsid w:val="00B22B2C"/>
    <w:rsid w:val="00B30460"/>
    <w:rsid w:val="00B323B8"/>
    <w:rsid w:val="00B36EE1"/>
    <w:rsid w:val="00B476D9"/>
    <w:rsid w:val="00B5027A"/>
    <w:rsid w:val="00B527B8"/>
    <w:rsid w:val="00B53722"/>
    <w:rsid w:val="00B65A0D"/>
    <w:rsid w:val="00B677D5"/>
    <w:rsid w:val="00B74F37"/>
    <w:rsid w:val="00B762B4"/>
    <w:rsid w:val="00B77EB7"/>
    <w:rsid w:val="00B8080B"/>
    <w:rsid w:val="00B81AB3"/>
    <w:rsid w:val="00B84F7A"/>
    <w:rsid w:val="00B92CB0"/>
    <w:rsid w:val="00BA5DDF"/>
    <w:rsid w:val="00BA64C2"/>
    <w:rsid w:val="00BB0034"/>
    <w:rsid w:val="00BB5B6E"/>
    <w:rsid w:val="00BB6296"/>
    <w:rsid w:val="00BC75B3"/>
    <w:rsid w:val="00BD1DF7"/>
    <w:rsid w:val="00BD6D08"/>
    <w:rsid w:val="00BD73B7"/>
    <w:rsid w:val="00BE0BE8"/>
    <w:rsid w:val="00BE4DEE"/>
    <w:rsid w:val="00C04335"/>
    <w:rsid w:val="00C04AEE"/>
    <w:rsid w:val="00C16763"/>
    <w:rsid w:val="00C20850"/>
    <w:rsid w:val="00C22F9A"/>
    <w:rsid w:val="00C30707"/>
    <w:rsid w:val="00C31E77"/>
    <w:rsid w:val="00C34DE0"/>
    <w:rsid w:val="00C36CF2"/>
    <w:rsid w:val="00C522CE"/>
    <w:rsid w:val="00C5721C"/>
    <w:rsid w:val="00C620D2"/>
    <w:rsid w:val="00C6293C"/>
    <w:rsid w:val="00C63EE4"/>
    <w:rsid w:val="00C655F3"/>
    <w:rsid w:val="00C6614E"/>
    <w:rsid w:val="00C667DF"/>
    <w:rsid w:val="00C6770D"/>
    <w:rsid w:val="00C779C5"/>
    <w:rsid w:val="00C903FA"/>
    <w:rsid w:val="00C959F8"/>
    <w:rsid w:val="00C95A4E"/>
    <w:rsid w:val="00C971C7"/>
    <w:rsid w:val="00CA1A5C"/>
    <w:rsid w:val="00CA1BEF"/>
    <w:rsid w:val="00CA1F27"/>
    <w:rsid w:val="00CA3138"/>
    <w:rsid w:val="00CA4F1C"/>
    <w:rsid w:val="00CB459D"/>
    <w:rsid w:val="00CC5CAD"/>
    <w:rsid w:val="00CC67B4"/>
    <w:rsid w:val="00CD01E1"/>
    <w:rsid w:val="00CD383A"/>
    <w:rsid w:val="00CD5F39"/>
    <w:rsid w:val="00CE006F"/>
    <w:rsid w:val="00CE0945"/>
    <w:rsid w:val="00CF165D"/>
    <w:rsid w:val="00CF5338"/>
    <w:rsid w:val="00D03F25"/>
    <w:rsid w:val="00D05283"/>
    <w:rsid w:val="00D17222"/>
    <w:rsid w:val="00D20334"/>
    <w:rsid w:val="00D2054F"/>
    <w:rsid w:val="00D26981"/>
    <w:rsid w:val="00D33C37"/>
    <w:rsid w:val="00D46205"/>
    <w:rsid w:val="00D56C8E"/>
    <w:rsid w:val="00D612A3"/>
    <w:rsid w:val="00D624FD"/>
    <w:rsid w:val="00D64F03"/>
    <w:rsid w:val="00D7504D"/>
    <w:rsid w:val="00D8127C"/>
    <w:rsid w:val="00D8296F"/>
    <w:rsid w:val="00D85140"/>
    <w:rsid w:val="00D86BE3"/>
    <w:rsid w:val="00D97CB5"/>
    <w:rsid w:val="00DA3377"/>
    <w:rsid w:val="00DB1668"/>
    <w:rsid w:val="00DB264E"/>
    <w:rsid w:val="00DC44AD"/>
    <w:rsid w:val="00DD1B88"/>
    <w:rsid w:val="00DD346A"/>
    <w:rsid w:val="00DE0297"/>
    <w:rsid w:val="00DE171A"/>
    <w:rsid w:val="00DE2A50"/>
    <w:rsid w:val="00DE717A"/>
    <w:rsid w:val="00DF3150"/>
    <w:rsid w:val="00DF53CE"/>
    <w:rsid w:val="00DF5486"/>
    <w:rsid w:val="00E02F4C"/>
    <w:rsid w:val="00E0484A"/>
    <w:rsid w:val="00E04F3A"/>
    <w:rsid w:val="00E111F7"/>
    <w:rsid w:val="00E146DF"/>
    <w:rsid w:val="00E2224D"/>
    <w:rsid w:val="00E24E0B"/>
    <w:rsid w:val="00E27A83"/>
    <w:rsid w:val="00E352E1"/>
    <w:rsid w:val="00E446DD"/>
    <w:rsid w:val="00E44750"/>
    <w:rsid w:val="00E45442"/>
    <w:rsid w:val="00E4713F"/>
    <w:rsid w:val="00E50647"/>
    <w:rsid w:val="00E54C4C"/>
    <w:rsid w:val="00E54EB3"/>
    <w:rsid w:val="00E6112C"/>
    <w:rsid w:val="00E65163"/>
    <w:rsid w:val="00E6685A"/>
    <w:rsid w:val="00E70E1A"/>
    <w:rsid w:val="00E72FC6"/>
    <w:rsid w:val="00E75E68"/>
    <w:rsid w:val="00E8076C"/>
    <w:rsid w:val="00E82115"/>
    <w:rsid w:val="00E921A1"/>
    <w:rsid w:val="00E92E7E"/>
    <w:rsid w:val="00E96F53"/>
    <w:rsid w:val="00EA0723"/>
    <w:rsid w:val="00EA2413"/>
    <w:rsid w:val="00EA2CE3"/>
    <w:rsid w:val="00EC3138"/>
    <w:rsid w:val="00ED3E43"/>
    <w:rsid w:val="00EE2E94"/>
    <w:rsid w:val="00EE5388"/>
    <w:rsid w:val="00F01B8A"/>
    <w:rsid w:val="00F117DD"/>
    <w:rsid w:val="00F242DC"/>
    <w:rsid w:val="00F260C7"/>
    <w:rsid w:val="00F26126"/>
    <w:rsid w:val="00F331A8"/>
    <w:rsid w:val="00F3651C"/>
    <w:rsid w:val="00F41B64"/>
    <w:rsid w:val="00F44617"/>
    <w:rsid w:val="00F45F5E"/>
    <w:rsid w:val="00F51899"/>
    <w:rsid w:val="00F541E1"/>
    <w:rsid w:val="00F6184D"/>
    <w:rsid w:val="00F66DB2"/>
    <w:rsid w:val="00F67C50"/>
    <w:rsid w:val="00F7532A"/>
    <w:rsid w:val="00F7590F"/>
    <w:rsid w:val="00F77A60"/>
    <w:rsid w:val="00F87FDD"/>
    <w:rsid w:val="00F9675B"/>
    <w:rsid w:val="00F9700D"/>
    <w:rsid w:val="00FA48ED"/>
    <w:rsid w:val="00FC2364"/>
    <w:rsid w:val="00FC493F"/>
    <w:rsid w:val="00FC52A3"/>
    <w:rsid w:val="00FD5E29"/>
    <w:rsid w:val="00FD6E48"/>
    <w:rsid w:val="00FE0E4B"/>
    <w:rsid w:val="00FE3337"/>
    <w:rsid w:val="00FF7FF4"/>
    <w:rsid w:val="3FF4247F"/>
    <w:rsid w:val="4DE49C6B"/>
    <w:rsid w:val="6613A6F4"/>
    <w:rsid w:val="67051BCB"/>
    <w:rsid w:val="6ED7DB89"/>
    <w:rsid w:val="7136B2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DC6DB"/>
  <w15:chartTrackingRefBased/>
  <w15:docId w15:val="{DFECE83C-E2A4-4662-9F5F-EE8FDC6A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60"/>
    <w:pPr>
      <w:spacing w:before="0" w:beforeAutospacing="0" w:after="0" w:afterAutospacing="0"/>
    </w:pPr>
    <w:rPr>
      <w:rFonts w:ascii="Trebuchet MS" w:hAnsi="Trebuchet MS"/>
      <w:sz w:val="24"/>
      <w:szCs w:val="18"/>
    </w:rPr>
  </w:style>
  <w:style w:type="paragraph" w:styleId="Heading1">
    <w:name w:val="heading 1"/>
    <w:basedOn w:val="Normal"/>
    <w:next w:val="Normal"/>
    <w:link w:val="Heading1Char"/>
    <w:uiPriority w:val="9"/>
    <w:qFormat/>
    <w:rsid w:val="00DE17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A60"/>
    <w:pPr>
      <w:outlineLvl w:val="1"/>
    </w:pPr>
    <w:rPr>
      <w:b/>
      <w:szCs w:val="24"/>
    </w:rPr>
  </w:style>
  <w:style w:type="paragraph" w:styleId="Heading3">
    <w:name w:val="heading 3"/>
    <w:basedOn w:val="Normal"/>
    <w:next w:val="Normal"/>
    <w:link w:val="Heading3Char"/>
    <w:uiPriority w:val="9"/>
    <w:semiHidden/>
    <w:unhideWhenUsed/>
    <w:qFormat/>
    <w:rsid w:val="00DE171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A60"/>
    <w:rPr>
      <w:rFonts w:ascii="Trebuchet MS" w:hAnsi="Trebuchet MS"/>
      <w:b/>
      <w:sz w:val="24"/>
      <w:szCs w:val="24"/>
    </w:rPr>
  </w:style>
  <w:style w:type="paragraph" w:styleId="ListParagraph">
    <w:name w:val="List Paragraph"/>
    <w:aliases w:val="List Paragraph Report"/>
    <w:basedOn w:val="Normal"/>
    <w:uiPriority w:val="34"/>
    <w:qFormat/>
    <w:rsid w:val="00F77A60"/>
    <w:pPr>
      <w:ind w:left="720"/>
      <w:contextualSpacing/>
    </w:pPr>
  </w:style>
  <w:style w:type="paragraph" w:styleId="Header">
    <w:name w:val="header"/>
    <w:basedOn w:val="Normal"/>
    <w:link w:val="HeaderChar"/>
    <w:uiPriority w:val="99"/>
    <w:unhideWhenUsed/>
    <w:rsid w:val="00F77A60"/>
    <w:pPr>
      <w:tabs>
        <w:tab w:val="center" w:pos="4513"/>
        <w:tab w:val="right" w:pos="9026"/>
      </w:tabs>
    </w:pPr>
  </w:style>
  <w:style w:type="character" w:customStyle="1" w:styleId="HeaderChar">
    <w:name w:val="Header Char"/>
    <w:basedOn w:val="DefaultParagraphFont"/>
    <w:link w:val="Header"/>
    <w:uiPriority w:val="99"/>
    <w:rsid w:val="00F77A60"/>
    <w:rPr>
      <w:rFonts w:ascii="Trebuchet MS" w:hAnsi="Trebuchet MS"/>
      <w:sz w:val="24"/>
      <w:szCs w:val="18"/>
    </w:rPr>
  </w:style>
  <w:style w:type="paragraph" w:styleId="Footer">
    <w:name w:val="footer"/>
    <w:basedOn w:val="Normal"/>
    <w:link w:val="FooterChar"/>
    <w:uiPriority w:val="99"/>
    <w:unhideWhenUsed/>
    <w:rsid w:val="00F77A60"/>
    <w:pPr>
      <w:tabs>
        <w:tab w:val="center" w:pos="4513"/>
        <w:tab w:val="right" w:pos="9026"/>
      </w:tabs>
    </w:pPr>
  </w:style>
  <w:style w:type="character" w:customStyle="1" w:styleId="FooterChar">
    <w:name w:val="Footer Char"/>
    <w:basedOn w:val="DefaultParagraphFont"/>
    <w:link w:val="Footer"/>
    <w:uiPriority w:val="99"/>
    <w:rsid w:val="00F77A60"/>
    <w:rPr>
      <w:rFonts w:ascii="Trebuchet MS" w:hAnsi="Trebuchet MS"/>
      <w:sz w:val="24"/>
      <w:szCs w:val="18"/>
    </w:rPr>
  </w:style>
  <w:style w:type="table" w:styleId="TableGrid">
    <w:name w:val="Table Grid"/>
    <w:basedOn w:val="TableNormal"/>
    <w:uiPriority w:val="39"/>
    <w:rsid w:val="00F77A60"/>
    <w:pPr>
      <w:spacing w:before="0" w:beforeAutospacing="0" w:after="0" w:afterAutospacing="0"/>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77A60"/>
    <w:pPr>
      <w:widowControl w:val="0"/>
      <w:autoSpaceDE w:val="0"/>
      <w:autoSpaceDN w:val="0"/>
    </w:pPr>
    <w:rPr>
      <w:rFonts w:eastAsia="Trebuchet MS" w:cs="Trebuchet MS"/>
      <w:sz w:val="22"/>
      <w:szCs w:val="22"/>
      <w:lang w:val="en-US"/>
    </w:rPr>
  </w:style>
  <w:style w:type="character" w:customStyle="1" w:styleId="BodyTextChar">
    <w:name w:val="Body Text Char"/>
    <w:basedOn w:val="DefaultParagraphFont"/>
    <w:link w:val="BodyText"/>
    <w:uiPriority w:val="1"/>
    <w:rsid w:val="00F77A60"/>
    <w:rPr>
      <w:rFonts w:ascii="Trebuchet MS" w:eastAsia="Trebuchet MS" w:hAnsi="Trebuchet MS" w:cs="Trebuchet MS"/>
      <w:lang w:val="en-US"/>
    </w:rPr>
  </w:style>
  <w:style w:type="paragraph" w:styleId="FootnoteText">
    <w:name w:val="footnote text"/>
    <w:basedOn w:val="Normal"/>
    <w:link w:val="FootnoteTextChar"/>
    <w:uiPriority w:val="99"/>
    <w:unhideWhenUsed/>
    <w:rsid w:val="00F77A60"/>
    <w:rPr>
      <w:rFonts w:ascii="Calibri" w:hAnsi="Calibri" w:cs="Times New Roman"/>
      <w:sz w:val="20"/>
      <w:szCs w:val="20"/>
    </w:rPr>
  </w:style>
  <w:style w:type="character" w:customStyle="1" w:styleId="FootnoteTextChar">
    <w:name w:val="Footnote Text Char"/>
    <w:basedOn w:val="DefaultParagraphFont"/>
    <w:link w:val="FootnoteText"/>
    <w:uiPriority w:val="99"/>
    <w:rsid w:val="00F77A60"/>
    <w:rPr>
      <w:rFonts w:ascii="Calibri" w:hAnsi="Calibri" w:cs="Times New Roman"/>
      <w:sz w:val="20"/>
      <w:szCs w:val="20"/>
    </w:rPr>
  </w:style>
  <w:style w:type="character" w:styleId="FootnoteReference">
    <w:name w:val="footnote reference"/>
    <w:basedOn w:val="DefaultParagraphFont"/>
    <w:uiPriority w:val="99"/>
    <w:semiHidden/>
    <w:unhideWhenUsed/>
    <w:rsid w:val="00F77A60"/>
    <w:rPr>
      <w:vertAlign w:val="superscript"/>
    </w:rPr>
  </w:style>
  <w:style w:type="paragraph" w:styleId="BalloonText">
    <w:name w:val="Balloon Text"/>
    <w:basedOn w:val="Normal"/>
    <w:link w:val="BalloonTextChar"/>
    <w:uiPriority w:val="99"/>
    <w:semiHidden/>
    <w:unhideWhenUsed/>
    <w:rsid w:val="00D56C8E"/>
    <w:rPr>
      <w:rFonts w:ascii="Segoe UI" w:hAnsi="Segoe UI" w:cs="Segoe UI"/>
      <w:sz w:val="18"/>
    </w:rPr>
  </w:style>
  <w:style w:type="character" w:customStyle="1" w:styleId="BalloonTextChar">
    <w:name w:val="Balloon Text Char"/>
    <w:basedOn w:val="DefaultParagraphFont"/>
    <w:link w:val="BalloonText"/>
    <w:uiPriority w:val="99"/>
    <w:semiHidden/>
    <w:rsid w:val="00D56C8E"/>
    <w:rPr>
      <w:rFonts w:ascii="Segoe UI" w:hAnsi="Segoe UI" w:cs="Segoe UI"/>
      <w:sz w:val="18"/>
      <w:szCs w:val="18"/>
    </w:rPr>
  </w:style>
  <w:style w:type="character" w:styleId="CommentReference">
    <w:name w:val="annotation reference"/>
    <w:basedOn w:val="DefaultParagraphFont"/>
    <w:uiPriority w:val="99"/>
    <w:semiHidden/>
    <w:unhideWhenUsed/>
    <w:rsid w:val="00492DE3"/>
    <w:rPr>
      <w:sz w:val="16"/>
      <w:szCs w:val="16"/>
    </w:rPr>
  </w:style>
  <w:style w:type="paragraph" w:styleId="CommentText">
    <w:name w:val="annotation text"/>
    <w:basedOn w:val="Normal"/>
    <w:link w:val="CommentTextChar"/>
    <w:uiPriority w:val="99"/>
    <w:unhideWhenUsed/>
    <w:rsid w:val="00492DE3"/>
    <w:rPr>
      <w:sz w:val="20"/>
      <w:szCs w:val="20"/>
    </w:rPr>
  </w:style>
  <w:style w:type="character" w:customStyle="1" w:styleId="CommentTextChar">
    <w:name w:val="Comment Text Char"/>
    <w:basedOn w:val="DefaultParagraphFont"/>
    <w:link w:val="CommentText"/>
    <w:uiPriority w:val="99"/>
    <w:rsid w:val="00492DE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92DE3"/>
    <w:rPr>
      <w:b/>
      <w:bCs/>
    </w:rPr>
  </w:style>
  <w:style w:type="character" w:customStyle="1" w:styleId="CommentSubjectChar">
    <w:name w:val="Comment Subject Char"/>
    <w:basedOn w:val="CommentTextChar"/>
    <w:link w:val="CommentSubject"/>
    <w:uiPriority w:val="99"/>
    <w:semiHidden/>
    <w:rsid w:val="00492DE3"/>
    <w:rPr>
      <w:rFonts w:ascii="Trebuchet MS" w:hAnsi="Trebuchet MS"/>
      <w:b/>
      <w:bCs/>
      <w:sz w:val="20"/>
      <w:szCs w:val="20"/>
    </w:rPr>
  </w:style>
  <w:style w:type="character" w:styleId="PlaceholderText">
    <w:name w:val="Placeholder Text"/>
    <w:basedOn w:val="DefaultParagraphFont"/>
    <w:uiPriority w:val="99"/>
    <w:semiHidden/>
    <w:rsid w:val="00E352E1"/>
    <w:rPr>
      <w:color w:val="808080"/>
    </w:rPr>
  </w:style>
  <w:style w:type="paragraph" w:styleId="NormalWeb">
    <w:name w:val="Normal (Web)"/>
    <w:basedOn w:val="Normal"/>
    <w:uiPriority w:val="99"/>
    <w:semiHidden/>
    <w:unhideWhenUsed/>
    <w:rsid w:val="00540538"/>
    <w:pPr>
      <w:spacing w:before="100" w:beforeAutospacing="1" w:after="100" w:afterAutospacing="1"/>
    </w:pPr>
    <w:rPr>
      <w:rFonts w:ascii="Times New Roman" w:eastAsiaTheme="minorEastAsia" w:hAnsi="Times New Roman" w:cs="Times New Roman"/>
      <w:szCs w:val="24"/>
      <w:lang w:eastAsia="en-GB"/>
    </w:rPr>
  </w:style>
  <w:style w:type="character" w:customStyle="1" w:styleId="Heading1Char">
    <w:name w:val="Heading 1 Char"/>
    <w:basedOn w:val="DefaultParagraphFont"/>
    <w:link w:val="Heading1"/>
    <w:uiPriority w:val="9"/>
    <w:rsid w:val="00DE171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171A"/>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DE171A"/>
    <w:pPr>
      <w:spacing w:before="0" w:beforeAutospacing="0" w:after="0" w:afterAutospacing="0"/>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171A"/>
    <w:pPr>
      <w:spacing w:before="0" w:beforeAutospacing="0" w:after="0" w:afterAutospacing="0"/>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171A"/>
    <w:pPr>
      <w:spacing w:before="0" w:beforeAutospacing="0" w:after="0" w:afterAutospacing="0"/>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80E"/>
    <w:pPr>
      <w:spacing w:before="0" w:beforeAutospacing="0" w:after="0" w:afterAutospacing="0"/>
    </w:pPr>
    <w:rPr>
      <w:rFonts w:ascii="Trebuchet MS" w:hAnsi="Trebuchet MS"/>
      <w:sz w:val="24"/>
      <w:szCs w:val="18"/>
    </w:rPr>
  </w:style>
  <w:style w:type="paragraph" w:customStyle="1" w:styleId="paragraph">
    <w:name w:val="paragraph"/>
    <w:basedOn w:val="Normal"/>
    <w:rsid w:val="00D2054F"/>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2054F"/>
  </w:style>
  <w:style w:type="character" w:customStyle="1" w:styleId="eop">
    <w:name w:val="eop"/>
    <w:basedOn w:val="DefaultParagraphFont"/>
    <w:rsid w:val="00D2054F"/>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9993">
      <w:bodyDiv w:val="1"/>
      <w:marLeft w:val="0"/>
      <w:marRight w:val="0"/>
      <w:marTop w:val="0"/>
      <w:marBottom w:val="0"/>
      <w:divBdr>
        <w:top w:val="none" w:sz="0" w:space="0" w:color="auto"/>
        <w:left w:val="none" w:sz="0" w:space="0" w:color="auto"/>
        <w:bottom w:val="none" w:sz="0" w:space="0" w:color="auto"/>
        <w:right w:val="none" w:sz="0" w:space="0" w:color="auto"/>
      </w:divBdr>
    </w:div>
    <w:div w:id="133106662">
      <w:bodyDiv w:val="1"/>
      <w:marLeft w:val="0"/>
      <w:marRight w:val="0"/>
      <w:marTop w:val="0"/>
      <w:marBottom w:val="0"/>
      <w:divBdr>
        <w:top w:val="none" w:sz="0" w:space="0" w:color="auto"/>
        <w:left w:val="none" w:sz="0" w:space="0" w:color="auto"/>
        <w:bottom w:val="none" w:sz="0" w:space="0" w:color="auto"/>
        <w:right w:val="none" w:sz="0" w:space="0" w:color="auto"/>
      </w:divBdr>
    </w:div>
    <w:div w:id="228462907">
      <w:bodyDiv w:val="1"/>
      <w:marLeft w:val="0"/>
      <w:marRight w:val="0"/>
      <w:marTop w:val="0"/>
      <w:marBottom w:val="0"/>
      <w:divBdr>
        <w:top w:val="none" w:sz="0" w:space="0" w:color="auto"/>
        <w:left w:val="none" w:sz="0" w:space="0" w:color="auto"/>
        <w:bottom w:val="none" w:sz="0" w:space="0" w:color="auto"/>
        <w:right w:val="none" w:sz="0" w:space="0" w:color="auto"/>
      </w:divBdr>
      <w:divsChild>
        <w:div w:id="334115884">
          <w:marLeft w:val="0"/>
          <w:marRight w:val="0"/>
          <w:marTop w:val="0"/>
          <w:marBottom w:val="0"/>
          <w:divBdr>
            <w:top w:val="none" w:sz="0" w:space="0" w:color="auto"/>
            <w:left w:val="none" w:sz="0" w:space="0" w:color="auto"/>
            <w:bottom w:val="none" w:sz="0" w:space="0" w:color="auto"/>
            <w:right w:val="none" w:sz="0" w:space="0" w:color="auto"/>
          </w:divBdr>
        </w:div>
        <w:div w:id="424034472">
          <w:marLeft w:val="0"/>
          <w:marRight w:val="0"/>
          <w:marTop w:val="0"/>
          <w:marBottom w:val="0"/>
          <w:divBdr>
            <w:top w:val="none" w:sz="0" w:space="0" w:color="auto"/>
            <w:left w:val="none" w:sz="0" w:space="0" w:color="auto"/>
            <w:bottom w:val="none" w:sz="0" w:space="0" w:color="auto"/>
            <w:right w:val="none" w:sz="0" w:space="0" w:color="auto"/>
          </w:divBdr>
        </w:div>
        <w:div w:id="1055816289">
          <w:marLeft w:val="0"/>
          <w:marRight w:val="0"/>
          <w:marTop w:val="0"/>
          <w:marBottom w:val="0"/>
          <w:divBdr>
            <w:top w:val="none" w:sz="0" w:space="0" w:color="auto"/>
            <w:left w:val="none" w:sz="0" w:space="0" w:color="auto"/>
            <w:bottom w:val="none" w:sz="0" w:space="0" w:color="auto"/>
            <w:right w:val="none" w:sz="0" w:space="0" w:color="auto"/>
          </w:divBdr>
        </w:div>
        <w:div w:id="1085801220">
          <w:marLeft w:val="0"/>
          <w:marRight w:val="0"/>
          <w:marTop w:val="0"/>
          <w:marBottom w:val="0"/>
          <w:divBdr>
            <w:top w:val="none" w:sz="0" w:space="0" w:color="auto"/>
            <w:left w:val="none" w:sz="0" w:space="0" w:color="auto"/>
            <w:bottom w:val="none" w:sz="0" w:space="0" w:color="auto"/>
            <w:right w:val="none" w:sz="0" w:space="0" w:color="auto"/>
          </w:divBdr>
        </w:div>
        <w:div w:id="1192107469">
          <w:marLeft w:val="0"/>
          <w:marRight w:val="0"/>
          <w:marTop w:val="0"/>
          <w:marBottom w:val="0"/>
          <w:divBdr>
            <w:top w:val="none" w:sz="0" w:space="0" w:color="auto"/>
            <w:left w:val="none" w:sz="0" w:space="0" w:color="auto"/>
            <w:bottom w:val="none" w:sz="0" w:space="0" w:color="auto"/>
            <w:right w:val="none" w:sz="0" w:space="0" w:color="auto"/>
          </w:divBdr>
        </w:div>
        <w:div w:id="2044820280">
          <w:marLeft w:val="0"/>
          <w:marRight w:val="0"/>
          <w:marTop w:val="0"/>
          <w:marBottom w:val="0"/>
          <w:divBdr>
            <w:top w:val="none" w:sz="0" w:space="0" w:color="auto"/>
            <w:left w:val="none" w:sz="0" w:space="0" w:color="auto"/>
            <w:bottom w:val="none" w:sz="0" w:space="0" w:color="auto"/>
            <w:right w:val="none" w:sz="0" w:space="0" w:color="auto"/>
          </w:divBdr>
        </w:div>
      </w:divsChild>
    </w:div>
    <w:div w:id="257951893">
      <w:bodyDiv w:val="1"/>
      <w:marLeft w:val="0"/>
      <w:marRight w:val="0"/>
      <w:marTop w:val="0"/>
      <w:marBottom w:val="0"/>
      <w:divBdr>
        <w:top w:val="none" w:sz="0" w:space="0" w:color="auto"/>
        <w:left w:val="none" w:sz="0" w:space="0" w:color="auto"/>
        <w:bottom w:val="none" w:sz="0" w:space="0" w:color="auto"/>
        <w:right w:val="none" w:sz="0" w:space="0" w:color="auto"/>
      </w:divBdr>
    </w:div>
    <w:div w:id="307519089">
      <w:bodyDiv w:val="1"/>
      <w:marLeft w:val="0"/>
      <w:marRight w:val="0"/>
      <w:marTop w:val="0"/>
      <w:marBottom w:val="0"/>
      <w:divBdr>
        <w:top w:val="none" w:sz="0" w:space="0" w:color="auto"/>
        <w:left w:val="none" w:sz="0" w:space="0" w:color="auto"/>
        <w:bottom w:val="none" w:sz="0" w:space="0" w:color="auto"/>
        <w:right w:val="none" w:sz="0" w:space="0" w:color="auto"/>
      </w:divBdr>
    </w:div>
    <w:div w:id="395130736">
      <w:bodyDiv w:val="1"/>
      <w:marLeft w:val="0"/>
      <w:marRight w:val="0"/>
      <w:marTop w:val="0"/>
      <w:marBottom w:val="0"/>
      <w:divBdr>
        <w:top w:val="none" w:sz="0" w:space="0" w:color="auto"/>
        <w:left w:val="none" w:sz="0" w:space="0" w:color="auto"/>
        <w:bottom w:val="none" w:sz="0" w:space="0" w:color="auto"/>
        <w:right w:val="none" w:sz="0" w:space="0" w:color="auto"/>
      </w:divBdr>
    </w:div>
    <w:div w:id="465466481">
      <w:bodyDiv w:val="1"/>
      <w:marLeft w:val="0"/>
      <w:marRight w:val="0"/>
      <w:marTop w:val="0"/>
      <w:marBottom w:val="0"/>
      <w:divBdr>
        <w:top w:val="none" w:sz="0" w:space="0" w:color="auto"/>
        <w:left w:val="none" w:sz="0" w:space="0" w:color="auto"/>
        <w:bottom w:val="none" w:sz="0" w:space="0" w:color="auto"/>
        <w:right w:val="none" w:sz="0" w:space="0" w:color="auto"/>
      </w:divBdr>
    </w:div>
    <w:div w:id="549340825">
      <w:bodyDiv w:val="1"/>
      <w:marLeft w:val="0"/>
      <w:marRight w:val="0"/>
      <w:marTop w:val="0"/>
      <w:marBottom w:val="0"/>
      <w:divBdr>
        <w:top w:val="none" w:sz="0" w:space="0" w:color="auto"/>
        <w:left w:val="none" w:sz="0" w:space="0" w:color="auto"/>
        <w:bottom w:val="none" w:sz="0" w:space="0" w:color="auto"/>
        <w:right w:val="none" w:sz="0" w:space="0" w:color="auto"/>
      </w:divBdr>
    </w:div>
    <w:div w:id="559486458">
      <w:bodyDiv w:val="1"/>
      <w:marLeft w:val="0"/>
      <w:marRight w:val="0"/>
      <w:marTop w:val="0"/>
      <w:marBottom w:val="0"/>
      <w:divBdr>
        <w:top w:val="none" w:sz="0" w:space="0" w:color="auto"/>
        <w:left w:val="none" w:sz="0" w:space="0" w:color="auto"/>
        <w:bottom w:val="none" w:sz="0" w:space="0" w:color="auto"/>
        <w:right w:val="none" w:sz="0" w:space="0" w:color="auto"/>
      </w:divBdr>
    </w:div>
    <w:div w:id="597375208">
      <w:bodyDiv w:val="1"/>
      <w:marLeft w:val="0"/>
      <w:marRight w:val="0"/>
      <w:marTop w:val="0"/>
      <w:marBottom w:val="0"/>
      <w:divBdr>
        <w:top w:val="none" w:sz="0" w:space="0" w:color="auto"/>
        <w:left w:val="none" w:sz="0" w:space="0" w:color="auto"/>
        <w:bottom w:val="none" w:sz="0" w:space="0" w:color="auto"/>
        <w:right w:val="none" w:sz="0" w:space="0" w:color="auto"/>
      </w:divBdr>
    </w:div>
    <w:div w:id="722489714">
      <w:bodyDiv w:val="1"/>
      <w:marLeft w:val="0"/>
      <w:marRight w:val="0"/>
      <w:marTop w:val="0"/>
      <w:marBottom w:val="0"/>
      <w:divBdr>
        <w:top w:val="none" w:sz="0" w:space="0" w:color="auto"/>
        <w:left w:val="none" w:sz="0" w:space="0" w:color="auto"/>
        <w:bottom w:val="none" w:sz="0" w:space="0" w:color="auto"/>
        <w:right w:val="none" w:sz="0" w:space="0" w:color="auto"/>
      </w:divBdr>
    </w:div>
    <w:div w:id="770706648">
      <w:bodyDiv w:val="1"/>
      <w:marLeft w:val="0"/>
      <w:marRight w:val="0"/>
      <w:marTop w:val="0"/>
      <w:marBottom w:val="0"/>
      <w:divBdr>
        <w:top w:val="none" w:sz="0" w:space="0" w:color="auto"/>
        <w:left w:val="none" w:sz="0" w:space="0" w:color="auto"/>
        <w:bottom w:val="none" w:sz="0" w:space="0" w:color="auto"/>
        <w:right w:val="none" w:sz="0" w:space="0" w:color="auto"/>
      </w:divBdr>
    </w:div>
    <w:div w:id="934557156">
      <w:bodyDiv w:val="1"/>
      <w:marLeft w:val="0"/>
      <w:marRight w:val="0"/>
      <w:marTop w:val="0"/>
      <w:marBottom w:val="0"/>
      <w:divBdr>
        <w:top w:val="none" w:sz="0" w:space="0" w:color="auto"/>
        <w:left w:val="none" w:sz="0" w:space="0" w:color="auto"/>
        <w:bottom w:val="none" w:sz="0" w:space="0" w:color="auto"/>
        <w:right w:val="none" w:sz="0" w:space="0" w:color="auto"/>
      </w:divBdr>
    </w:div>
    <w:div w:id="936717071">
      <w:bodyDiv w:val="1"/>
      <w:marLeft w:val="0"/>
      <w:marRight w:val="0"/>
      <w:marTop w:val="0"/>
      <w:marBottom w:val="0"/>
      <w:divBdr>
        <w:top w:val="none" w:sz="0" w:space="0" w:color="auto"/>
        <w:left w:val="none" w:sz="0" w:space="0" w:color="auto"/>
        <w:bottom w:val="none" w:sz="0" w:space="0" w:color="auto"/>
        <w:right w:val="none" w:sz="0" w:space="0" w:color="auto"/>
      </w:divBdr>
    </w:div>
    <w:div w:id="991564054">
      <w:bodyDiv w:val="1"/>
      <w:marLeft w:val="0"/>
      <w:marRight w:val="0"/>
      <w:marTop w:val="0"/>
      <w:marBottom w:val="0"/>
      <w:divBdr>
        <w:top w:val="none" w:sz="0" w:space="0" w:color="auto"/>
        <w:left w:val="none" w:sz="0" w:space="0" w:color="auto"/>
        <w:bottom w:val="none" w:sz="0" w:space="0" w:color="auto"/>
        <w:right w:val="none" w:sz="0" w:space="0" w:color="auto"/>
      </w:divBdr>
    </w:div>
    <w:div w:id="1017924731">
      <w:bodyDiv w:val="1"/>
      <w:marLeft w:val="0"/>
      <w:marRight w:val="0"/>
      <w:marTop w:val="0"/>
      <w:marBottom w:val="0"/>
      <w:divBdr>
        <w:top w:val="none" w:sz="0" w:space="0" w:color="auto"/>
        <w:left w:val="none" w:sz="0" w:space="0" w:color="auto"/>
        <w:bottom w:val="none" w:sz="0" w:space="0" w:color="auto"/>
        <w:right w:val="none" w:sz="0" w:space="0" w:color="auto"/>
      </w:divBdr>
    </w:div>
    <w:div w:id="1180042097">
      <w:bodyDiv w:val="1"/>
      <w:marLeft w:val="0"/>
      <w:marRight w:val="0"/>
      <w:marTop w:val="0"/>
      <w:marBottom w:val="0"/>
      <w:divBdr>
        <w:top w:val="none" w:sz="0" w:space="0" w:color="auto"/>
        <w:left w:val="none" w:sz="0" w:space="0" w:color="auto"/>
        <w:bottom w:val="none" w:sz="0" w:space="0" w:color="auto"/>
        <w:right w:val="none" w:sz="0" w:space="0" w:color="auto"/>
      </w:divBdr>
    </w:div>
    <w:div w:id="1196308006">
      <w:bodyDiv w:val="1"/>
      <w:marLeft w:val="0"/>
      <w:marRight w:val="0"/>
      <w:marTop w:val="0"/>
      <w:marBottom w:val="0"/>
      <w:divBdr>
        <w:top w:val="none" w:sz="0" w:space="0" w:color="auto"/>
        <w:left w:val="none" w:sz="0" w:space="0" w:color="auto"/>
        <w:bottom w:val="none" w:sz="0" w:space="0" w:color="auto"/>
        <w:right w:val="none" w:sz="0" w:space="0" w:color="auto"/>
      </w:divBdr>
    </w:div>
    <w:div w:id="1244947366">
      <w:bodyDiv w:val="1"/>
      <w:marLeft w:val="0"/>
      <w:marRight w:val="0"/>
      <w:marTop w:val="0"/>
      <w:marBottom w:val="0"/>
      <w:divBdr>
        <w:top w:val="none" w:sz="0" w:space="0" w:color="auto"/>
        <w:left w:val="none" w:sz="0" w:space="0" w:color="auto"/>
        <w:bottom w:val="none" w:sz="0" w:space="0" w:color="auto"/>
        <w:right w:val="none" w:sz="0" w:space="0" w:color="auto"/>
      </w:divBdr>
    </w:div>
    <w:div w:id="1432241011">
      <w:bodyDiv w:val="1"/>
      <w:marLeft w:val="0"/>
      <w:marRight w:val="0"/>
      <w:marTop w:val="0"/>
      <w:marBottom w:val="0"/>
      <w:divBdr>
        <w:top w:val="none" w:sz="0" w:space="0" w:color="auto"/>
        <w:left w:val="none" w:sz="0" w:space="0" w:color="auto"/>
        <w:bottom w:val="none" w:sz="0" w:space="0" w:color="auto"/>
        <w:right w:val="none" w:sz="0" w:space="0" w:color="auto"/>
      </w:divBdr>
    </w:div>
    <w:div w:id="1474565691">
      <w:bodyDiv w:val="1"/>
      <w:marLeft w:val="0"/>
      <w:marRight w:val="0"/>
      <w:marTop w:val="0"/>
      <w:marBottom w:val="0"/>
      <w:divBdr>
        <w:top w:val="none" w:sz="0" w:space="0" w:color="auto"/>
        <w:left w:val="none" w:sz="0" w:space="0" w:color="auto"/>
        <w:bottom w:val="none" w:sz="0" w:space="0" w:color="auto"/>
        <w:right w:val="none" w:sz="0" w:space="0" w:color="auto"/>
      </w:divBdr>
    </w:div>
    <w:div w:id="1626354975">
      <w:bodyDiv w:val="1"/>
      <w:marLeft w:val="0"/>
      <w:marRight w:val="0"/>
      <w:marTop w:val="0"/>
      <w:marBottom w:val="0"/>
      <w:divBdr>
        <w:top w:val="none" w:sz="0" w:space="0" w:color="auto"/>
        <w:left w:val="none" w:sz="0" w:space="0" w:color="auto"/>
        <w:bottom w:val="none" w:sz="0" w:space="0" w:color="auto"/>
        <w:right w:val="none" w:sz="0" w:space="0" w:color="auto"/>
      </w:divBdr>
    </w:div>
    <w:div w:id="1643382655">
      <w:bodyDiv w:val="1"/>
      <w:marLeft w:val="0"/>
      <w:marRight w:val="0"/>
      <w:marTop w:val="0"/>
      <w:marBottom w:val="0"/>
      <w:divBdr>
        <w:top w:val="none" w:sz="0" w:space="0" w:color="auto"/>
        <w:left w:val="none" w:sz="0" w:space="0" w:color="auto"/>
        <w:bottom w:val="none" w:sz="0" w:space="0" w:color="auto"/>
        <w:right w:val="none" w:sz="0" w:space="0" w:color="auto"/>
      </w:divBdr>
    </w:div>
    <w:div w:id="1819879487">
      <w:bodyDiv w:val="1"/>
      <w:marLeft w:val="0"/>
      <w:marRight w:val="0"/>
      <w:marTop w:val="0"/>
      <w:marBottom w:val="0"/>
      <w:divBdr>
        <w:top w:val="none" w:sz="0" w:space="0" w:color="auto"/>
        <w:left w:val="none" w:sz="0" w:space="0" w:color="auto"/>
        <w:bottom w:val="none" w:sz="0" w:space="0" w:color="auto"/>
        <w:right w:val="none" w:sz="0" w:space="0" w:color="auto"/>
      </w:divBdr>
    </w:div>
    <w:div w:id="1837957382">
      <w:bodyDiv w:val="1"/>
      <w:marLeft w:val="0"/>
      <w:marRight w:val="0"/>
      <w:marTop w:val="0"/>
      <w:marBottom w:val="0"/>
      <w:divBdr>
        <w:top w:val="none" w:sz="0" w:space="0" w:color="auto"/>
        <w:left w:val="none" w:sz="0" w:space="0" w:color="auto"/>
        <w:bottom w:val="none" w:sz="0" w:space="0" w:color="auto"/>
        <w:right w:val="none" w:sz="0" w:space="0" w:color="auto"/>
      </w:divBdr>
    </w:div>
    <w:div w:id="1856650063">
      <w:bodyDiv w:val="1"/>
      <w:marLeft w:val="0"/>
      <w:marRight w:val="0"/>
      <w:marTop w:val="0"/>
      <w:marBottom w:val="0"/>
      <w:divBdr>
        <w:top w:val="none" w:sz="0" w:space="0" w:color="auto"/>
        <w:left w:val="none" w:sz="0" w:space="0" w:color="auto"/>
        <w:bottom w:val="none" w:sz="0" w:space="0" w:color="auto"/>
        <w:right w:val="none" w:sz="0" w:space="0" w:color="auto"/>
      </w:divBdr>
    </w:div>
    <w:div w:id="20018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97A81870574F16ACD2F2F1901526BB"/>
        <w:category>
          <w:name w:val="General"/>
          <w:gallery w:val="placeholder"/>
        </w:category>
        <w:types>
          <w:type w:val="bbPlcHdr"/>
        </w:types>
        <w:behaviors>
          <w:behavior w:val="content"/>
        </w:behaviors>
        <w:guid w:val="{FE45B2CC-1E4B-4683-8DA9-5AFD9FFCFCF9}"/>
      </w:docPartPr>
      <w:docPartBody>
        <w:p w:rsidR="000A0CFB" w:rsidRDefault="00597887" w:rsidP="00597887">
          <w:pPr>
            <w:pStyle w:val="7597A81870574F16ACD2F2F1901526BB"/>
          </w:pPr>
          <w:r w:rsidRPr="005B62F8">
            <w:rPr>
              <w:rStyle w:val="PlaceholderText"/>
            </w:rPr>
            <w:t>Choose an item.</w:t>
          </w:r>
        </w:p>
      </w:docPartBody>
    </w:docPart>
    <w:docPart>
      <w:docPartPr>
        <w:name w:val="B4A46C12E954491F948CC38B4E89D4E3"/>
        <w:category>
          <w:name w:val="General"/>
          <w:gallery w:val="placeholder"/>
        </w:category>
        <w:types>
          <w:type w:val="bbPlcHdr"/>
        </w:types>
        <w:behaviors>
          <w:behavior w:val="content"/>
        </w:behaviors>
        <w:guid w:val="{68994206-A07F-4A67-8CA5-B134C19C6069}"/>
      </w:docPartPr>
      <w:docPartBody>
        <w:p w:rsidR="000A0CFB" w:rsidRDefault="00597887" w:rsidP="00597887">
          <w:pPr>
            <w:pStyle w:val="B4A46C12E954491F948CC38B4E89D4E3"/>
          </w:pPr>
          <w:r w:rsidRPr="005B62F8">
            <w:rPr>
              <w:rStyle w:val="PlaceholderText"/>
            </w:rPr>
            <w:t>Choose an item.</w:t>
          </w:r>
        </w:p>
      </w:docPartBody>
    </w:docPart>
    <w:docPart>
      <w:docPartPr>
        <w:name w:val="447EAB21662B48D3BE7F8D2E168ABED3"/>
        <w:category>
          <w:name w:val="General"/>
          <w:gallery w:val="placeholder"/>
        </w:category>
        <w:types>
          <w:type w:val="bbPlcHdr"/>
        </w:types>
        <w:behaviors>
          <w:behavior w:val="content"/>
        </w:behaviors>
        <w:guid w:val="{E4892CFD-A2AE-4D3A-818D-B4118F3B57F0}"/>
      </w:docPartPr>
      <w:docPartBody>
        <w:p w:rsidR="000A0CFB" w:rsidRDefault="00597887" w:rsidP="00597887">
          <w:pPr>
            <w:pStyle w:val="447EAB21662B48D3BE7F8D2E168ABED3"/>
          </w:pPr>
          <w:r w:rsidRPr="005B62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87"/>
    <w:rsid w:val="000A0CFB"/>
    <w:rsid w:val="000F08E0"/>
    <w:rsid w:val="00293F19"/>
    <w:rsid w:val="002C1512"/>
    <w:rsid w:val="00310632"/>
    <w:rsid w:val="003877DB"/>
    <w:rsid w:val="00451108"/>
    <w:rsid w:val="004A14F0"/>
    <w:rsid w:val="004A555D"/>
    <w:rsid w:val="004F1756"/>
    <w:rsid w:val="00597887"/>
    <w:rsid w:val="005A5A0D"/>
    <w:rsid w:val="006B63C2"/>
    <w:rsid w:val="007153F6"/>
    <w:rsid w:val="00766D85"/>
    <w:rsid w:val="007E01AB"/>
    <w:rsid w:val="00817521"/>
    <w:rsid w:val="008E1BB5"/>
    <w:rsid w:val="008E5622"/>
    <w:rsid w:val="008E68C3"/>
    <w:rsid w:val="00902572"/>
    <w:rsid w:val="009455FB"/>
    <w:rsid w:val="009978BB"/>
    <w:rsid w:val="00A110F2"/>
    <w:rsid w:val="00A178BE"/>
    <w:rsid w:val="00A71C9C"/>
    <w:rsid w:val="00AC3581"/>
    <w:rsid w:val="00B22AB1"/>
    <w:rsid w:val="00C20850"/>
    <w:rsid w:val="00CB5422"/>
    <w:rsid w:val="00CF5338"/>
    <w:rsid w:val="00D17077"/>
    <w:rsid w:val="00D36392"/>
    <w:rsid w:val="00F51508"/>
    <w:rsid w:val="00F5531E"/>
    <w:rsid w:val="00F96EA9"/>
    <w:rsid w:val="00FA31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887"/>
    <w:rPr>
      <w:color w:val="808080"/>
    </w:rPr>
  </w:style>
  <w:style w:type="paragraph" w:customStyle="1" w:styleId="7597A81870574F16ACD2F2F1901526BB">
    <w:name w:val="7597A81870574F16ACD2F2F1901526BB"/>
    <w:rsid w:val="00597887"/>
  </w:style>
  <w:style w:type="paragraph" w:customStyle="1" w:styleId="B4A46C12E954491F948CC38B4E89D4E3">
    <w:name w:val="B4A46C12E954491F948CC38B4E89D4E3"/>
    <w:rsid w:val="00597887"/>
  </w:style>
  <w:style w:type="paragraph" w:customStyle="1" w:styleId="447EAB21662B48D3BE7F8D2E168ABED3">
    <w:name w:val="447EAB21662B48D3BE7F8D2E168ABED3"/>
    <w:rsid w:val="00597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77c8e73-1a92-43ae-87b4-1041e4b5416f">
      <UserInfo>
        <DisplayName>Wendy Dalgleish</DisplayName>
        <AccountId>21</AccountId>
        <AccountType/>
      </UserInfo>
      <UserInfo>
        <DisplayName>Kingsley Thomas</DisplayName>
        <AccountId>22</AccountId>
        <AccountType/>
      </UserInfo>
      <UserInfo>
        <DisplayName>Matt Taylor</DisplayName>
        <AccountId>23</AccountId>
        <AccountType/>
      </UserInfo>
    </SharedWithUsers>
    <Retention xmlns="ddc97c0f-92d3-40cc-8a88-afbef9d2f083" xsi:nil="true"/>
  </documentManagement>
</p:properties>
</file>

<file path=customXml/itemProps1.xml><?xml version="1.0" encoding="utf-8"?>
<ds:datastoreItem xmlns:ds="http://schemas.openxmlformats.org/officeDocument/2006/customXml" ds:itemID="{35510383-5606-45AD-B2AE-95B88C6722C3}">
  <ds:schemaRefs>
    <ds:schemaRef ds:uri="http://schemas.microsoft.com/sharepoint/v3/contenttype/forms"/>
  </ds:schemaRefs>
</ds:datastoreItem>
</file>

<file path=customXml/itemProps2.xml><?xml version="1.0" encoding="utf-8"?>
<ds:datastoreItem xmlns:ds="http://schemas.openxmlformats.org/officeDocument/2006/customXml" ds:itemID="{9C6C7438-E12D-434B-9FDA-26B3108F7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9693E-9826-4A1E-88EF-487FE04475D0}">
  <ds:schemaRefs>
    <ds:schemaRef ds:uri="http://schemas.openxmlformats.org/officeDocument/2006/bibliography"/>
  </ds:schemaRefs>
</ds:datastoreItem>
</file>

<file path=customXml/itemProps4.xml><?xml version="1.0" encoding="utf-8"?>
<ds:datastoreItem xmlns:ds="http://schemas.openxmlformats.org/officeDocument/2006/customXml" ds:itemID="{0A76C61C-C06E-422F-87F3-161F8D7FBEFF}">
  <ds:schemaRef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59efbd73-5937-4885-a7ac-8ae5c6ee11b7"/>
    <ds:schemaRef ds:uri="3704ac3b-17c7-4ff4-af57-3e3636930402"/>
    <ds:schemaRef ds:uri="f77c8e73-1a92-43ae-87b4-1041e4b5416f"/>
    <ds:schemaRef ds:uri="ddc97c0f-92d3-40cc-8a88-afbef9d2f0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Board Report</vt:lpstr>
    </vt:vector>
  </TitlesOfParts>
  <Company>SLAB</Company>
  <LinksUpToDate>false</LinksUpToDate>
  <CharactersWithSpaces>21562</CharactersWithSpaces>
  <SharedDoc>false</SharedDoc>
  <HLinks>
    <vt:vector size="30" baseType="variant">
      <vt:variant>
        <vt:i4>3932255</vt:i4>
      </vt:variant>
      <vt:variant>
        <vt:i4>12</vt:i4>
      </vt:variant>
      <vt:variant>
        <vt:i4>0</vt:i4>
      </vt:variant>
      <vt:variant>
        <vt:i4>5</vt:i4>
      </vt:variant>
      <vt:variant>
        <vt:lpwstr>mailto:RossLi@slab.org.uk</vt:lpwstr>
      </vt:variant>
      <vt:variant>
        <vt:lpwstr/>
      </vt:variant>
      <vt:variant>
        <vt:i4>2359365</vt:i4>
      </vt:variant>
      <vt:variant>
        <vt:i4>9</vt:i4>
      </vt:variant>
      <vt:variant>
        <vt:i4>0</vt:i4>
      </vt:variant>
      <vt:variant>
        <vt:i4>5</vt:i4>
      </vt:variant>
      <vt:variant>
        <vt:lpwstr>mailto:FordAd@slab.org.uk</vt:lpwstr>
      </vt:variant>
      <vt:variant>
        <vt:lpwstr/>
      </vt:variant>
      <vt:variant>
        <vt:i4>6160436</vt:i4>
      </vt:variant>
      <vt:variant>
        <vt:i4>6</vt:i4>
      </vt:variant>
      <vt:variant>
        <vt:i4>0</vt:i4>
      </vt:variant>
      <vt:variant>
        <vt:i4>5</vt:i4>
      </vt:variant>
      <vt:variant>
        <vt:lpwstr>mailto:TaylorMa@slab.org.uk</vt:lpwstr>
      </vt:variant>
      <vt:variant>
        <vt:lpwstr/>
      </vt:variant>
      <vt:variant>
        <vt:i4>6160436</vt:i4>
      </vt:variant>
      <vt:variant>
        <vt:i4>3</vt:i4>
      </vt:variant>
      <vt:variant>
        <vt:i4>0</vt:i4>
      </vt:variant>
      <vt:variant>
        <vt:i4>5</vt:i4>
      </vt:variant>
      <vt:variant>
        <vt:lpwstr>mailto:TaylorMa@slab.org.uk</vt:lpwstr>
      </vt:variant>
      <vt:variant>
        <vt:lpwstr/>
      </vt:variant>
      <vt:variant>
        <vt:i4>7012358</vt:i4>
      </vt:variant>
      <vt:variant>
        <vt:i4>0</vt:i4>
      </vt:variant>
      <vt:variant>
        <vt:i4>0</vt:i4>
      </vt:variant>
      <vt:variant>
        <vt:i4>5</vt:i4>
      </vt:variant>
      <vt:variant>
        <vt:lpwstr>mailto:Oharaem@slab.org.uk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Benchmarks Report May 2024</dc:title>
  <dc:subject>Board paper</dc:subject>
  <dc:creator>Scottish Legal Aid Board</dc:creator>
  <cp:keywords/>
  <dc:description/>
  <cp:lastModifiedBy>Lindsay Corr</cp:lastModifiedBy>
  <cp:revision>2</cp:revision>
  <dcterms:created xsi:type="dcterms:W3CDTF">2024-11-15T12:55:00Z</dcterms:created>
  <dcterms:modified xsi:type="dcterms:W3CDTF">2024-11-15T12:55:00Z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ies>
</file>