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9202" w14:textId="52F2ED12" w:rsidR="00B2602F" w:rsidRPr="005277D3" w:rsidRDefault="009D0693" w:rsidP="00CC679C">
      <w:pPr>
        <w:pStyle w:val="Title"/>
      </w:pPr>
      <w:r>
        <w:rPr>
          <w:noProof/>
          <w:lang w:val="en-US"/>
        </w:rPr>
        <w:drawing>
          <wp:inline distT="0" distB="0" distL="0" distR="0" wp14:anchorId="4F0361D8" wp14:editId="7C780CB0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450AC2" w:rsidRPr="005277D3">
        <w:t>Board report</w:t>
      </w:r>
    </w:p>
    <w:p w14:paraId="736FA427" w14:textId="6DC7DC11" w:rsidR="00450AC2" w:rsidRPr="00AB4C34" w:rsidRDefault="000F272F" w:rsidP="00CC679C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56CF6CB4" wp14:editId="006FCD8F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955C4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9.35pt;width:529.5pt;height:0;z-index:251659264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2KE4pdwAAAAHAQAADwAAAGRy&#10;cy9kb3ducmV2LnhtbEyPwU7DMAyG70h7h8iTuCCWgmDrStNpQuPAAdDGHiBrvLbQOFWSdt3b44kD&#10;HP391u/P+Wq0rRjQh8aRgrtZAgKpdKahSsH+8+U2BRGiJqNbR6jgjAFWxeQq15lxJ9risIuV4BIK&#10;mVZQx9hlUoayRqvDzHVInB2dtzry6CtpvD5xuW3lfZLMpdUN8YVad/hcY/m9662CTfox3PhF/7B5&#10;te/rc3xLv7pjqdT1dFw/gYg4xr9luOizOhTsdHA9mSBaBfxIZJouQFzS5HHJ5PBLZJHL//7FDwA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DYoTil3AAAAAc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Pr="00C3315D">
        <w:rPr>
          <w:noProof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52C42E4C" wp14:editId="2DE70296">
                <wp:simplePos x="0" y="0"/>
                <wp:positionH relativeFrom="margin">
                  <wp:posOffset>0</wp:posOffset>
                </wp:positionH>
                <wp:positionV relativeFrom="paragraph">
                  <wp:posOffset>683260</wp:posOffset>
                </wp:positionV>
                <wp:extent cx="6724650" cy="0"/>
                <wp:effectExtent l="0" t="0" r="0" b="0"/>
                <wp:wrapNone/>
                <wp:docPr id="971420388" name="Straight Arrow Connector 9714203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3F34D59" id="Straight Arrow Connector 971420388" o:spid="_x0000_s1026" type="#_x0000_t32" alt="&quot;&quot;" style="position:absolute;margin-left:0;margin-top:53.8pt;width:529.5pt;height:0;z-index:251661312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QxGpkdwAAAAJAQAADwAAAGRy&#10;cy9kb3ducmV2LnhtbEyPwU7DMBBE70j8g7VIXBC1QdCGEKeqUDlwoIjCB7jxNgnE68h20vTv2UpI&#10;cNw3o9mZYjm5TowYYutJw81MgUCqvG2p1vD58XydgYjJkDWdJ9RwxAjL8vysMLn1B3rHcZtqwSEU&#10;c6OhSanPpYxVg87Eme+RWNv74EziM9TSBnPgcNfJW6Xm0pmW+ENjenxqsPreDk7DOnsbr8JiuFu/&#10;uM3qmF6zr35faX15Ma0eQSSc0p8ZTvW5OpTcaecHslF0GnhIYqoWcxAnWd0/MNr9IlkW8v+C8gc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BDEamR3AAAAAk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="00450AC2">
        <w:rPr>
          <w:lang w:val="en-US"/>
        </w:rPr>
        <w:br/>
      </w:r>
      <w:r w:rsidR="00450AC2" w:rsidRPr="006F4385">
        <w:rPr>
          <w:rStyle w:val="Strong"/>
          <w:lang w:val="en-US"/>
        </w:rPr>
        <w:t xml:space="preserve">AGENDA ITEM: </w:t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</w:rPr>
        <w:tab/>
      </w:r>
      <w:r w:rsidR="00C16168">
        <w:rPr>
          <w:rStyle w:val="Strong"/>
          <w:lang w:val="en-US"/>
        </w:rPr>
        <w:t>11</w:t>
      </w:r>
      <w:r w:rsidR="00AB4C34">
        <w:rPr>
          <w:rStyle w:val="Strong"/>
          <w:lang w:val="en-US"/>
        </w:rPr>
        <w:br/>
      </w:r>
      <w:r w:rsidR="00450AC2" w:rsidRPr="006F4385">
        <w:rPr>
          <w:rStyle w:val="Strong"/>
          <w:lang w:val="en-US"/>
        </w:rPr>
        <w:t xml:space="preserve">REPORT NUMBER: </w:t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</w:rPr>
        <w:tab/>
      </w:r>
      <w:r w:rsidR="00450AC2" w:rsidRPr="006F4385">
        <w:rPr>
          <w:rStyle w:val="Strong"/>
          <w:lang w:val="en-US"/>
        </w:rPr>
        <w:t>SLAB</w:t>
      </w:r>
      <w:r w:rsidR="008316DC">
        <w:rPr>
          <w:rStyle w:val="Strong"/>
          <w:lang w:val="en-US"/>
        </w:rPr>
        <w:t>/</w:t>
      </w:r>
      <w:r w:rsidR="00624879">
        <w:rPr>
          <w:rStyle w:val="Strong"/>
          <w:lang w:val="en-US"/>
        </w:rPr>
        <w:t>2024</w:t>
      </w:r>
      <w:r w:rsidR="00AB4C34" w:rsidRPr="006F4385">
        <w:rPr>
          <w:rStyle w:val="Strong"/>
          <w:lang w:val="en-US"/>
        </w:rPr>
        <w:t xml:space="preserve">/ </w:t>
      </w:r>
      <w:r w:rsidR="00C16168">
        <w:rPr>
          <w:rStyle w:val="Strong"/>
          <w:lang w:val="en-US"/>
        </w:rPr>
        <w:t>53</w:t>
      </w:r>
    </w:p>
    <w:p w14:paraId="23B43D0F" w14:textId="46D18B01" w:rsidR="00F14DC9" w:rsidRPr="00821617" w:rsidRDefault="00F14DC9" w:rsidP="000F272F">
      <w:pPr>
        <w:rPr>
          <w:rStyle w:val="Strong"/>
          <w:b w:val="0"/>
          <w:bCs w:val="0"/>
          <w:lang w:val="en-US"/>
        </w:rPr>
      </w:pPr>
      <w:r w:rsidRPr="005277D3">
        <w:rPr>
          <w:rStyle w:val="Strong"/>
          <w:rFonts w:asciiTheme="majorHAnsi" w:hAnsiTheme="majorHAnsi"/>
          <w:bCs w:val="0"/>
          <w:color w:val="174DA3"/>
          <w:sz w:val="40"/>
        </w:rPr>
        <w:t>Report details</w:t>
      </w:r>
    </w:p>
    <w:p w14:paraId="55D69D58" w14:textId="08441205" w:rsidR="006F4385" w:rsidRPr="006F4385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Report to:</w:t>
      </w:r>
      <w:r w:rsidRPr="00D35FED">
        <w:rPr>
          <w:rStyle w:val="Strong"/>
        </w:rPr>
        <w:tab/>
      </w:r>
      <w:r w:rsidRPr="00D35FED"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334070625"/>
          <w:lock w:val="sdtLocked"/>
          <w:placeholder>
            <w:docPart w:val="A41903E8379543329647291877D14497"/>
          </w:placeholder>
          <w15:color w:val="000000"/>
          <w:comboBox>
            <w:listItem w:value="Choose an item."/>
            <w:listItem w:displayText="The Board" w:value="The Board"/>
            <w:listItem w:displayText="Legal Assistance Policy Committee" w:value="Legal Assistance Policy Committee"/>
            <w:listItem w:displayText="Remuneration and Applications Committee" w:value="Remuneration and Applications Committee"/>
            <w:listItem w:displayText="Audit Committee" w:value="Audit Committee"/>
            <w:listItem w:displayText="Section 31 Committee" w:value="Section 31 Committee"/>
            <w:listItem w:displayText="Review Committee" w:value="Review Committee"/>
          </w:comboBox>
        </w:sdtPr>
        <w:sdtEndPr/>
        <w:sdtContent>
          <w:r w:rsidR="0023398F">
            <w:rPr>
              <w:lang w:val="en-US"/>
            </w:rPr>
            <w:t>The Board</w:t>
          </w:r>
        </w:sdtContent>
      </w:sdt>
    </w:p>
    <w:p w14:paraId="255F11C3" w14:textId="6EC59941" w:rsidR="006F4385" w:rsidRPr="006F4385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Meeting date:</w:t>
      </w:r>
      <w:r w:rsidR="00D35FED">
        <w:rPr>
          <w:lang w:val="en-US"/>
        </w:rPr>
        <w:tab/>
      </w:r>
      <w:r w:rsidR="00D35FED">
        <w:rPr>
          <w:lang w:val="en-US"/>
        </w:rPr>
        <w:tab/>
      </w:r>
      <w:r w:rsidR="0023398F">
        <w:t>3 December 2024</w:t>
      </w:r>
    </w:p>
    <w:p w14:paraId="4B3922AE" w14:textId="30F7A9EA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Report title</w:t>
      </w:r>
      <w:r w:rsidRPr="00D35FED">
        <w:rPr>
          <w:rStyle w:val="Strong"/>
        </w:rPr>
        <w:t>:</w:t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r w:rsidR="00624879">
        <w:t xml:space="preserve">Complaints Update </w:t>
      </w:r>
      <w:r w:rsidR="00CD19F5">
        <w:t>–</w:t>
      </w:r>
      <w:r w:rsidR="00624879">
        <w:t xml:space="preserve"> </w:t>
      </w:r>
      <w:r w:rsidR="00CD19F5">
        <w:t>Q1&amp;2 2024-25</w:t>
      </w:r>
    </w:p>
    <w:p w14:paraId="69F459EE" w14:textId="44FC10AC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Report category</w:t>
      </w:r>
      <w:r w:rsidRPr="00D35FED">
        <w:rPr>
          <w:rStyle w:val="Strong"/>
        </w:rPr>
        <w:t>:</w:t>
      </w:r>
      <w:r w:rsidR="00D35FED">
        <w:rPr>
          <w:rStyle w:val="Strong"/>
        </w:rPr>
        <w:tab/>
      </w:r>
      <w:r w:rsidR="00D35FED">
        <w:rPr>
          <w:rStyle w:val="Strong"/>
        </w:rPr>
        <w:tab/>
      </w:r>
      <w:sdt>
        <w:sdtPr>
          <w:rPr>
            <w:lang w:val="en-US"/>
          </w:rPr>
          <w:id w:val="833499362"/>
          <w:placeholder>
            <w:docPart w:val="C84CC7ED5A9D4111B94218E752547B5E"/>
          </w:placeholder>
          <w15:color w:val="000000"/>
          <w:comboBox>
            <w:listItem w:value="Choose an item."/>
            <w:listItem w:displayText="For information" w:value="For information"/>
            <w:listItem w:displayText="For decision" w:value="For decision"/>
            <w:listItem w:displayText="For discussion" w:value="For discussion"/>
          </w:comboBox>
        </w:sdtPr>
        <w:sdtEndPr/>
        <w:sdtContent>
          <w:r w:rsidR="0023398F">
            <w:rPr>
              <w:lang w:val="en-US"/>
            </w:rPr>
            <w:t>For information</w:t>
          </w:r>
        </w:sdtContent>
      </w:sdt>
    </w:p>
    <w:p w14:paraId="6C9372C0" w14:textId="66C4E45F" w:rsidR="00450AC2" w:rsidRPr="00D35FED" w:rsidRDefault="006F4385" w:rsidP="00CC679C">
      <w:pPr>
        <w:rPr>
          <w:rStyle w:val="Strong"/>
        </w:rPr>
      </w:pPr>
      <w:r w:rsidRPr="00D35FED">
        <w:rPr>
          <w:rStyle w:val="Strong"/>
          <w:lang w:val="en-US"/>
        </w:rPr>
        <w:t>Issue status: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sdt>
        <w:sdtPr>
          <w:rPr>
            <w:lang w:val="en-US"/>
          </w:rPr>
          <w:id w:val="-134107502"/>
          <w:placeholder>
            <w:docPart w:val="98F569BF096E4A30BB0C42E42B17AC01"/>
          </w:placeholder>
          <w15:color w:val="000000"/>
          <w:comboBox>
            <w:listItem w:value="Choose an item."/>
            <w:listItem w:displayText="Business as usual" w:value="Business as usual"/>
            <w:listItem w:displayText="Project business" w:value="Project business"/>
            <w:listItem w:displayText="Directorate project" w:value="Directorate project"/>
          </w:comboBox>
        </w:sdtPr>
        <w:sdtEndPr/>
        <w:sdtContent>
          <w:r w:rsidR="0023398F">
            <w:rPr>
              <w:lang w:val="en-US"/>
            </w:rPr>
            <w:t>Business as usual</w:t>
          </w:r>
        </w:sdtContent>
      </w:sdt>
    </w:p>
    <w:p w14:paraId="4D767592" w14:textId="6C2D66BD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Written by: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23398F">
        <w:rPr>
          <w:lang w:val="en-US"/>
        </w:rPr>
        <w:t>Stuart Drummond</w:t>
      </w:r>
    </w:p>
    <w:p w14:paraId="5489422C" w14:textId="73B53247" w:rsidR="006F4385" w:rsidRPr="00D35FED" w:rsidRDefault="006F4385" w:rsidP="00CC679C">
      <w:pPr>
        <w:rPr>
          <w:rStyle w:val="Strong"/>
          <w:lang w:val="en-US"/>
        </w:rPr>
      </w:pPr>
      <w:r w:rsidRPr="00D35FED">
        <w:rPr>
          <w:rStyle w:val="Strong"/>
          <w:lang w:val="en-US"/>
        </w:rPr>
        <w:t>Director responsible:</w:t>
      </w:r>
      <w:r w:rsidR="00D35FED">
        <w:rPr>
          <w:rStyle w:val="Strong"/>
          <w:lang w:val="en-US"/>
        </w:rPr>
        <w:tab/>
      </w:r>
      <w:sdt>
        <w:sdtPr>
          <w:rPr>
            <w:lang w:val="en-US"/>
          </w:rPr>
          <w:id w:val="412276126"/>
          <w:placeholder>
            <w:docPart w:val="FD79FEA7BB074DB8A574B16CDB58D5A4"/>
          </w:placeholder>
          <w15:color w:val="000000"/>
          <w:comboBox>
            <w:listItem w:value="Choose an item."/>
            <w:listItem w:displayText="Colin Lancaster" w:value="Colin Lancaster"/>
            <w:listItem w:displayText="Ian Dickson" w:value="Ian Dickson"/>
            <w:listItem w:displayText="Adam Ford" w:value="Adam Ford"/>
            <w:listItem w:displayText="Marie-Louise Fox" w:value="Marie-Louise Fox"/>
            <w:listItem w:displayText="Carolyn McLeod" w:value="Carolyn McLeod"/>
            <w:listItem w:displayText="Linda Ross" w:value="Linda Ross"/>
          </w:comboBox>
        </w:sdtPr>
        <w:sdtEndPr/>
        <w:sdtContent>
          <w:r w:rsidR="0023398F">
            <w:rPr>
              <w:lang w:val="en-US"/>
            </w:rPr>
            <w:t>Colin Lancaster</w:t>
          </w:r>
        </w:sdtContent>
      </w:sdt>
    </w:p>
    <w:p w14:paraId="30BC6D8C" w14:textId="5DD4B4DD" w:rsidR="006F4385" w:rsidRPr="00D35FED" w:rsidRDefault="006F4385" w:rsidP="00CC679C">
      <w:pPr>
        <w:rPr>
          <w:lang w:val="en-US"/>
        </w:rPr>
      </w:pPr>
      <w:r w:rsidRPr="00D35FED">
        <w:rPr>
          <w:rStyle w:val="Strong"/>
          <w:lang w:val="en-US"/>
        </w:rPr>
        <w:t>Presented by: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23398F">
        <w:rPr>
          <w:lang w:val="en-US"/>
        </w:rPr>
        <w:t>Andrew McIntosh</w:t>
      </w:r>
    </w:p>
    <w:p w14:paraId="3B1E108F" w14:textId="502A4C03" w:rsidR="006F4385" w:rsidRPr="00D35FED" w:rsidRDefault="006F4385" w:rsidP="00CC679C">
      <w:pPr>
        <w:rPr>
          <w:rStyle w:val="Strong"/>
          <w:b w:val="0"/>
          <w:bCs w:val="0"/>
        </w:rPr>
      </w:pPr>
      <w:r w:rsidRPr="00D35FED">
        <w:rPr>
          <w:rStyle w:val="Strong"/>
          <w:lang w:val="en-US"/>
        </w:rPr>
        <w:t>Contact details:</w:t>
      </w:r>
      <w:r w:rsidR="00D35FED">
        <w:rPr>
          <w:rStyle w:val="Strong"/>
          <w:lang w:val="en-US"/>
        </w:rPr>
        <w:tab/>
      </w:r>
      <w:r w:rsidR="00D35FED">
        <w:rPr>
          <w:rStyle w:val="Strong"/>
          <w:lang w:val="en-US"/>
        </w:rPr>
        <w:tab/>
      </w:r>
      <w:r w:rsidR="0023398F">
        <w:rPr>
          <w:lang w:val="en-US"/>
        </w:rPr>
        <w:t>drummondst@slab.org.uk</w:t>
      </w:r>
    </w:p>
    <w:p w14:paraId="4F22C819" w14:textId="7F72807B" w:rsidR="008316DC" w:rsidRPr="008316DC" w:rsidRDefault="00A16CB9" w:rsidP="008316DC">
      <w:pPr>
        <w:rPr>
          <w:rStyle w:val="Strong"/>
          <w:sz w:val="18"/>
          <w:szCs w:val="18"/>
          <w:lang w:val="en-US"/>
        </w:rPr>
      </w:pPr>
      <w:r w:rsidRPr="00A16CB9">
        <w:rPr>
          <w:rStyle w:val="Strong"/>
        </w:rPr>
        <w:t>Delivery of Strategic Objectives</w:t>
      </w:r>
      <w:r>
        <w:rPr>
          <w:rStyle w:val="Strong"/>
        </w:rPr>
        <w:br/>
      </w:r>
      <w:sdt>
        <w:sdtPr>
          <w:rPr>
            <w:lang w:val="en-US"/>
          </w:rPr>
          <w:id w:val="-1025477534"/>
          <w:placeholder>
            <w:docPart w:val="DCFEE3CBE30E4D8FB7FFC702090E9AD3"/>
          </w:placeholder>
          <w15:color w:val="000000"/>
          <w:comboBox>
            <w:listItem w:value="Strategic Objective"/>
            <w:listItem w:displayText="1 – Administration: Our timely, clear, and consistent decisions on legal aid applications and accounts deliver a positive customer experience." w:value="1 – Administration: Our timely, clear, and consistent decisions on legal aid applications and accounts deliver a positive customer experience."/>
            <w:listItem w:displayText="2 – Delivery: Our client legal services and targeted funding deliver high quality and accessible information, advice, and representation." w:value="2 – Delivery: Our client legal services and targeted funding deliver high quality and accessible information, advice, and representation."/>
            <w:listItem w:displayText="3 – Investing: We support our people to develop the skills and ways of working needed to deliver our mission, both now and in the future." w:value="3 – Investing: We support our people to develop the skills and ways of working needed to deliver our mission, both now and in the future."/>
            <w:listItem w:displayText="4 – Shaping: Our insightful, evidence-based and outcome-focused advice to Ministers supports their decision-making on the future of legal aid and SLAB." w:value="4 – Shaping: Our insightful, evidence-based and outcome-focused advice to Ministers supports their decision-making on the future of legal aid and SLAB."/>
          </w:comboBox>
        </w:sdtPr>
        <w:sdtEndPr/>
        <w:sdtContent>
          <w:r w:rsidR="0023398F" w:rsidRPr="008316DC">
            <w:rPr>
              <w:lang w:val="en-US"/>
            </w:rPr>
            <w:t>1 – Administration: Our timely, clear, and consistent decisions on legal aid applications and accounts deliver a positive customer experience.</w:t>
          </w:r>
        </w:sdtContent>
      </w:sdt>
      <w:r w:rsidR="00F14DC9" w:rsidRPr="008316DC">
        <w:rPr>
          <w:lang w:val="en-US"/>
        </w:rPr>
        <w:tab/>
      </w:r>
    </w:p>
    <w:p w14:paraId="4E5CC02B" w14:textId="5D5CE0A3" w:rsidR="00CC679C" w:rsidRPr="008316DC" w:rsidRDefault="00CC679C" w:rsidP="00CC679C">
      <w:pPr>
        <w:rPr>
          <w:b/>
          <w:bCs/>
          <w:lang w:val="en-US"/>
        </w:rPr>
      </w:pPr>
      <w:r w:rsidRPr="00CC679C">
        <w:rPr>
          <w:rStyle w:val="Strong"/>
          <w:lang w:val="en-US"/>
        </w:rPr>
        <w:t>Link to Board or Committee remit</w:t>
      </w:r>
      <w:r w:rsidRPr="00CC679C">
        <w:rPr>
          <w:rStyle w:val="Strong"/>
        </w:rPr>
        <w:t>:</w:t>
      </w:r>
      <w:r>
        <w:rPr>
          <w:lang w:val="en-US"/>
        </w:rPr>
        <w:tab/>
      </w:r>
      <w:r w:rsidR="00821617">
        <w:rPr>
          <w:lang w:val="en-US"/>
        </w:rPr>
        <w:br/>
      </w:r>
      <w:r w:rsidR="0023398F" w:rsidRPr="0023398F">
        <w:t xml:space="preserve">This paper is linked to the Board’s function of overseeing performance. </w:t>
      </w:r>
    </w:p>
    <w:p w14:paraId="541BE101" w14:textId="69A3F9BF" w:rsidR="00CC679C" w:rsidRPr="0023398F" w:rsidRDefault="00CC679C" w:rsidP="00CC679C">
      <w:pPr>
        <w:rPr>
          <w:rStyle w:val="Strong"/>
          <w:b w:val="0"/>
          <w:bCs w:val="0"/>
        </w:rPr>
      </w:pPr>
      <w:r w:rsidRPr="00CC679C">
        <w:rPr>
          <w:rStyle w:val="Strong"/>
        </w:rPr>
        <w:t>Link to Risk Management: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821617">
        <w:rPr>
          <w:rStyle w:val="Strong"/>
        </w:rPr>
        <w:br/>
      </w:r>
      <w:r w:rsidR="0023398F" w:rsidRPr="0023398F">
        <w:t>Complaints are an important way in which we can assess our service.</w:t>
      </w:r>
      <w:r w:rsidR="008316DC">
        <w:t xml:space="preserve"> Action taken in the </w:t>
      </w:r>
      <w:r w:rsidR="00D87ED2">
        <w:t xml:space="preserve">case </w:t>
      </w:r>
      <w:r w:rsidR="0023398F" w:rsidRPr="0023398F">
        <w:t>of upheld complaints is a key control for several risks that we face.</w:t>
      </w:r>
    </w:p>
    <w:p w14:paraId="10A69E34" w14:textId="1CCFF10E" w:rsidR="00CC679C" w:rsidRDefault="00CC679C" w:rsidP="00CC679C">
      <w:pPr>
        <w:rPr>
          <w:rStyle w:val="Strong"/>
        </w:rPr>
      </w:pPr>
      <w:r w:rsidRPr="00CC679C">
        <w:rPr>
          <w:rStyle w:val="Strong"/>
        </w:rPr>
        <w:t>Publication of the paper: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 w:rsidR="00821617">
        <w:rPr>
          <w:rStyle w:val="Strong"/>
        </w:rPr>
        <w:br/>
      </w:r>
      <w:r w:rsidR="0023398F" w:rsidRPr="0023398F">
        <w:t>This paper is suitable for publication. The information is not sensitive, and we are obligated to publish data on complaints under the SPSO model code.</w:t>
      </w:r>
      <w:r w:rsidRPr="00CC679C">
        <w:rPr>
          <w:rStyle w:val="Strong"/>
        </w:rPr>
        <w:tab/>
      </w:r>
    </w:p>
    <w:p w14:paraId="4589364B" w14:textId="75A6D16D" w:rsidR="00CC679C" w:rsidRPr="00AB4C34" w:rsidRDefault="00CC679C" w:rsidP="00CC679C">
      <w:pPr>
        <w:rPr>
          <w:b/>
          <w:bCs/>
        </w:rPr>
      </w:pPr>
      <w:r>
        <w:rPr>
          <w:rStyle w:val="Strong"/>
        </w:rPr>
        <w:t>Executive Summary:</w:t>
      </w:r>
      <w:r w:rsidR="00AB4C34">
        <w:rPr>
          <w:rStyle w:val="Strong"/>
        </w:rPr>
        <w:tab/>
      </w:r>
      <w:r w:rsidR="00AB4C34">
        <w:rPr>
          <w:rStyle w:val="Strong"/>
        </w:rPr>
        <w:tab/>
      </w:r>
      <w:r w:rsidR="00AB4C34">
        <w:rPr>
          <w:rStyle w:val="Strong"/>
        </w:rPr>
        <w:tab/>
      </w:r>
      <w:r w:rsidR="00F14DC9">
        <w:rPr>
          <w:rStyle w:val="Strong"/>
        </w:rPr>
        <w:br/>
      </w:r>
      <w:r w:rsidR="0023398F">
        <w:t>Overall complaint numbers remain low with no serious failings or systemic problems identified.</w:t>
      </w:r>
      <w:r w:rsidR="00CE3BB4">
        <w:t xml:space="preserve"> </w:t>
      </w:r>
    </w:p>
    <w:p w14:paraId="0A7A24E3" w14:textId="77777777" w:rsidR="00D87ED2" w:rsidRDefault="00CC679C" w:rsidP="00F14DC9">
      <w:r w:rsidRPr="00CC679C">
        <w:rPr>
          <w:rStyle w:val="Strong"/>
        </w:rPr>
        <w:t xml:space="preserve">Previous Consideration </w:t>
      </w:r>
      <w:r w:rsidRPr="00CC679C">
        <w:rPr>
          <w:rStyle w:val="Strong"/>
        </w:rPr>
        <w:br/>
        <w:t>Meeting:</w:t>
      </w:r>
      <w:r w:rsidRPr="00CC679C">
        <w:tab/>
      </w:r>
      <w:r w:rsidR="0023398F">
        <w:t>20 May 2024</w:t>
      </w:r>
      <w:r w:rsidRPr="00CC679C">
        <w:rPr>
          <w:rStyle w:val="Strong"/>
        </w:rPr>
        <w:br/>
        <w:t xml:space="preserve">Details: </w:t>
      </w:r>
      <w:r w:rsidRPr="00CC679C">
        <w:tab/>
      </w:r>
      <w:r w:rsidR="0023398F">
        <w:t xml:space="preserve">Members were presented with the Quarter 3 &amp; 4 update for the 2023-24 period. </w:t>
      </w:r>
      <w:r w:rsidR="00D87ED2">
        <w:t xml:space="preserve">    </w:t>
      </w:r>
    </w:p>
    <w:p w14:paraId="6F21C69B" w14:textId="6D052072" w:rsidR="00CC679C" w:rsidRPr="00042C78" w:rsidRDefault="00D87ED2" w:rsidP="00F14DC9">
      <w:pPr>
        <w:rPr>
          <w:rStyle w:val="Strong"/>
          <w:rFonts w:asciiTheme="majorHAnsi" w:hAnsiTheme="majorHAnsi"/>
          <w:b w:val="0"/>
          <w:bCs w:val="0"/>
          <w:color w:val="174DA3"/>
          <w:sz w:val="40"/>
        </w:rPr>
      </w:pPr>
      <w:r>
        <w:t xml:space="preserve">                             </w:t>
      </w:r>
      <w:r w:rsidR="0023398F">
        <w:t xml:space="preserve">Members noted the report. </w:t>
      </w:r>
    </w:p>
    <w:p w14:paraId="32EAA85E" w14:textId="3A01FA8D" w:rsidR="0023398F" w:rsidRDefault="00F14DC9" w:rsidP="00CD19F5">
      <w:pPr>
        <w:pStyle w:val="Heading1"/>
      </w:pPr>
      <w:r>
        <w:lastRenderedPageBreak/>
        <w:t>Report</w:t>
      </w:r>
    </w:p>
    <w:p w14:paraId="10D8B6E8" w14:textId="6C1E17FB" w:rsidR="00CD19F5" w:rsidRPr="0023398F" w:rsidRDefault="00CD19F5" w:rsidP="00CD19F5">
      <w:pPr>
        <w:pStyle w:val="Heading2"/>
        <w:rPr>
          <w:lang w:val="en-US"/>
        </w:rPr>
      </w:pPr>
      <w:r>
        <w:rPr>
          <w:lang w:val="en-US"/>
        </w:rPr>
        <w:t>Background</w:t>
      </w:r>
    </w:p>
    <w:p w14:paraId="04B2AB77" w14:textId="6BCE4B07" w:rsidR="0023398F" w:rsidRPr="0023398F" w:rsidRDefault="0023398F" w:rsidP="003B2EA7">
      <w:r w:rsidRPr="0023398F">
        <w:t xml:space="preserve">This report covers </w:t>
      </w:r>
      <w:r w:rsidR="00CD19F5">
        <w:t>closed</w:t>
      </w:r>
      <w:r w:rsidRPr="0023398F">
        <w:t xml:space="preserve"> complaints for the period </w:t>
      </w:r>
      <w:r w:rsidR="00D87ED2">
        <w:t xml:space="preserve">starting </w:t>
      </w:r>
      <w:r>
        <w:t>April 2024</w:t>
      </w:r>
      <w:r w:rsidRPr="0023398F">
        <w:t xml:space="preserve"> to</w:t>
      </w:r>
      <w:r w:rsidR="00D87ED2">
        <w:t xml:space="preserve"> the </w:t>
      </w:r>
      <w:r w:rsidR="003B2EA7">
        <w:t>end of</w:t>
      </w:r>
      <w:r w:rsidRPr="0023398F">
        <w:t xml:space="preserve"> </w:t>
      </w:r>
      <w:r>
        <w:t>September 2024</w:t>
      </w:r>
      <w:r w:rsidRPr="0023398F">
        <w:t xml:space="preserve"> (quarters </w:t>
      </w:r>
      <w:r w:rsidR="00CD19F5">
        <w:t>one</w:t>
      </w:r>
      <w:r w:rsidRPr="0023398F">
        <w:t xml:space="preserve"> and </w:t>
      </w:r>
      <w:r w:rsidR="00CD19F5">
        <w:t>two</w:t>
      </w:r>
      <w:r w:rsidRPr="0023398F">
        <w:t xml:space="preserve">). </w:t>
      </w:r>
    </w:p>
    <w:p w14:paraId="2986ACFB" w14:textId="312F41A3" w:rsidR="0023398F" w:rsidRPr="0023398F" w:rsidRDefault="0023398F" w:rsidP="003B2EA7">
      <w:r w:rsidRPr="0023398F">
        <w:rPr>
          <w:b/>
          <w:bCs/>
        </w:rPr>
        <w:t>Table 5</w:t>
      </w:r>
      <w:r w:rsidRPr="0023398F">
        <w:t xml:space="preserve"> appended shows the number of </w:t>
      </w:r>
      <w:r w:rsidR="008B33F7">
        <w:t>closed</w:t>
      </w:r>
      <w:r w:rsidRPr="0023398F">
        <w:t xml:space="preserve"> complaints across previous quarters to allow a quarter by quarter comparison. </w:t>
      </w:r>
    </w:p>
    <w:p w14:paraId="5444D02E" w14:textId="6C3E0069" w:rsidR="0023398F" w:rsidRPr="0023398F" w:rsidRDefault="0023398F" w:rsidP="003B2EA7">
      <w:pPr>
        <w:rPr>
          <w:b/>
          <w:bCs/>
        </w:rPr>
      </w:pPr>
      <w:r w:rsidRPr="0023398F">
        <w:rPr>
          <w:b/>
          <w:bCs/>
        </w:rPr>
        <w:t>Frontline complaints</w:t>
      </w:r>
      <w:r w:rsidRPr="0023398F">
        <w:t xml:space="preserve"> are those that are straightforward and easily resolved with little or no investigation required. These complaints have a response deadline of 5 working days.</w:t>
      </w:r>
    </w:p>
    <w:p w14:paraId="7C2A12EB" w14:textId="6CEAE5CE" w:rsidR="0023398F" w:rsidRDefault="0023398F" w:rsidP="003B2EA7">
      <w:r w:rsidRPr="0023398F">
        <w:rPr>
          <w:b/>
          <w:bCs/>
        </w:rPr>
        <w:t>Investigation complaints</w:t>
      </w:r>
      <w:r w:rsidRPr="0023398F">
        <w:t xml:space="preserve"> are those that have not been resolved at the frontline or for issues that require investigation and may be serious, complex or high risk. These complaints have a response deadline of 20 working days.</w:t>
      </w:r>
    </w:p>
    <w:p w14:paraId="0C2EFB2A" w14:textId="54262E43" w:rsidR="00835F26" w:rsidRPr="00CE3BB4" w:rsidRDefault="00835F26" w:rsidP="003B2EA7">
      <w:pPr>
        <w:rPr>
          <w:b/>
          <w:bCs/>
        </w:rPr>
      </w:pPr>
      <w:r>
        <w:t xml:space="preserve">In addition to recording whether a complaint has been “upheld” or “not upheld” the SPSO </w:t>
      </w:r>
      <w:r w:rsidR="00706678">
        <w:t xml:space="preserve">introduced a further category of “resolved”. </w:t>
      </w:r>
      <w:r w:rsidR="00AD3381" w:rsidRPr="00AD3381">
        <w:t>According to the SPSO, a complaint is considered resolved when both the customer and the organization agree on a course of action to fully resolve the issue. This agreement does not require a decision on whether the complaint was upheld or not.</w:t>
      </w:r>
    </w:p>
    <w:p w14:paraId="6A822A2B" w14:textId="41E41AB9" w:rsidR="0083014B" w:rsidRPr="0083014B" w:rsidRDefault="0083014B" w:rsidP="00CE3BB4">
      <w:pPr>
        <w:pStyle w:val="Heading1"/>
      </w:pPr>
      <w:r w:rsidRPr="0083014B">
        <w:t xml:space="preserve">Frontline complaints </w:t>
      </w:r>
      <w:r w:rsidR="00CE3BB4">
        <w:t>closed</w:t>
      </w:r>
    </w:p>
    <w:p w14:paraId="7BDCF714" w14:textId="7B7C8337" w:rsidR="003B2EA7" w:rsidRDefault="0083014B" w:rsidP="00E73213">
      <w:pPr>
        <w:pStyle w:val="Heading2"/>
      </w:pPr>
      <w:r w:rsidRPr="0083014B">
        <w:t xml:space="preserve">Quarter </w:t>
      </w:r>
      <w:r>
        <w:t>1</w:t>
      </w:r>
      <w:r w:rsidRPr="0083014B">
        <w:t xml:space="preserve">, </w:t>
      </w:r>
      <w:r>
        <w:t>April to June 2024</w:t>
      </w:r>
    </w:p>
    <w:p w14:paraId="3839D53B" w14:textId="77777777" w:rsidR="00E73213" w:rsidRPr="00E73213" w:rsidRDefault="00E73213" w:rsidP="00E73213"/>
    <w:p w14:paraId="1BFC63A5" w14:textId="5481350C" w:rsidR="0083014B" w:rsidRPr="0083014B" w:rsidRDefault="0083014B" w:rsidP="003B2EA7">
      <w:r w:rsidRPr="0083014B">
        <w:t xml:space="preserve">See </w:t>
      </w:r>
      <w:r w:rsidRPr="0083014B">
        <w:rPr>
          <w:b/>
          <w:bCs/>
        </w:rPr>
        <w:t>Table 1</w:t>
      </w:r>
      <w:r w:rsidRPr="0083014B">
        <w:t xml:space="preserve"> appended.</w:t>
      </w:r>
    </w:p>
    <w:p w14:paraId="3C877820" w14:textId="764D6078" w:rsidR="0083014B" w:rsidRPr="0083014B" w:rsidRDefault="0083014B" w:rsidP="003B2EA7">
      <w:r w:rsidRPr="0083014B">
        <w:t xml:space="preserve">In quarter </w:t>
      </w:r>
      <w:r>
        <w:t>1</w:t>
      </w:r>
      <w:r w:rsidRPr="0083014B">
        <w:t xml:space="preserve"> there were a total of </w:t>
      </w:r>
      <w:r w:rsidR="00AF5DF4">
        <w:t xml:space="preserve">six </w:t>
      </w:r>
      <w:r w:rsidR="008B33F7">
        <w:t>closed</w:t>
      </w:r>
      <w:r w:rsidRPr="0083014B">
        <w:t xml:space="preserve"> frontline complaints.</w:t>
      </w:r>
      <w:r w:rsidR="00AF5DF4">
        <w:t xml:space="preserve"> Of these, two were partially upheld. </w:t>
      </w:r>
    </w:p>
    <w:p w14:paraId="34182C88" w14:textId="2F6E7900" w:rsidR="0083014B" w:rsidRDefault="008E5B5C" w:rsidP="008E5B5C">
      <w:pPr>
        <w:pStyle w:val="Heading2"/>
      </w:pPr>
      <w:r w:rsidRPr="008E5B5C">
        <w:t xml:space="preserve">Quarter 1 Partially Upheld </w:t>
      </w:r>
      <w:r w:rsidR="00377557">
        <w:t xml:space="preserve">Frontline </w:t>
      </w:r>
      <w:r w:rsidRPr="008E5B5C">
        <w:t>Complaints</w:t>
      </w:r>
    </w:p>
    <w:p w14:paraId="0846A6A7" w14:textId="77777777" w:rsidR="008B33F7" w:rsidRPr="008B33F7" w:rsidRDefault="008B33F7" w:rsidP="008B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1882"/>
        <w:gridCol w:w="2506"/>
        <w:gridCol w:w="2589"/>
      </w:tblGrid>
      <w:tr w:rsidR="008E5B5C" w:rsidRPr="008E5B5C" w14:paraId="7C868017" w14:textId="77777777">
        <w:tc>
          <w:tcPr>
            <w:tcW w:w="2345" w:type="dxa"/>
          </w:tcPr>
          <w:p w14:paraId="71C5908E" w14:textId="77777777" w:rsidR="008E5B5C" w:rsidRPr="008E5B5C" w:rsidRDefault="008E5B5C" w:rsidP="008E5B5C">
            <w:pPr>
              <w:spacing w:after="160" w:line="259" w:lineRule="auto"/>
              <w:rPr>
                <w:b/>
              </w:rPr>
            </w:pPr>
          </w:p>
        </w:tc>
        <w:tc>
          <w:tcPr>
            <w:tcW w:w="1882" w:type="dxa"/>
          </w:tcPr>
          <w:p w14:paraId="434790F8" w14:textId="77777777" w:rsidR="008E5B5C" w:rsidRPr="008E5B5C" w:rsidRDefault="008E5B5C" w:rsidP="008E5B5C">
            <w:pPr>
              <w:spacing w:after="160" w:line="259" w:lineRule="auto"/>
              <w:rPr>
                <w:b/>
              </w:rPr>
            </w:pPr>
            <w:r w:rsidRPr="008E5B5C">
              <w:rPr>
                <w:b/>
              </w:rPr>
              <w:t>Complainer</w:t>
            </w:r>
          </w:p>
        </w:tc>
        <w:tc>
          <w:tcPr>
            <w:tcW w:w="2506" w:type="dxa"/>
          </w:tcPr>
          <w:p w14:paraId="2B915DD3" w14:textId="77777777" w:rsidR="008E5B5C" w:rsidRPr="008E5B5C" w:rsidRDefault="008E5B5C" w:rsidP="008E5B5C">
            <w:pPr>
              <w:spacing w:after="160" w:line="259" w:lineRule="auto"/>
              <w:rPr>
                <w:b/>
              </w:rPr>
            </w:pPr>
            <w:r w:rsidRPr="008E5B5C">
              <w:rPr>
                <w:b/>
              </w:rPr>
              <w:t>Department</w:t>
            </w:r>
          </w:p>
        </w:tc>
        <w:tc>
          <w:tcPr>
            <w:tcW w:w="2589" w:type="dxa"/>
          </w:tcPr>
          <w:p w14:paraId="02C9386E" w14:textId="77777777" w:rsidR="008E5B5C" w:rsidRPr="008E5B5C" w:rsidRDefault="008E5B5C" w:rsidP="008E5B5C">
            <w:pPr>
              <w:spacing w:after="160" w:line="259" w:lineRule="auto"/>
              <w:rPr>
                <w:b/>
              </w:rPr>
            </w:pPr>
            <w:r w:rsidRPr="008E5B5C">
              <w:rPr>
                <w:b/>
              </w:rPr>
              <w:t>Complaint Category</w:t>
            </w:r>
          </w:p>
        </w:tc>
      </w:tr>
      <w:tr w:rsidR="008E5B5C" w:rsidRPr="008E5B5C" w14:paraId="302E390F" w14:textId="77777777">
        <w:tc>
          <w:tcPr>
            <w:tcW w:w="2345" w:type="dxa"/>
          </w:tcPr>
          <w:p w14:paraId="4EECF209" w14:textId="77777777" w:rsidR="008E5B5C" w:rsidRPr="008E5B5C" w:rsidRDefault="008E5B5C" w:rsidP="008E5B5C">
            <w:pPr>
              <w:spacing w:after="160" w:line="259" w:lineRule="auto"/>
            </w:pPr>
            <w:r w:rsidRPr="008E5B5C">
              <w:t>Complaint A</w:t>
            </w:r>
          </w:p>
        </w:tc>
        <w:tc>
          <w:tcPr>
            <w:tcW w:w="1882" w:type="dxa"/>
          </w:tcPr>
          <w:p w14:paraId="730E219A" w14:textId="77777777" w:rsidR="008E5B5C" w:rsidRPr="008E5B5C" w:rsidRDefault="008E5B5C" w:rsidP="008E5B5C">
            <w:pPr>
              <w:spacing w:after="160" w:line="259" w:lineRule="auto"/>
            </w:pPr>
            <w:r w:rsidRPr="008E5B5C">
              <w:t>Solicitor</w:t>
            </w:r>
          </w:p>
        </w:tc>
        <w:tc>
          <w:tcPr>
            <w:tcW w:w="2506" w:type="dxa"/>
          </w:tcPr>
          <w:p w14:paraId="002C0517" w14:textId="77777777" w:rsidR="008E5B5C" w:rsidRPr="008E5B5C" w:rsidRDefault="008E5B5C" w:rsidP="008E5B5C">
            <w:pPr>
              <w:spacing w:after="160" w:line="259" w:lineRule="auto"/>
            </w:pPr>
            <w:r w:rsidRPr="008E5B5C">
              <w:t>Civil Applications</w:t>
            </w:r>
          </w:p>
        </w:tc>
        <w:tc>
          <w:tcPr>
            <w:tcW w:w="2589" w:type="dxa"/>
          </w:tcPr>
          <w:p w14:paraId="33CBE573" w14:textId="45BC883F" w:rsidR="008E5B5C" w:rsidRPr="008E5B5C" w:rsidRDefault="008E5B5C" w:rsidP="008E5B5C">
            <w:pPr>
              <w:spacing w:after="160" w:line="259" w:lineRule="auto"/>
            </w:pPr>
            <w:r>
              <w:t>Poor Communication or standard of service</w:t>
            </w:r>
          </w:p>
        </w:tc>
      </w:tr>
      <w:tr w:rsidR="008E5B5C" w:rsidRPr="008E5B5C" w14:paraId="48CE058F" w14:textId="77777777">
        <w:tc>
          <w:tcPr>
            <w:tcW w:w="2345" w:type="dxa"/>
          </w:tcPr>
          <w:p w14:paraId="35801FA3" w14:textId="348820F1" w:rsidR="008E5B5C" w:rsidRPr="008E5B5C" w:rsidRDefault="008E5B5C" w:rsidP="008E5B5C">
            <w:r>
              <w:t>Complaint B</w:t>
            </w:r>
          </w:p>
        </w:tc>
        <w:tc>
          <w:tcPr>
            <w:tcW w:w="1882" w:type="dxa"/>
          </w:tcPr>
          <w:p w14:paraId="0F4A86FC" w14:textId="1A79D2CE" w:rsidR="008E5B5C" w:rsidRPr="008E5B5C" w:rsidRDefault="008E5B5C" w:rsidP="008E5B5C">
            <w:r>
              <w:t>Solicitor</w:t>
            </w:r>
          </w:p>
        </w:tc>
        <w:tc>
          <w:tcPr>
            <w:tcW w:w="2506" w:type="dxa"/>
          </w:tcPr>
          <w:p w14:paraId="39293210" w14:textId="1323245B" w:rsidR="008E5B5C" w:rsidRPr="008E5B5C" w:rsidRDefault="008E5B5C" w:rsidP="008E5B5C">
            <w:r>
              <w:t>Civil Applications</w:t>
            </w:r>
          </w:p>
        </w:tc>
        <w:tc>
          <w:tcPr>
            <w:tcW w:w="2589" w:type="dxa"/>
          </w:tcPr>
          <w:p w14:paraId="22BCF3CB" w14:textId="77777777" w:rsidR="008E5B5C" w:rsidRDefault="008E5B5C" w:rsidP="008E5B5C">
            <w:r>
              <w:t>Procedure/Technical</w:t>
            </w:r>
          </w:p>
          <w:p w14:paraId="7C725258" w14:textId="77A4600A" w:rsidR="003B2EA7" w:rsidRPr="008E5B5C" w:rsidRDefault="003B2EA7" w:rsidP="008E5B5C"/>
        </w:tc>
      </w:tr>
    </w:tbl>
    <w:p w14:paraId="22BFCDDC" w14:textId="77777777" w:rsidR="008E5B5C" w:rsidRPr="0083014B" w:rsidRDefault="008E5B5C" w:rsidP="0083014B"/>
    <w:p w14:paraId="1A5391DC" w14:textId="684DEE47" w:rsidR="008E5B5C" w:rsidRPr="00D40934" w:rsidRDefault="00D40934" w:rsidP="003B2EA7">
      <w:pPr>
        <w:rPr>
          <w:b/>
          <w:bCs/>
        </w:rPr>
      </w:pPr>
      <w:r>
        <w:t xml:space="preserve">Complaint A referred to a minor administrative error where an email referred to an attachment that was not included. In the event the attachment was not </w:t>
      </w:r>
      <w:r w:rsidR="00F85094">
        <w:t>required,</w:t>
      </w:r>
      <w:r>
        <w:t xml:space="preserve"> and the original email should have been sent without any reference to an attachment. An apology was issued. </w:t>
      </w:r>
    </w:p>
    <w:p w14:paraId="4EADD380" w14:textId="78FD34C5" w:rsidR="008E5B5C" w:rsidRPr="003B2EA7" w:rsidRDefault="00D40934" w:rsidP="003B2EA7">
      <w:pPr>
        <w:rPr>
          <w:b/>
          <w:bCs/>
        </w:rPr>
      </w:pPr>
      <w:r>
        <w:t xml:space="preserve">Complaint B involved a technical issue with legal aid online where the amendment of a category code was refused. An apology was issued and </w:t>
      </w:r>
      <w:r w:rsidR="008B33F7">
        <w:t xml:space="preserve">the procedure with legal aid online was clarified with the solicitor. There was no underlying technical problem identified. </w:t>
      </w:r>
    </w:p>
    <w:p w14:paraId="6DCDCEC1" w14:textId="77777777" w:rsidR="00E73213" w:rsidRDefault="00E73213" w:rsidP="008B33F7">
      <w:pPr>
        <w:pStyle w:val="Heading2"/>
      </w:pPr>
    </w:p>
    <w:p w14:paraId="1E712D22" w14:textId="1DB61845" w:rsidR="0083014B" w:rsidRPr="0083014B" w:rsidRDefault="0083014B" w:rsidP="008B33F7">
      <w:pPr>
        <w:pStyle w:val="Heading2"/>
      </w:pPr>
      <w:r w:rsidRPr="0083014B">
        <w:t xml:space="preserve">Quarter </w:t>
      </w:r>
      <w:r w:rsidRPr="008B33F7">
        <w:t>2</w:t>
      </w:r>
      <w:r w:rsidRPr="0083014B">
        <w:t xml:space="preserve">, </w:t>
      </w:r>
      <w:r w:rsidRPr="008B33F7">
        <w:t>July</w:t>
      </w:r>
      <w:r w:rsidRPr="0083014B">
        <w:t xml:space="preserve"> to </w:t>
      </w:r>
      <w:r w:rsidRPr="008B33F7">
        <w:t>September</w:t>
      </w:r>
      <w:r w:rsidRPr="0083014B">
        <w:t xml:space="preserve"> 2024</w:t>
      </w:r>
    </w:p>
    <w:p w14:paraId="76DD2F04" w14:textId="77777777" w:rsidR="0083014B" w:rsidRPr="0083014B" w:rsidRDefault="0083014B" w:rsidP="0083014B">
      <w:pPr>
        <w:rPr>
          <w:b/>
          <w:bCs/>
        </w:rPr>
      </w:pPr>
    </w:p>
    <w:p w14:paraId="213B3C9C" w14:textId="3E43C71C" w:rsidR="0083014B" w:rsidRPr="0083014B" w:rsidRDefault="0083014B" w:rsidP="003B2EA7">
      <w:r w:rsidRPr="0083014B">
        <w:t xml:space="preserve">See </w:t>
      </w:r>
      <w:r w:rsidRPr="0083014B">
        <w:rPr>
          <w:b/>
        </w:rPr>
        <w:t>Table 2</w:t>
      </w:r>
      <w:r w:rsidRPr="0083014B">
        <w:t xml:space="preserve"> appended.</w:t>
      </w:r>
    </w:p>
    <w:p w14:paraId="6F9EEE9E" w14:textId="4EF8B445" w:rsidR="005D51E9" w:rsidRDefault="0083014B" w:rsidP="003B2EA7">
      <w:r w:rsidRPr="0083014B">
        <w:t xml:space="preserve">In quarter </w:t>
      </w:r>
      <w:r>
        <w:t>2</w:t>
      </w:r>
      <w:r w:rsidRPr="0083014B">
        <w:t xml:space="preserve"> there was </w:t>
      </w:r>
      <w:r w:rsidR="008B33F7">
        <w:t>one</w:t>
      </w:r>
      <w:r w:rsidRPr="0083014B">
        <w:t xml:space="preserve"> frontline complaint </w:t>
      </w:r>
      <w:r w:rsidR="008B33F7">
        <w:t>closed</w:t>
      </w:r>
      <w:r w:rsidRPr="0083014B">
        <w:t xml:space="preserve">. </w:t>
      </w:r>
      <w:r w:rsidR="008B33F7">
        <w:t xml:space="preserve">It was not upheld and resolved. </w:t>
      </w:r>
    </w:p>
    <w:p w14:paraId="0A0EAA10" w14:textId="21B68F26" w:rsidR="005D51E9" w:rsidRDefault="00377557" w:rsidP="00377557">
      <w:pPr>
        <w:pStyle w:val="Heading1"/>
      </w:pPr>
      <w:r>
        <w:t>Investigation Complaint</w:t>
      </w:r>
      <w:r w:rsidR="00316338">
        <w:t>s</w:t>
      </w:r>
      <w:r>
        <w:t xml:space="preserve"> </w:t>
      </w:r>
      <w:r w:rsidR="00CE3BB4">
        <w:t>Closed</w:t>
      </w:r>
    </w:p>
    <w:p w14:paraId="2FA2E86F" w14:textId="52886793" w:rsidR="00377557" w:rsidRDefault="00377557" w:rsidP="003B2EA7">
      <w:pPr>
        <w:pStyle w:val="Heading2"/>
      </w:pPr>
      <w:r w:rsidRPr="00377557">
        <w:t>Quarter 1, April to June 2024</w:t>
      </w:r>
    </w:p>
    <w:p w14:paraId="7F684B63" w14:textId="77777777" w:rsidR="003B2EA7" w:rsidRPr="003B2EA7" w:rsidRDefault="003B2EA7" w:rsidP="003B2EA7"/>
    <w:p w14:paraId="72A113C4" w14:textId="19FB11A9" w:rsidR="005D51E9" w:rsidRDefault="00377557" w:rsidP="003B2EA7">
      <w:r>
        <w:t xml:space="preserve">See </w:t>
      </w:r>
      <w:r w:rsidRPr="00377557">
        <w:rPr>
          <w:b/>
          <w:bCs/>
        </w:rPr>
        <w:t>Table 3</w:t>
      </w:r>
      <w:r>
        <w:t xml:space="preserve"> appended. </w:t>
      </w:r>
    </w:p>
    <w:p w14:paraId="104D2422" w14:textId="39645CD1" w:rsidR="00377557" w:rsidRDefault="00377557" w:rsidP="003B2EA7">
      <w:r>
        <w:t xml:space="preserve">In quarter 1 there </w:t>
      </w:r>
      <w:r w:rsidR="00422DF5">
        <w:t>were</w:t>
      </w:r>
      <w:r>
        <w:t xml:space="preserve"> 11 frontline complaints closed. Of these, one was upheld and two were partially upheld. </w:t>
      </w:r>
    </w:p>
    <w:p w14:paraId="66F93AD8" w14:textId="5D1A3656" w:rsidR="00377557" w:rsidRDefault="00377557" w:rsidP="00377557">
      <w:pPr>
        <w:pStyle w:val="Heading2"/>
      </w:pPr>
      <w:r>
        <w:t>Quarter 1 Upheld Investigation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1882"/>
        <w:gridCol w:w="2506"/>
        <w:gridCol w:w="2589"/>
      </w:tblGrid>
      <w:tr w:rsidR="00377557" w:rsidRPr="00377557" w14:paraId="6E72699F" w14:textId="77777777">
        <w:tc>
          <w:tcPr>
            <w:tcW w:w="2345" w:type="dxa"/>
          </w:tcPr>
          <w:p w14:paraId="0386882C" w14:textId="77777777" w:rsidR="00377557" w:rsidRPr="00377557" w:rsidRDefault="00377557" w:rsidP="00377557">
            <w:pPr>
              <w:spacing w:after="160" w:line="259" w:lineRule="auto"/>
              <w:rPr>
                <w:b/>
              </w:rPr>
            </w:pPr>
          </w:p>
        </w:tc>
        <w:tc>
          <w:tcPr>
            <w:tcW w:w="1882" w:type="dxa"/>
          </w:tcPr>
          <w:p w14:paraId="5B22A66C" w14:textId="77777777" w:rsidR="00377557" w:rsidRPr="00377557" w:rsidRDefault="00377557" w:rsidP="00377557">
            <w:pPr>
              <w:spacing w:after="160" w:line="259" w:lineRule="auto"/>
              <w:rPr>
                <w:b/>
              </w:rPr>
            </w:pPr>
            <w:r w:rsidRPr="00377557">
              <w:rPr>
                <w:b/>
              </w:rPr>
              <w:t>Complainer</w:t>
            </w:r>
          </w:p>
        </w:tc>
        <w:tc>
          <w:tcPr>
            <w:tcW w:w="2506" w:type="dxa"/>
          </w:tcPr>
          <w:p w14:paraId="5B575E0A" w14:textId="77777777" w:rsidR="00377557" w:rsidRPr="00377557" w:rsidRDefault="00377557" w:rsidP="00377557">
            <w:pPr>
              <w:spacing w:after="160" w:line="259" w:lineRule="auto"/>
              <w:rPr>
                <w:b/>
              </w:rPr>
            </w:pPr>
            <w:r w:rsidRPr="00377557">
              <w:rPr>
                <w:b/>
              </w:rPr>
              <w:t>Department</w:t>
            </w:r>
          </w:p>
        </w:tc>
        <w:tc>
          <w:tcPr>
            <w:tcW w:w="2589" w:type="dxa"/>
          </w:tcPr>
          <w:p w14:paraId="41BF998C" w14:textId="77777777" w:rsidR="00377557" w:rsidRPr="00377557" w:rsidRDefault="00377557" w:rsidP="00377557">
            <w:pPr>
              <w:spacing w:after="160" w:line="259" w:lineRule="auto"/>
              <w:rPr>
                <w:b/>
              </w:rPr>
            </w:pPr>
            <w:r w:rsidRPr="00377557">
              <w:rPr>
                <w:b/>
              </w:rPr>
              <w:t>Complaint Category</w:t>
            </w:r>
          </w:p>
        </w:tc>
      </w:tr>
      <w:tr w:rsidR="00377557" w:rsidRPr="00377557" w14:paraId="28775104" w14:textId="77777777">
        <w:tc>
          <w:tcPr>
            <w:tcW w:w="2345" w:type="dxa"/>
          </w:tcPr>
          <w:p w14:paraId="364AE9D4" w14:textId="53EE5045" w:rsidR="00377557" w:rsidRPr="00377557" w:rsidRDefault="00377557" w:rsidP="00377557">
            <w:pPr>
              <w:spacing w:after="160" w:line="259" w:lineRule="auto"/>
            </w:pPr>
            <w:r w:rsidRPr="00377557">
              <w:t xml:space="preserve">Complaint </w:t>
            </w:r>
            <w:r w:rsidR="00422DF5">
              <w:t>C</w:t>
            </w:r>
          </w:p>
        </w:tc>
        <w:tc>
          <w:tcPr>
            <w:tcW w:w="1882" w:type="dxa"/>
          </w:tcPr>
          <w:p w14:paraId="72F94799" w14:textId="6C5FE878" w:rsidR="00377557" w:rsidRPr="00377557" w:rsidRDefault="00377557" w:rsidP="00377557">
            <w:pPr>
              <w:spacing w:after="160" w:line="259" w:lineRule="auto"/>
            </w:pPr>
            <w:r>
              <w:t>Other</w:t>
            </w:r>
          </w:p>
        </w:tc>
        <w:tc>
          <w:tcPr>
            <w:tcW w:w="2506" w:type="dxa"/>
          </w:tcPr>
          <w:p w14:paraId="603CB3C3" w14:textId="390157FE" w:rsidR="00377557" w:rsidRPr="00377557" w:rsidRDefault="00377557" w:rsidP="00377557">
            <w:pPr>
              <w:spacing w:after="160" w:line="259" w:lineRule="auto"/>
            </w:pPr>
            <w:r>
              <w:t xml:space="preserve">Legal Services Technical </w:t>
            </w:r>
          </w:p>
        </w:tc>
        <w:tc>
          <w:tcPr>
            <w:tcW w:w="2589" w:type="dxa"/>
          </w:tcPr>
          <w:p w14:paraId="13C9315C" w14:textId="1FB8780E" w:rsidR="00377557" w:rsidRPr="00377557" w:rsidRDefault="00377557" w:rsidP="00377557">
            <w:pPr>
              <w:spacing w:after="160" w:line="259" w:lineRule="auto"/>
            </w:pPr>
            <w:r w:rsidRPr="00377557">
              <w:t xml:space="preserve">Poor Communication or </w:t>
            </w:r>
            <w:r w:rsidR="007809C4">
              <w:t>S</w:t>
            </w:r>
            <w:r w:rsidRPr="00377557">
              <w:t xml:space="preserve">tandard of </w:t>
            </w:r>
            <w:r w:rsidR="007809C4">
              <w:t>S</w:t>
            </w:r>
            <w:r w:rsidRPr="00377557">
              <w:t>ervice</w:t>
            </w:r>
          </w:p>
        </w:tc>
      </w:tr>
    </w:tbl>
    <w:p w14:paraId="5AB8ABFC" w14:textId="77777777" w:rsidR="00377557" w:rsidRPr="00377557" w:rsidRDefault="00377557" w:rsidP="00377557"/>
    <w:p w14:paraId="57992976" w14:textId="598504E6" w:rsidR="005D51E9" w:rsidRDefault="00377557" w:rsidP="003B2EA7">
      <w:r>
        <w:t xml:space="preserve">Complaint </w:t>
      </w:r>
      <w:r w:rsidR="00422DF5">
        <w:t>C</w:t>
      </w:r>
      <w:r>
        <w:t xml:space="preserve"> referred to a delay in </w:t>
      </w:r>
      <w:r w:rsidR="007809C4">
        <w:t xml:space="preserve">providing a decision on accounts that had been submitted to </w:t>
      </w:r>
      <w:r w:rsidR="003B2EA7">
        <w:t>us</w:t>
      </w:r>
      <w:r w:rsidR="007809C4">
        <w:t xml:space="preserve"> in connection with a firm of solicitors</w:t>
      </w:r>
      <w:r w:rsidR="30CD9B00">
        <w:t xml:space="preserve"> that had gone into liquidation</w:t>
      </w:r>
      <w:r w:rsidR="007809C4">
        <w:t xml:space="preserve">. The delay in the decision on the accounts was causing delays with the liquidation process. We accepted that there had been undue </w:t>
      </w:r>
      <w:proofErr w:type="gramStart"/>
      <w:r w:rsidR="007809C4">
        <w:t>delay</w:t>
      </w:r>
      <w:proofErr w:type="gramEnd"/>
      <w:r w:rsidR="007809C4">
        <w:t xml:space="preserve"> and a full apology was issued and the matter relating to the accounts was resolved. </w:t>
      </w:r>
    </w:p>
    <w:p w14:paraId="1290B251" w14:textId="391ABC3B" w:rsidR="007809C4" w:rsidRDefault="007809C4" w:rsidP="007809C4">
      <w:pPr>
        <w:pStyle w:val="Heading2"/>
      </w:pPr>
      <w:r>
        <w:t>Quarter 1 Partially Upheld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1882"/>
        <w:gridCol w:w="2506"/>
        <w:gridCol w:w="2589"/>
      </w:tblGrid>
      <w:tr w:rsidR="007809C4" w:rsidRPr="007809C4" w14:paraId="07053FD2" w14:textId="77777777">
        <w:tc>
          <w:tcPr>
            <w:tcW w:w="2345" w:type="dxa"/>
          </w:tcPr>
          <w:p w14:paraId="255F5443" w14:textId="77777777" w:rsidR="007809C4" w:rsidRPr="007809C4" w:rsidRDefault="007809C4" w:rsidP="007809C4">
            <w:pPr>
              <w:spacing w:after="160" w:line="259" w:lineRule="auto"/>
              <w:rPr>
                <w:b/>
              </w:rPr>
            </w:pPr>
          </w:p>
        </w:tc>
        <w:tc>
          <w:tcPr>
            <w:tcW w:w="1882" w:type="dxa"/>
          </w:tcPr>
          <w:p w14:paraId="55306089" w14:textId="77777777" w:rsidR="007809C4" w:rsidRPr="007809C4" w:rsidRDefault="007809C4" w:rsidP="007809C4">
            <w:pPr>
              <w:spacing w:after="160" w:line="259" w:lineRule="auto"/>
              <w:rPr>
                <w:b/>
              </w:rPr>
            </w:pPr>
            <w:r w:rsidRPr="007809C4">
              <w:rPr>
                <w:b/>
              </w:rPr>
              <w:t>Complainer</w:t>
            </w:r>
          </w:p>
        </w:tc>
        <w:tc>
          <w:tcPr>
            <w:tcW w:w="2506" w:type="dxa"/>
          </w:tcPr>
          <w:p w14:paraId="3BF44B93" w14:textId="77777777" w:rsidR="007809C4" w:rsidRPr="007809C4" w:rsidRDefault="007809C4" w:rsidP="007809C4">
            <w:pPr>
              <w:spacing w:after="160" w:line="259" w:lineRule="auto"/>
              <w:rPr>
                <w:b/>
              </w:rPr>
            </w:pPr>
            <w:r w:rsidRPr="007809C4">
              <w:rPr>
                <w:b/>
              </w:rPr>
              <w:t>Department</w:t>
            </w:r>
          </w:p>
        </w:tc>
        <w:tc>
          <w:tcPr>
            <w:tcW w:w="2589" w:type="dxa"/>
          </w:tcPr>
          <w:p w14:paraId="26041E25" w14:textId="77777777" w:rsidR="007809C4" w:rsidRPr="007809C4" w:rsidRDefault="007809C4" w:rsidP="007809C4">
            <w:pPr>
              <w:spacing w:after="160" w:line="259" w:lineRule="auto"/>
              <w:rPr>
                <w:b/>
              </w:rPr>
            </w:pPr>
            <w:r w:rsidRPr="007809C4">
              <w:rPr>
                <w:b/>
              </w:rPr>
              <w:t>Complaint Category</w:t>
            </w:r>
          </w:p>
        </w:tc>
      </w:tr>
      <w:tr w:rsidR="007809C4" w:rsidRPr="007809C4" w14:paraId="6E6069D8" w14:textId="77777777">
        <w:tc>
          <w:tcPr>
            <w:tcW w:w="2345" w:type="dxa"/>
          </w:tcPr>
          <w:p w14:paraId="6F6E0E9D" w14:textId="4C9A4274" w:rsidR="007809C4" w:rsidRPr="007809C4" w:rsidRDefault="007809C4" w:rsidP="007809C4">
            <w:pPr>
              <w:spacing w:after="160" w:line="259" w:lineRule="auto"/>
            </w:pPr>
            <w:r w:rsidRPr="007809C4">
              <w:t xml:space="preserve">Complaint </w:t>
            </w:r>
            <w:r w:rsidR="00422DF5">
              <w:t>D</w:t>
            </w:r>
          </w:p>
        </w:tc>
        <w:tc>
          <w:tcPr>
            <w:tcW w:w="1882" w:type="dxa"/>
          </w:tcPr>
          <w:p w14:paraId="6C338722" w14:textId="00DCF18D" w:rsidR="007809C4" w:rsidRPr="007809C4" w:rsidRDefault="007809C4" w:rsidP="007809C4">
            <w:pPr>
              <w:spacing w:after="160" w:line="259" w:lineRule="auto"/>
            </w:pPr>
            <w:r>
              <w:t>Applicant</w:t>
            </w:r>
          </w:p>
        </w:tc>
        <w:tc>
          <w:tcPr>
            <w:tcW w:w="2506" w:type="dxa"/>
          </w:tcPr>
          <w:p w14:paraId="0FD404FD" w14:textId="6B58A791" w:rsidR="007809C4" w:rsidRPr="007809C4" w:rsidRDefault="007809C4" w:rsidP="007809C4">
            <w:pPr>
              <w:spacing w:after="160" w:line="259" w:lineRule="auto"/>
            </w:pPr>
            <w:r>
              <w:t>Civil Applications</w:t>
            </w:r>
            <w:r w:rsidRPr="007809C4">
              <w:t xml:space="preserve"> </w:t>
            </w:r>
          </w:p>
        </w:tc>
        <w:tc>
          <w:tcPr>
            <w:tcW w:w="2589" w:type="dxa"/>
          </w:tcPr>
          <w:p w14:paraId="53D00519" w14:textId="1C4DB3E2" w:rsidR="007809C4" w:rsidRPr="007809C4" w:rsidRDefault="007809C4" w:rsidP="007809C4">
            <w:pPr>
              <w:spacing w:after="160" w:line="259" w:lineRule="auto"/>
            </w:pPr>
            <w:r>
              <w:t xml:space="preserve">Dissatisfaction with SLAB Policy or Procedures </w:t>
            </w:r>
          </w:p>
        </w:tc>
      </w:tr>
      <w:tr w:rsidR="007809C4" w:rsidRPr="007809C4" w14:paraId="6885B4AA" w14:textId="77777777">
        <w:tc>
          <w:tcPr>
            <w:tcW w:w="2345" w:type="dxa"/>
          </w:tcPr>
          <w:p w14:paraId="5C5F282B" w14:textId="3A992F65" w:rsidR="007809C4" w:rsidRPr="007809C4" w:rsidRDefault="007809C4" w:rsidP="007809C4">
            <w:r>
              <w:t xml:space="preserve">Complaint </w:t>
            </w:r>
            <w:r w:rsidR="00422DF5">
              <w:t>E</w:t>
            </w:r>
          </w:p>
        </w:tc>
        <w:tc>
          <w:tcPr>
            <w:tcW w:w="1882" w:type="dxa"/>
          </w:tcPr>
          <w:p w14:paraId="4994E811" w14:textId="4700D205" w:rsidR="007809C4" w:rsidRPr="007809C4" w:rsidRDefault="007809C4" w:rsidP="007809C4">
            <w:r>
              <w:t>Other</w:t>
            </w:r>
          </w:p>
        </w:tc>
        <w:tc>
          <w:tcPr>
            <w:tcW w:w="2506" w:type="dxa"/>
          </w:tcPr>
          <w:p w14:paraId="7097A3F9" w14:textId="716384E0" w:rsidR="007809C4" w:rsidRPr="007809C4" w:rsidRDefault="007809C4" w:rsidP="007809C4">
            <w:r>
              <w:t xml:space="preserve">Civil Applications </w:t>
            </w:r>
          </w:p>
        </w:tc>
        <w:tc>
          <w:tcPr>
            <w:tcW w:w="2589" w:type="dxa"/>
          </w:tcPr>
          <w:p w14:paraId="047A7275" w14:textId="473237B2" w:rsidR="007809C4" w:rsidRPr="007809C4" w:rsidRDefault="007809C4" w:rsidP="007809C4">
            <w:r w:rsidRPr="00377557">
              <w:t xml:space="preserve">Poor Communication or </w:t>
            </w:r>
            <w:r w:rsidRPr="007809C4">
              <w:t>S</w:t>
            </w:r>
            <w:r w:rsidRPr="00377557">
              <w:t xml:space="preserve">tandard of </w:t>
            </w:r>
            <w:r w:rsidRPr="007809C4">
              <w:t>S</w:t>
            </w:r>
            <w:r w:rsidRPr="00377557">
              <w:t>ervice</w:t>
            </w:r>
          </w:p>
        </w:tc>
      </w:tr>
    </w:tbl>
    <w:p w14:paraId="108817F1" w14:textId="77777777" w:rsidR="007809C4" w:rsidRDefault="007809C4" w:rsidP="007809C4"/>
    <w:p w14:paraId="58F80AF4" w14:textId="79C390EF" w:rsidR="007809C4" w:rsidRDefault="00E65FF1" w:rsidP="00D35E4D">
      <w:r>
        <w:t xml:space="preserve">Complaint </w:t>
      </w:r>
      <w:r w:rsidR="00422DF5">
        <w:t>D</w:t>
      </w:r>
      <w:r>
        <w:t xml:space="preserve"> involved an allegation of sexism in the suspension of legal aid</w:t>
      </w:r>
      <w:r w:rsidR="2FAC4F73">
        <w:t xml:space="preserve"> for a divorce case</w:t>
      </w:r>
      <w:r>
        <w:t>.</w:t>
      </w:r>
      <w:r w:rsidR="0D746C8A">
        <w:t xml:space="preserve"> The complainer was of the view the decision made </w:t>
      </w:r>
      <w:r w:rsidR="2EDA08A8">
        <w:t xml:space="preserve">to </w:t>
      </w:r>
      <w:r w:rsidR="4FB51819">
        <w:t xml:space="preserve">suspend </w:t>
      </w:r>
      <w:r w:rsidR="2EDA08A8">
        <w:t xml:space="preserve">legal aid was based </w:t>
      </w:r>
      <w:r w:rsidR="3A033AC1">
        <w:t>on him being male</w:t>
      </w:r>
      <w:r w:rsidR="2EDA08A8">
        <w:t>.</w:t>
      </w:r>
      <w:r>
        <w:t xml:space="preserve"> The sexism aspect of the complaint was not upheld as all the relevant tests had been applied correctly without discrimination. However, due to a misunderstanding with the applicant’s solicitor</w:t>
      </w:r>
      <w:r w:rsidR="00D35E4D">
        <w:t>,</w:t>
      </w:r>
      <w:r>
        <w:t xml:space="preserve"> legal aid had been suspended. </w:t>
      </w:r>
      <w:r w:rsidR="00E74C6A">
        <w:t>We</w:t>
      </w:r>
      <w:r>
        <w:t xml:space="preserve"> upheld that aspect of the complaint and</w:t>
      </w:r>
      <w:r w:rsidR="00E74C6A">
        <w:t>,</w:t>
      </w:r>
      <w:r>
        <w:t xml:space="preserve"> in addition to </w:t>
      </w:r>
      <w:r w:rsidR="006D37B9">
        <w:t>reinstating legal aid</w:t>
      </w:r>
      <w:r w:rsidR="00E74C6A">
        <w:t>,</w:t>
      </w:r>
      <w:r w:rsidR="006D37B9">
        <w:t xml:space="preserve"> an apology was issued to the complainer. </w:t>
      </w:r>
    </w:p>
    <w:p w14:paraId="5A5D3C00" w14:textId="446007AF" w:rsidR="007B5275" w:rsidRDefault="00E74C6A" w:rsidP="00D35E4D">
      <w:r>
        <w:t xml:space="preserve">Complaint </w:t>
      </w:r>
      <w:r w:rsidR="00422DF5">
        <w:t>E</w:t>
      </w:r>
      <w:r>
        <w:t xml:space="preserve"> was in relation to our communications</w:t>
      </w:r>
      <w:r w:rsidR="00422DF5">
        <w:t xml:space="preserve"> about an application for legal assistance</w:t>
      </w:r>
      <w:r>
        <w:t>. The complainer found o</w:t>
      </w:r>
      <w:r w:rsidR="00ED5D45">
        <w:t>u</w:t>
      </w:r>
      <w:r>
        <w:t xml:space="preserve">r communication unclear and was not sure what the grant of legal aid covered. </w:t>
      </w:r>
      <w:r>
        <w:lastRenderedPageBreak/>
        <w:t xml:space="preserve">The complaint </w:t>
      </w:r>
      <w:r w:rsidR="00ED5D45">
        <w:t>involved</w:t>
      </w:r>
      <w:r>
        <w:t xml:space="preserve"> a complex case and while there had been no mishandling on </w:t>
      </w:r>
      <w:r w:rsidR="0013114B">
        <w:t xml:space="preserve">our part, </w:t>
      </w:r>
      <w:r>
        <w:t xml:space="preserve">it was accepted that things could have been more clearly explained. The complainer – an </w:t>
      </w:r>
      <w:r w:rsidR="00422DF5">
        <w:t>opponent’s</w:t>
      </w:r>
      <w:r>
        <w:t xml:space="preserve"> solicitor – was provided </w:t>
      </w:r>
      <w:r w:rsidR="00766698">
        <w:t xml:space="preserve">with a </w:t>
      </w:r>
      <w:r>
        <w:t xml:space="preserve">chronology of the case </w:t>
      </w:r>
      <w:r w:rsidR="00766698">
        <w:t xml:space="preserve">including an explanation of what had been granted and when. </w:t>
      </w:r>
    </w:p>
    <w:p w14:paraId="3FBA37BA" w14:textId="0A898FC5" w:rsidR="006D37B9" w:rsidRDefault="00766698" w:rsidP="0013114B">
      <w:r>
        <w:t xml:space="preserve">A particular technical issue involving the refusal of an amendment application when it contains craves was highlighted as a particular source of confusion and we recognised that such an issue could be considered for the re-write of the application system to avoid future confusion. </w:t>
      </w:r>
      <w:r w:rsidR="00E74C6A">
        <w:t xml:space="preserve"> </w:t>
      </w:r>
    </w:p>
    <w:p w14:paraId="0EF1EB8E" w14:textId="2097BBCD" w:rsidR="006D37B9" w:rsidRDefault="00CE3BB4" w:rsidP="00CE3BB4">
      <w:pPr>
        <w:pStyle w:val="Heading2"/>
      </w:pPr>
      <w:r w:rsidRPr="0083014B">
        <w:t xml:space="preserve">Quarter </w:t>
      </w:r>
      <w:r w:rsidRPr="008B33F7">
        <w:t>2</w:t>
      </w:r>
      <w:r w:rsidRPr="0083014B">
        <w:t xml:space="preserve">, </w:t>
      </w:r>
      <w:r w:rsidRPr="008B33F7">
        <w:t>July</w:t>
      </w:r>
      <w:r w:rsidRPr="0083014B">
        <w:t xml:space="preserve"> to </w:t>
      </w:r>
      <w:r w:rsidRPr="008B33F7">
        <w:t>September</w:t>
      </w:r>
      <w:r w:rsidRPr="0083014B">
        <w:t xml:space="preserve"> 2024</w:t>
      </w:r>
    </w:p>
    <w:p w14:paraId="412C3C21" w14:textId="77777777" w:rsidR="000F20B0" w:rsidRDefault="00CE3BB4" w:rsidP="0004473A">
      <w:r>
        <w:t>In quarter 2 there were 3 investigation complaints closed. None were upheld.</w:t>
      </w:r>
    </w:p>
    <w:p w14:paraId="41353508" w14:textId="648AD3B3" w:rsidR="73F570C1" w:rsidRDefault="73F570C1" w:rsidP="4E1FE3B4">
      <w:pPr>
        <w:pStyle w:val="Heading1"/>
      </w:pPr>
      <w:r>
        <w:t>Child Friendly Complaints Process</w:t>
      </w:r>
    </w:p>
    <w:p w14:paraId="7ED54521" w14:textId="4B84D84C" w:rsidR="05BFEB49" w:rsidRDefault="05BFEB49" w:rsidP="4E1FE3B4">
      <w:r w:rsidRPr="4E1FE3B4">
        <w:t xml:space="preserve">The SPSO has published a child friendly complaints process intended to provide best practice guidance on how to deliver the Model Complaints Handling Procedure in a way that meets children’s rights under the UNCRC.  </w:t>
      </w:r>
    </w:p>
    <w:p w14:paraId="4AFBEEC1" w14:textId="7F3F1986" w:rsidR="05BFEB49" w:rsidRDefault="05BFEB49" w:rsidP="4E1FE3B4">
      <w:r w:rsidRPr="4E1FE3B4">
        <w:t xml:space="preserve">We </w:t>
      </w:r>
      <w:r w:rsidR="3364DAA1" w:rsidRPr="4E1FE3B4">
        <w:t>ar</w:t>
      </w:r>
      <w:r w:rsidRPr="4E1FE3B4">
        <w:t xml:space="preserve">e incorporating this process into our current complaints handling process, which is closely follows the SPSO’s Model Complaints Handling Procedure. </w:t>
      </w:r>
    </w:p>
    <w:p w14:paraId="62D576F8" w14:textId="6353C897" w:rsidR="05BFEB49" w:rsidRDefault="05BFEB49" w:rsidP="4E1FE3B4">
      <w:r w:rsidRPr="4E1FE3B4">
        <w:t xml:space="preserve">The process should be used whenever a child is involved in a complaint. This is when: </w:t>
      </w:r>
    </w:p>
    <w:p w14:paraId="0C960877" w14:textId="0D9EA057" w:rsidR="05BFEB49" w:rsidRPr="00EE2092" w:rsidRDefault="05BFEB49" w:rsidP="00EE2092">
      <w:pPr>
        <w:pStyle w:val="ListParagraph"/>
        <w:numPr>
          <w:ilvl w:val="0"/>
          <w:numId w:val="16"/>
        </w:numPr>
        <w:ind w:left="567"/>
      </w:pPr>
      <w:r w:rsidRPr="00EE2092">
        <w:t>A child raises a complaint directly.</w:t>
      </w:r>
    </w:p>
    <w:p w14:paraId="4A65EB2B" w14:textId="00C58641" w:rsidR="05BFEB49" w:rsidRPr="00EE2092" w:rsidRDefault="05BFEB49" w:rsidP="00EE2092">
      <w:pPr>
        <w:pStyle w:val="ListParagraph"/>
        <w:numPr>
          <w:ilvl w:val="0"/>
          <w:numId w:val="16"/>
        </w:numPr>
        <w:ind w:left="567"/>
      </w:pPr>
      <w:r w:rsidRPr="00EE2092">
        <w:t xml:space="preserve">An adult raises a complaint at the request of a child. </w:t>
      </w:r>
    </w:p>
    <w:p w14:paraId="7C6FEED2" w14:textId="27A78623" w:rsidR="05BFEB49" w:rsidRPr="00EE2092" w:rsidRDefault="05BFEB49" w:rsidP="00EE2092">
      <w:pPr>
        <w:pStyle w:val="ListParagraph"/>
        <w:numPr>
          <w:ilvl w:val="0"/>
          <w:numId w:val="16"/>
        </w:numPr>
        <w:ind w:left="567"/>
      </w:pPr>
      <w:r w:rsidRPr="00EE2092">
        <w:t>An adult raises a complaint about matters which affect a child.</w:t>
      </w:r>
    </w:p>
    <w:p w14:paraId="2512888C" w14:textId="35B9CCA2" w:rsidR="05BFEB49" w:rsidRDefault="05BFEB49" w:rsidP="4E1FE3B4">
      <w:r w:rsidRPr="4E1FE3B4">
        <w:t xml:space="preserve">We anticipate very few complaints involving a child and if we do it is likely that that they would be an adult raising a complaint about a matter involving a child. </w:t>
      </w:r>
      <w:r w:rsidRPr="4E1FE3B4">
        <w:rPr>
          <w:rFonts w:ascii="Aptos" w:eastAsia="Aptos" w:hAnsi="Aptos" w:cs="Aptos"/>
          <w:szCs w:val="24"/>
        </w:rPr>
        <w:t xml:space="preserve"> </w:t>
      </w:r>
    </w:p>
    <w:p w14:paraId="0B7F8D12" w14:textId="17D791EA" w:rsidR="05BFEB49" w:rsidRDefault="05BFEB49" w:rsidP="4E1FE3B4">
      <w:r w:rsidRPr="4E1FE3B4">
        <w:rPr>
          <w:rFonts w:ascii="Aptos" w:eastAsia="Aptos" w:hAnsi="Aptos" w:cs="Aptos"/>
          <w:szCs w:val="24"/>
        </w:rPr>
        <w:t xml:space="preserve">That said, we cannot rule out the possibility that a </w:t>
      </w:r>
      <w:r w:rsidRPr="4E1FE3B4">
        <w:t>greater</w:t>
      </w:r>
      <w:r w:rsidRPr="4E1FE3B4">
        <w:rPr>
          <w:rFonts w:ascii="Aptos" w:eastAsia="Aptos" w:hAnsi="Aptos" w:cs="Aptos"/>
          <w:szCs w:val="24"/>
        </w:rPr>
        <w:t xml:space="preserve"> awareness of a child friendly complaints process will increase the number of complaints involving a child.</w:t>
      </w:r>
    </w:p>
    <w:p w14:paraId="377D2C34" w14:textId="026353BA" w:rsidR="000F20B0" w:rsidRDefault="000F20B0" w:rsidP="000F20B0">
      <w:pPr>
        <w:pStyle w:val="Heading1"/>
      </w:pPr>
      <w:r>
        <w:t>Conclusion</w:t>
      </w:r>
    </w:p>
    <w:p w14:paraId="43BC87AA" w14:textId="198AFF28" w:rsidR="007809C4" w:rsidRDefault="000F20B0" w:rsidP="0004473A">
      <w:r>
        <w:t xml:space="preserve">Complaint numbers </w:t>
      </w:r>
      <w:r w:rsidR="0004473A">
        <w:t>were</w:t>
      </w:r>
      <w:r>
        <w:t xml:space="preserve"> low</w:t>
      </w:r>
      <w:r w:rsidR="0004473A">
        <w:t xml:space="preserve"> in the reporting period.</w:t>
      </w:r>
      <w:r>
        <w:t xml:space="preserve"> </w:t>
      </w:r>
      <w:r w:rsidR="00CE3BB4">
        <w:t xml:space="preserve"> </w:t>
      </w:r>
    </w:p>
    <w:p w14:paraId="2C53FF94" w14:textId="24DCBD13" w:rsidR="000F20B0" w:rsidRDefault="000F20B0" w:rsidP="0004473A">
      <w:r>
        <w:t xml:space="preserve">Of the complaints that were upheld or partially upheld, most of these were </w:t>
      </w:r>
      <w:r w:rsidR="0004473A">
        <w:t>because of</w:t>
      </w:r>
      <w:r>
        <w:t xml:space="preserve"> minor errors.</w:t>
      </w:r>
    </w:p>
    <w:p w14:paraId="72BD2E09" w14:textId="2AB3184A" w:rsidR="000F20B0" w:rsidRDefault="000F20B0" w:rsidP="0004473A">
      <w:r>
        <w:t xml:space="preserve">A technical issue was identified </w:t>
      </w:r>
      <w:r w:rsidR="0004473A">
        <w:t>because of</w:t>
      </w:r>
      <w:r>
        <w:t xml:space="preserve"> one complaint and an undertaking was made to address this as part of a rewrite of the applications system. </w:t>
      </w:r>
    </w:p>
    <w:p w14:paraId="039E8832" w14:textId="09E44F00" w:rsidR="00CE3BB4" w:rsidRPr="0004473A" w:rsidRDefault="00515B8E" w:rsidP="007809C4">
      <w:pPr>
        <w:rPr>
          <w:rStyle w:val="Heading1Char"/>
          <w:rFonts w:asciiTheme="minorHAnsi" w:eastAsiaTheme="minorHAnsi" w:hAnsiTheme="minorHAnsi" w:cstheme="minorBidi"/>
          <w:b w:val="0"/>
          <w:color w:val="auto"/>
          <w:sz w:val="24"/>
          <w:szCs w:val="22"/>
          <w:lang w:val="en-GB"/>
        </w:rPr>
      </w:pPr>
      <w:r>
        <w:t xml:space="preserve">Work will begin shortly to migrate our complaints handling process from JIRA to </w:t>
      </w:r>
      <w:proofErr w:type="spellStart"/>
      <w:r w:rsidR="001B5206">
        <w:t>eCase</w:t>
      </w:r>
      <w:proofErr w:type="spellEnd"/>
      <w:r w:rsidR="001B5206">
        <w:t xml:space="preserve">, which has a better user interface than JIRA and should simplify and improve the recording of complaints. </w:t>
      </w:r>
    </w:p>
    <w:p w14:paraId="716181F4" w14:textId="368FEEB9" w:rsidR="00AB4C34" w:rsidRDefault="00AB4C34" w:rsidP="00AB4C34">
      <w:pPr>
        <w:rPr>
          <w:rStyle w:val="SubtleEmphasis"/>
          <w:lang w:val="en-US"/>
        </w:rPr>
      </w:pPr>
      <w:r w:rsidRPr="005277D3">
        <w:rPr>
          <w:rStyle w:val="Heading1Char"/>
        </w:rPr>
        <w:t>Governance links</w:t>
      </w:r>
      <w:r w:rsidRPr="00AB4C34">
        <w:rPr>
          <w:rStyle w:val="Strong"/>
          <w:lang w:val="en-US"/>
        </w:rPr>
        <w:t xml:space="preserve"> </w:t>
      </w:r>
      <w:r>
        <w:rPr>
          <w:rStyle w:val="Strong"/>
          <w:lang w:val="en-US"/>
        </w:rPr>
        <w:br/>
      </w:r>
      <w:r w:rsidRPr="00AB4C34">
        <w:rPr>
          <w:rStyle w:val="SubtleEmphasis"/>
          <w:lang w:val="en-US"/>
        </w:rPr>
        <w:t>Any relevant information linked to key heads of corporate governance</w:t>
      </w:r>
      <w:r>
        <w:rPr>
          <w:rStyle w:val="SubtleEmphasis"/>
          <w:lang w:val="en-US"/>
        </w:rPr>
        <w:t>.</w:t>
      </w:r>
    </w:p>
    <w:p w14:paraId="2AA65F69" w14:textId="41F9C190" w:rsidR="00AB4C34" w:rsidRPr="00AB4C34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 xml:space="preserve">Finance and resources </w:t>
      </w:r>
      <w:r w:rsidRPr="00AB4C34">
        <w:rPr>
          <w:rStyle w:val="SubtleEmphasis"/>
          <w:b/>
          <w:bCs/>
          <w:i w:val="0"/>
          <w:iCs w:val="0"/>
          <w:lang w:val="en-US"/>
        </w:rPr>
        <w:tab/>
      </w:r>
      <w:r w:rsidRPr="00AB4C34">
        <w:rPr>
          <w:rStyle w:val="SubtleEmphasis"/>
          <w:b/>
          <w:bCs/>
          <w:i w:val="0"/>
          <w:iCs w:val="0"/>
          <w:lang w:val="en-US"/>
        </w:rPr>
        <w:tab/>
      </w:r>
      <w:r w:rsidRPr="00AB4C34">
        <w:rPr>
          <w:rStyle w:val="SubtleEmphasis"/>
          <w:b/>
          <w:bCs/>
          <w:i w:val="0"/>
          <w:iCs w:val="0"/>
          <w:lang w:val="en-US"/>
        </w:rPr>
        <w:tab/>
      </w:r>
      <w:r>
        <w:rPr>
          <w:rStyle w:val="SubtleEmphasis"/>
          <w:b/>
          <w:bCs/>
          <w:i w:val="0"/>
          <w:iCs w:val="0"/>
          <w:lang w:val="en-US"/>
        </w:rPr>
        <w:br/>
      </w:r>
      <w:r>
        <w:t>N/A.</w:t>
      </w:r>
    </w:p>
    <w:p w14:paraId="435268D4" w14:textId="4D8B5EBC" w:rsidR="00AB4C34" w:rsidRPr="004E1A5B" w:rsidRDefault="00AB4C34" w:rsidP="004E1A5B">
      <w:pPr>
        <w:pStyle w:val="ListParagraph"/>
        <w:numPr>
          <w:ilvl w:val="0"/>
          <w:numId w:val="7"/>
        </w:numPr>
        <w:rPr>
          <w:rStyle w:val="SubtleEmphasis"/>
          <w:i w:val="0"/>
          <w:iCs w:val="0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lastRenderedPageBreak/>
        <w:t>Risk</w:t>
      </w:r>
      <w:r w:rsidRPr="00AB4C34">
        <w:rPr>
          <w:rStyle w:val="SubtleEmphasis"/>
          <w:b/>
          <w:bCs/>
          <w:i w:val="0"/>
          <w:iCs w:val="0"/>
          <w:lang w:val="en-US"/>
        </w:rPr>
        <w:tab/>
      </w:r>
      <w:r>
        <w:rPr>
          <w:rStyle w:val="SubtleEmphasis"/>
          <w:b/>
          <w:bCs/>
          <w:i w:val="0"/>
          <w:iCs w:val="0"/>
          <w:lang w:val="en-US"/>
        </w:rPr>
        <w:br/>
      </w:r>
      <w:r w:rsidR="004E1A5B" w:rsidRPr="004E1A5B">
        <w:t>Complaints are an important way in which we can assess our service. Acting because of upheld complaints is a key control for several risks that we face.</w:t>
      </w:r>
    </w:p>
    <w:p w14:paraId="6FA85DF9" w14:textId="1ABCDDDF" w:rsidR="00AB4C34" w:rsidRPr="004E1A5B" w:rsidRDefault="00AB4C34" w:rsidP="004E1A5B">
      <w:pPr>
        <w:pStyle w:val="ListParagraph"/>
        <w:numPr>
          <w:ilvl w:val="0"/>
          <w:numId w:val="7"/>
        </w:numPr>
        <w:rPr>
          <w:rStyle w:val="SubtleEmphasis"/>
          <w:i w:val="0"/>
          <w:iCs w:val="0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Legal and compliance</w:t>
      </w:r>
      <w:r>
        <w:rPr>
          <w:rStyle w:val="SubtleEmphasis"/>
          <w:b/>
          <w:bCs/>
          <w:i w:val="0"/>
          <w:iCs w:val="0"/>
          <w:lang w:val="en-US"/>
        </w:rPr>
        <w:br/>
      </w:r>
      <w:r w:rsidR="004E1A5B" w:rsidRPr="004E1A5B">
        <w:t xml:space="preserve">Our complaints handling procedure follows a mandatory model supplied by the Scottish Public Services Ombudsman. </w:t>
      </w:r>
    </w:p>
    <w:p w14:paraId="4329765E" w14:textId="5A987D24" w:rsidR="00AB4C34" w:rsidRPr="00AB4C34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Performance</w:t>
      </w:r>
      <w:r>
        <w:rPr>
          <w:rStyle w:val="SubtleEmphasis"/>
          <w:b/>
          <w:bCs/>
          <w:i w:val="0"/>
          <w:iCs w:val="0"/>
          <w:lang w:val="en-US"/>
        </w:rPr>
        <w:br/>
      </w:r>
      <w:r>
        <w:t>N/A.</w:t>
      </w:r>
    </w:p>
    <w:p w14:paraId="31F36A62" w14:textId="2705B2B5" w:rsidR="00AB4C34" w:rsidRPr="00AB4C34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Equalities impact</w:t>
      </w:r>
      <w:r>
        <w:rPr>
          <w:rStyle w:val="SubtleEmphasis"/>
          <w:b/>
          <w:bCs/>
          <w:i w:val="0"/>
          <w:iCs w:val="0"/>
          <w:lang w:val="en-US"/>
        </w:rPr>
        <w:br/>
      </w:r>
      <w:r>
        <w:t>N/A.</w:t>
      </w:r>
    </w:p>
    <w:p w14:paraId="13BBA661" w14:textId="20A5A16C" w:rsidR="00AB4C34" w:rsidRPr="00AB4C34" w:rsidRDefault="00AB4C34" w:rsidP="00AB4C34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AB4C34">
        <w:rPr>
          <w:rStyle w:val="SubtleEmphasis"/>
          <w:b/>
          <w:bCs/>
          <w:i w:val="0"/>
          <w:iCs w:val="0"/>
          <w:lang w:val="en-US"/>
        </w:rPr>
        <w:t>Privacy impact and data protection</w:t>
      </w:r>
      <w:r>
        <w:rPr>
          <w:rStyle w:val="SubtleEmphasis"/>
          <w:b/>
          <w:bCs/>
          <w:i w:val="0"/>
          <w:iCs w:val="0"/>
          <w:lang w:val="en-US"/>
        </w:rPr>
        <w:br/>
      </w:r>
      <w:r>
        <w:t>N/A.</w:t>
      </w:r>
    </w:p>
    <w:p w14:paraId="27EFF332" w14:textId="5A83B04B" w:rsidR="00AB4C34" w:rsidRPr="004E1A5B" w:rsidRDefault="00AB4C34" w:rsidP="004E1A5B">
      <w:pPr>
        <w:pStyle w:val="ListParagraph"/>
        <w:numPr>
          <w:ilvl w:val="0"/>
          <w:numId w:val="7"/>
        </w:numPr>
      </w:pPr>
      <w:r w:rsidRPr="00AB4C34">
        <w:rPr>
          <w:rStyle w:val="SubtleEmphasis"/>
          <w:b/>
          <w:bCs/>
          <w:i w:val="0"/>
          <w:iCs w:val="0"/>
          <w:lang w:val="en-US"/>
        </w:rPr>
        <w:t>Communications and engagement</w:t>
      </w:r>
      <w:r>
        <w:rPr>
          <w:rStyle w:val="SubtleEmphasis"/>
          <w:b/>
          <w:bCs/>
          <w:i w:val="0"/>
          <w:iCs w:val="0"/>
          <w:lang w:val="en-US"/>
        </w:rPr>
        <w:br/>
      </w:r>
      <w:r w:rsidR="004E1A5B" w:rsidRPr="004E1A5B">
        <w:t>This paper will be published as part of our ongoing commitment to publish board papers.</w:t>
      </w:r>
    </w:p>
    <w:p w14:paraId="1A03E8EA" w14:textId="230B1614" w:rsidR="00AB4C34" w:rsidRDefault="00AB4C34" w:rsidP="005277D3">
      <w:pPr>
        <w:pStyle w:val="Heading1"/>
      </w:pPr>
      <w:r>
        <w:t xml:space="preserve">Conclusion and next steps </w:t>
      </w:r>
    </w:p>
    <w:p w14:paraId="23CB836C" w14:textId="77777777" w:rsidR="004E1A5B" w:rsidRPr="004E1A5B" w:rsidRDefault="004E1A5B" w:rsidP="004E1A5B">
      <w:pPr>
        <w:pStyle w:val="ListParagraph"/>
        <w:numPr>
          <w:ilvl w:val="0"/>
          <w:numId w:val="7"/>
        </w:numPr>
      </w:pPr>
      <w:r w:rsidRPr="004E1A5B">
        <w:t xml:space="preserve">Members are asked to note and comment on the report. </w:t>
      </w:r>
    </w:p>
    <w:p w14:paraId="3DCE1E92" w14:textId="77777777" w:rsidR="008F2467" w:rsidRDefault="008F2467" w:rsidP="005277D3">
      <w:pPr>
        <w:pStyle w:val="Heading1"/>
        <w:sectPr w:rsidR="008F2467" w:rsidSect="00114434"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2CA4F9" w14:textId="4E2B2668" w:rsidR="00AB4C34" w:rsidRDefault="00AB4C34" w:rsidP="005277D3">
      <w:pPr>
        <w:pStyle w:val="Heading1"/>
      </w:pPr>
      <w:r>
        <w:lastRenderedPageBreak/>
        <w:t>Appendix and/or further reading links</w:t>
      </w:r>
    </w:p>
    <w:p w14:paraId="402FC1F6" w14:textId="1F9CF0F7" w:rsidR="00AB4C34" w:rsidRDefault="008F2467" w:rsidP="00F85094">
      <w:pPr>
        <w:pStyle w:val="Heading2"/>
      </w:pPr>
      <w:r>
        <w:t>Appendix A – Tables</w:t>
      </w:r>
    </w:p>
    <w:p w14:paraId="1C4F3295" w14:textId="5EB09406" w:rsidR="008F2467" w:rsidRDefault="00F85094" w:rsidP="00AB4C34">
      <w:r>
        <w:br/>
      </w:r>
      <w:r w:rsidR="008F2467">
        <w:t>Table 1 – Q1 Frontline Complaints</w:t>
      </w:r>
    </w:p>
    <w:p w14:paraId="2FF72049" w14:textId="0214DABE" w:rsidR="008F2467" w:rsidRDefault="007B5275" w:rsidP="00AB4C34">
      <w:pPr>
        <w:rPr>
          <w:rStyle w:val="SubtleEmphasis"/>
          <w:i w:val="0"/>
          <w:iCs w:val="0"/>
        </w:rPr>
      </w:pPr>
      <w:r w:rsidRPr="007B5275">
        <w:rPr>
          <w:rStyle w:val="SubtleEmphasis"/>
          <w:i w:val="0"/>
          <w:iCs w:val="0"/>
          <w:noProof/>
        </w:rPr>
        <w:drawing>
          <wp:inline distT="0" distB="0" distL="0" distR="0" wp14:anchorId="34DC7D6D" wp14:editId="2A99D5D3">
            <wp:extent cx="9777730" cy="1011555"/>
            <wp:effectExtent l="0" t="0" r="0" b="0"/>
            <wp:docPr id="1467292677" name="Picture 8" descr="Table showing total number of frontline complains for Q1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92677" name="Picture 8" descr="Table showing total number of frontline complains for Q1.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77B6C" w14:textId="3DC6CAB0" w:rsidR="008F2467" w:rsidRDefault="008F2467" w:rsidP="00AB4C34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Table 2 – Q2 Frontline Complaints</w:t>
      </w:r>
    </w:p>
    <w:p w14:paraId="43C3C23A" w14:textId="5F1715F9" w:rsidR="008F2467" w:rsidRDefault="008F2467" w:rsidP="00AB4C34">
      <w:pPr>
        <w:rPr>
          <w:rStyle w:val="SubtleEmphasis"/>
          <w:i w:val="0"/>
          <w:iCs w:val="0"/>
        </w:rPr>
      </w:pPr>
      <w:r w:rsidRPr="008F2467">
        <w:rPr>
          <w:rStyle w:val="SubtleEmphasis"/>
          <w:i w:val="0"/>
          <w:iCs w:val="0"/>
          <w:noProof/>
        </w:rPr>
        <w:drawing>
          <wp:inline distT="0" distB="0" distL="0" distR="0" wp14:anchorId="2C1F58E4" wp14:editId="2820E312">
            <wp:extent cx="9839325" cy="833755"/>
            <wp:effectExtent l="0" t="0" r="9525" b="4445"/>
            <wp:docPr id="1062691152" name="Picture 3" descr="Table 2 showing total number of frontline complaints Q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91152" name="Picture 3" descr="Table 2 showing total number of frontline complaints Q2.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036" cy="8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42EC3" w14:textId="4693D683" w:rsidR="008F2467" w:rsidRDefault="008F2467" w:rsidP="00AB4C34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Table 3 – Q1 Investigation Complaints</w:t>
      </w:r>
    </w:p>
    <w:p w14:paraId="0117A451" w14:textId="760D0F0F" w:rsidR="008F2467" w:rsidRDefault="008F2467" w:rsidP="00AB4C34">
      <w:pPr>
        <w:rPr>
          <w:rStyle w:val="SubtleEmphasis"/>
          <w:i w:val="0"/>
          <w:iCs w:val="0"/>
        </w:rPr>
      </w:pPr>
      <w:r w:rsidRPr="008F2467">
        <w:rPr>
          <w:rStyle w:val="SubtleEmphasis"/>
          <w:i w:val="0"/>
          <w:iCs w:val="0"/>
          <w:noProof/>
        </w:rPr>
        <w:drawing>
          <wp:inline distT="0" distB="0" distL="0" distR="0" wp14:anchorId="4216297B" wp14:editId="345FA197">
            <wp:extent cx="9777730" cy="1397000"/>
            <wp:effectExtent l="0" t="0" r="0" b="0"/>
            <wp:docPr id="1990823507" name="Picture 4" descr="Table 3 showing total number of Investigation complaints in Q1 with a total of 11. 1 was upheld, 2 were part upheld and 8 were not uphel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823507" name="Picture 4" descr="Table 3 showing total number of Investigation complaints in Q1 with a total of 11. 1 was upheld, 2 were part upheld and 8 were not upheld.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738C" w14:textId="77777777" w:rsidR="008F2467" w:rsidRDefault="008F2467" w:rsidP="00AB4C34">
      <w:pPr>
        <w:rPr>
          <w:rStyle w:val="SubtleEmphasis"/>
          <w:i w:val="0"/>
          <w:iCs w:val="0"/>
        </w:rPr>
      </w:pPr>
    </w:p>
    <w:p w14:paraId="6368A3A0" w14:textId="77777777" w:rsidR="00F85094" w:rsidRDefault="00F85094" w:rsidP="00AB4C34">
      <w:pPr>
        <w:rPr>
          <w:rStyle w:val="SubtleEmphasis"/>
          <w:i w:val="0"/>
          <w:iCs w:val="0"/>
        </w:rPr>
      </w:pPr>
    </w:p>
    <w:p w14:paraId="30A386C1" w14:textId="6C843CE3" w:rsidR="008F2467" w:rsidRDefault="008F2467" w:rsidP="00AB4C34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lastRenderedPageBreak/>
        <w:t>Table 4 – Q2 Investigation Complaints</w:t>
      </w:r>
    </w:p>
    <w:p w14:paraId="0DAA252E" w14:textId="05AD7DF1" w:rsidR="008F2467" w:rsidRDefault="008F2467" w:rsidP="00AB4C34">
      <w:pPr>
        <w:rPr>
          <w:rStyle w:val="SubtleEmphasis"/>
          <w:i w:val="0"/>
          <w:iCs w:val="0"/>
        </w:rPr>
      </w:pPr>
      <w:r w:rsidRPr="008F2467">
        <w:rPr>
          <w:rStyle w:val="SubtleEmphasis"/>
          <w:i w:val="0"/>
          <w:iCs w:val="0"/>
          <w:noProof/>
        </w:rPr>
        <w:drawing>
          <wp:inline distT="0" distB="0" distL="0" distR="0" wp14:anchorId="73536175" wp14:editId="0F8A3CE2">
            <wp:extent cx="9777730" cy="1052195"/>
            <wp:effectExtent l="0" t="0" r="0" b="0"/>
            <wp:docPr id="38300696" name="Picture 5" descr="Table showing total number of investigation complaints in Q2, which was three, two of which were not upheld and one resolv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0696" name="Picture 5" descr="Table showing total number of investigation complaints in Q2, which was three, two of which were not upheld and one resolved.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E958E" w14:textId="252DCE82" w:rsidR="00316338" w:rsidRDefault="00316338" w:rsidP="00AB4C34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Table 5 – Quarter by Quarter Comparison</w:t>
      </w:r>
    </w:p>
    <w:p w14:paraId="7459B54A" w14:textId="3C10016F" w:rsidR="00316338" w:rsidRPr="00AB4C34" w:rsidRDefault="00500B3F" w:rsidP="00AB4C34">
      <w:pPr>
        <w:rPr>
          <w:rStyle w:val="SubtleEmphasis"/>
          <w:i w:val="0"/>
          <w:iCs w:val="0"/>
        </w:rPr>
      </w:pPr>
      <w:r w:rsidRPr="00500B3F">
        <w:rPr>
          <w:rStyle w:val="SubtleEmphasis"/>
          <w:i w:val="0"/>
          <w:iCs w:val="0"/>
          <w:noProof/>
        </w:rPr>
        <w:drawing>
          <wp:inline distT="0" distB="0" distL="0" distR="0" wp14:anchorId="2691D7CC" wp14:editId="6DD45465">
            <wp:extent cx="9777730" cy="1325880"/>
            <wp:effectExtent l="0" t="0" r="0" b="7620"/>
            <wp:docPr id="1391411761" name="Picture 1" descr="Table showing frontline and investigation complaints numbers by quarter comparison from 2021-22 to 2024-25. Total complaints were 10 in 2021-22, 8 in 2022-23 and 14 in 2023-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411761" name="Picture 1" descr="Table showing frontline and investigation complaints numbers by quarter comparison from 2021-22 to 2024-25. Total complaints were 10 in 2021-22, 8 in 2022-23 and 14 in 2023-24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338" w:rsidRPr="00AB4C34" w:rsidSect="008F246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8FE2" w14:textId="77777777" w:rsidR="00136374" w:rsidRDefault="00136374" w:rsidP="00CC679C">
      <w:r>
        <w:separator/>
      </w:r>
    </w:p>
  </w:endnote>
  <w:endnote w:type="continuationSeparator" w:id="0">
    <w:p w14:paraId="765EACF8" w14:textId="77777777" w:rsidR="00136374" w:rsidRDefault="00136374" w:rsidP="00CC679C">
      <w:r>
        <w:continuationSeparator/>
      </w:r>
    </w:p>
  </w:endnote>
  <w:endnote w:type="continuationNotice" w:id="1">
    <w:p w14:paraId="176458E5" w14:textId="77777777" w:rsidR="00136374" w:rsidRDefault="00136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15E0" w14:textId="77777777" w:rsidR="00432B96" w:rsidRDefault="00432B96" w:rsidP="00CC679C">
    <w:pPr>
      <w:pStyle w:val="Footer"/>
    </w:pPr>
  </w:p>
  <w:p w14:paraId="70E686FE" w14:textId="00F4EC45" w:rsidR="00432B96" w:rsidRPr="00042C78" w:rsidRDefault="00AB4C34" w:rsidP="00CC679C">
    <w:r w:rsidRPr="00042C78">
      <w:t xml:space="preserve">SLAB: Board </w:t>
    </w:r>
    <w:r w:rsidR="00F14DC9">
      <w:t>r</w:t>
    </w:r>
    <w:r w:rsidRPr="00042C78">
      <w:t>eport</w:t>
    </w:r>
    <w:r w:rsidR="00485408">
      <w:t xml:space="preserve"> Complaints Update Q1 &amp; </w:t>
    </w:r>
    <w:r w:rsidR="00F85094">
      <w:t>Q</w:t>
    </w:r>
    <w:r w:rsidR="00485408">
      <w:t>2 December 2024</w:t>
    </w:r>
    <w:r w:rsidRPr="00042C78">
      <w:tab/>
      <w:t xml:space="preserve">                                </w:t>
    </w:r>
    <w:r w:rsidR="008F7C78" w:rsidRPr="00042C78">
      <w:tab/>
    </w:r>
    <w:r w:rsidR="00F85094">
      <w:t xml:space="preserve">   </w:t>
    </w:r>
    <w:r w:rsidR="00432B96" w:rsidRPr="00042C78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 w:rsidRPr="00042C78">
          <w:fldChar w:fldCharType="begin"/>
        </w:r>
        <w:r w:rsidR="00432B96" w:rsidRPr="00042C78">
          <w:instrText xml:space="preserve"> PAGE   \* MERGEFORMAT </w:instrText>
        </w:r>
        <w:r w:rsidR="00432B96" w:rsidRPr="00042C78">
          <w:fldChar w:fldCharType="separate"/>
        </w:r>
        <w:r w:rsidR="00432B96" w:rsidRPr="00042C78">
          <w:rPr>
            <w:noProof/>
          </w:rPr>
          <w:t>2</w:t>
        </w:r>
        <w:r w:rsidR="00432B96" w:rsidRPr="00042C7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E1CC" w14:textId="77777777" w:rsidR="00136374" w:rsidRDefault="00136374" w:rsidP="00CC679C">
      <w:r>
        <w:separator/>
      </w:r>
    </w:p>
  </w:footnote>
  <w:footnote w:type="continuationSeparator" w:id="0">
    <w:p w14:paraId="7E908BE8" w14:textId="77777777" w:rsidR="00136374" w:rsidRDefault="00136374" w:rsidP="00CC679C">
      <w:r>
        <w:continuationSeparator/>
      </w:r>
    </w:p>
  </w:footnote>
  <w:footnote w:type="continuationNotice" w:id="1">
    <w:p w14:paraId="5EB911B1" w14:textId="77777777" w:rsidR="00136374" w:rsidRDefault="001363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34C"/>
    <w:multiLevelType w:val="hybridMultilevel"/>
    <w:tmpl w:val="A5DC96E0"/>
    <w:lvl w:ilvl="0" w:tplc="9F78523A">
      <w:start w:val="1"/>
      <w:numFmt w:val="bullet"/>
      <w:pStyle w:val="ListParagraph"/>
      <w:lvlText w:val="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FBB68"/>
    <w:multiLevelType w:val="hybridMultilevel"/>
    <w:tmpl w:val="2BA490C4"/>
    <w:lvl w:ilvl="0" w:tplc="40DCC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61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2A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03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4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07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CA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23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07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89B2"/>
    <w:multiLevelType w:val="hybridMultilevel"/>
    <w:tmpl w:val="CDD2A12E"/>
    <w:lvl w:ilvl="0" w:tplc="F4CAADCE">
      <w:start w:val="3"/>
      <w:numFmt w:val="decimal"/>
      <w:lvlText w:val="%1."/>
      <w:lvlJc w:val="left"/>
      <w:pPr>
        <w:ind w:left="720" w:hanging="360"/>
      </w:pPr>
    </w:lvl>
    <w:lvl w:ilvl="1" w:tplc="54D00988">
      <w:start w:val="1"/>
      <w:numFmt w:val="lowerLetter"/>
      <w:lvlText w:val="%2."/>
      <w:lvlJc w:val="left"/>
      <w:pPr>
        <w:ind w:left="1440" w:hanging="360"/>
      </w:pPr>
    </w:lvl>
    <w:lvl w:ilvl="2" w:tplc="FB2AFD5A">
      <w:start w:val="1"/>
      <w:numFmt w:val="lowerRoman"/>
      <w:lvlText w:val="%3."/>
      <w:lvlJc w:val="right"/>
      <w:pPr>
        <w:ind w:left="2160" w:hanging="180"/>
      </w:pPr>
    </w:lvl>
    <w:lvl w:ilvl="3" w:tplc="017669A0">
      <w:start w:val="1"/>
      <w:numFmt w:val="decimal"/>
      <w:lvlText w:val="%4."/>
      <w:lvlJc w:val="left"/>
      <w:pPr>
        <w:ind w:left="2880" w:hanging="360"/>
      </w:pPr>
    </w:lvl>
    <w:lvl w:ilvl="4" w:tplc="BC5249D0">
      <w:start w:val="1"/>
      <w:numFmt w:val="lowerLetter"/>
      <w:lvlText w:val="%5."/>
      <w:lvlJc w:val="left"/>
      <w:pPr>
        <w:ind w:left="3600" w:hanging="360"/>
      </w:pPr>
    </w:lvl>
    <w:lvl w:ilvl="5" w:tplc="1D965440">
      <w:start w:val="1"/>
      <w:numFmt w:val="lowerRoman"/>
      <w:lvlText w:val="%6."/>
      <w:lvlJc w:val="right"/>
      <w:pPr>
        <w:ind w:left="4320" w:hanging="180"/>
      </w:pPr>
    </w:lvl>
    <w:lvl w:ilvl="6" w:tplc="8288175A">
      <w:start w:val="1"/>
      <w:numFmt w:val="decimal"/>
      <w:lvlText w:val="%7."/>
      <w:lvlJc w:val="left"/>
      <w:pPr>
        <w:ind w:left="5040" w:hanging="360"/>
      </w:pPr>
    </w:lvl>
    <w:lvl w:ilvl="7" w:tplc="5C849F48">
      <w:start w:val="1"/>
      <w:numFmt w:val="lowerLetter"/>
      <w:lvlText w:val="%8."/>
      <w:lvlJc w:val="left"/>
      <w:pPr>
        <w:ind w:left="5760" w:hanging="360"/>
      </w:pPr>
    </w:lvl>
    <w:lvl w:ilvl="8" w:tplc="1C60E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963B4"/>
    <w:multiLevelType w:val="hybridMultilevel"/>
    <w:tmpl w:val="85C08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7466C"/>
    <w:multiLevelType w:val="hybridMultilevel"/>
    <w:tmpl w:val="C7C8EF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E884C"/>
    <w:multiLevelType w:val="hybridMultilevel"/>
    <w:tmpl w:val="8DD82826"/>
    <w:lvl w:ilvl="0" w:tplc="B808B7F6">
      <w:start w:val="1"/>
      <w:numFmt w:val="decimal"/>
      <w:lvlText w:val="%1."/>
      <w:lvlJc w:val="left"/>
      <w:pPr>
        <w:ind w:left="720" w:hanging="360"/>
      </w:pPr>
    </w:lvl>
    <w:lvl w:ilvl="1" w:tplc="D548D57C">
      <w:start w:val="1"/>
      <w:numFmt w:val="lowerLetter"/>
      <w:lvlText w:val="%2."/>
      <w:lvlJc w:val="left"/>
      <w:pPr>
        <w:ind w:left="1440" w:hanging="360"/>
      </w:pPr>
    </w:lvl>
    <w:lvl w:ilvl="2" w:tplc="AEB02F4E">
      <w:start w:val="1"/>
      <w:numFmt w:val="lowerRoman"/>
      <w:lvlText w:val="%3."/>
      <w:lvlJc w:val="right"/>
      <w:pPr>
        <w:ind w:left="2160" w:hanging="180"/>
      </w:pPr>
    </w:lvl>
    <w:lvl w:ilvl="3" w:tplc="2764B07A">
      <w:start w:val="1"/>
      <w:numFmt w:val="decimal"/>
      <w:lvlText w:val="%4."/>
      <w:lvlJc w:val="left"/>
      <w:pPr>
        <w:ind w:left="2880" w:hanging="360"/>
      </w:pPr>
    </w:lvl>
    <w:lvl w:ilvl="4" w:tplc="C0226A16">
      <w:start w:val="1"/>
      <w:numFmt w:val="lowerLetter"/>
      <w:lvlText w:val="%5."/>
      <w:lvlJc w:val="left"/>
      <w:pPr>
        <w:ind w:left="3600" w:hanging="360"/>
      </w:pPr>
    </w:lvl>
    <w:lvl w:ilvl="5" w:tplc="3CFAA992">
      <w:start w:val="1"/>
      <w:numFmt w:val="lowerRoman"/>
      <w:lvlText w:val="%6."/>
      <w:lvlJc w:val="right"/>
      <w:pPr>
        <w:ind w:left="4320" w:hanging="180"/>
      </w:pPr>
    </w:lvl>
    <w:lvl w:ilvl="6" w:tplc="AFA83D90">
      <w:start w:val="1"/>
      <w:numFmt w:val="decimal"/>
      <w:lvlText w:val="%7."/>
      <w:lvlJc w:val="left"/>
      <w:pPr>
        <w:ind w:left="5040" w:hanging="360"/>
      </w:pPr>
    </w:lvl>
    <w:lvl w:ilvl="7" w:tplc="26A618F6">
      <w:start w:val="1"/>
      <w:numFmt w:val="lowerLetter"/>
      <w:lvlText w:val="%8."/>
      <w:lvlJc w:val="left"/>
      <w:pPr>
        <w:ind w:left="5760" w:hanging="360"/>
      </w:pPr>
    </w:lvl>
    <w:lvl w:ilvl="8" w:tplc="16844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37E57"/>
    <w:multiLevelType w:val="hybridMultilevel"/>
    <w:tmpl w:val="521ED644"/>
    <w:lvl w:ilvl="0" w:tplc="7206C0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AE1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04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29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87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0B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E2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65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4B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43779"/>
    <w:multiLevelType w:val="hybridMultilevel"/>
    <w:tmpl w:val="7EC81EF0"/>
    <w:lvl w:ilvl="0" w:tplc="398E790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63211"/>
    <w:multiLevelType w:val="hybridMultilevel"/>
    <w:tmpl w:val="63308DF0"/>
    <w:lvl w:ilvl="0" w:tplc="9DBCC1DA">
      <w:start w:val="1"/>
      <w:numFmt w:val="decimal"/>
      <w:lvlText w:val="%1."/>
      <w:lvlJc w:val="left"/>
      <w:pPr>
        <w:ind w:left="720" w:hanging="360"/>
      </w:pPr>
    </w:lvl>
    <w:lvl w:ilvl="1" w:tplc="3A146FF0">
      <w:start w:val="1"/>
      <w:numFmt w:val="lowerLetter"/>
      <w:lvlText w:val="%2."/>
      <w:lvlJc w:val="left"/>
      <w:pPr>
        <w:ind w:left="1440" w:hanging="360"/>
      </w:pPr>
    </w:lvl>
    <w:lvl w:ilvl="2" w:tplc="B0ECE792">
      <w:start w:val="1"/>
      <w:numFmt w:val="lowerRoman"/>
      <w:lvlText w:val="%3."/>
      <w:lvlJc w:val="right"/>
      <w:pPr>
        <w:ind w:left="2160" w:hanging="180"/>
      </w:pPr>
    </w:lvl>
    <w:lvl w:ilvl="3" w:tplc="5292FDB2">
      <w:start w:val="1"/>
      <w:numFmt w:val="decimal"/>
      <w:lvlText w:val="%4."/>
      <w:lvlJc w:val="left"/>
      <w:pPr>
        <w:ind w:left="2880" w:hanging="360"/>
      </w:pPr>
    </w:lvl>
    <w:lvl w:ilvl="4" w:tplc="466E4D5E">
      <w:start w:val="1"/>
      <w:numFmt w:val="lowerLetter"/>
      <w:lvlText w:val="%5."/>
      <w:lvlJc w:val="left"/>
      <w:pPr>
        <w:ind w:left="3600" w:hanging="360"/>
      </w:pPr>
    </w:lvl>
    <w:lvl w:ilvl="5" w:tplc="74869554">
      <w:start w:val="1"/>
      <w:numFmt w:val="lowerRoman"/>
      <w:lvlText w:val="%6."/>
      <w:lvlJc w:val="right"/>
      <w:pPr>
        <w:ind w:left="4320" w:hanging="180"/>
      </w:pPr>
    </w:lvl>
    <w:lvl w:ilvl="6" w:tplc="56F2FF8C">
      <w:start w:val="1"/>
      <w:numFmt w:val="decimal"/>
      <w:lvlText w:val="%7."/>
      <w:lvlJc w:val="left"/>
      <w:pPr>
        <w:ind w:left="5040" w:hanging="360"/>
      </w:pPr>
    </w:lvl>
    <w:lvl w:ilvl="7" w:tplc="47CA5D0C">
      <w:start w:val="1"/>
      <w:numFmt w:val="lowerLetter"/>
      <w:lvlText w:val="%8."/>
      <w:lvlJc w:val="left"/>
      <w:pPr>
        <w:ind w:left="5760" w:hanging="360"/>
      </w:pPr>
    </w:lvl>
    <w:lvl w:ilvl="8" w:tplc="FB5823D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E38F0"/>
    <w:multiLevelType w:val="hybridMultilevel"/>
    <w:tmpl w:val="FB50B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62D3E"/>
    <w:multiLevelType w:val="hybridMultilevel"/>
    <w:tmpl w:val="24040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10442D"/>
    <w:multiLevelType w:val="hybridMultilevel"/>
    <w:tmpl w:val="19646044"/>
    <w:lvl w:ilvl="0" w:tplc="9F26DF8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7704">
    <w:abstractNumId w:val="8"/>
  </w:num>
  <w:num w:numId="2" w16cid:durableId="2012100725">
    <w:abstractNumId w:val="0"/>
  </w:num>
  <w:num w:numId="3" w16cid:durableId="2097942416">
    <w:abstractNumId w:val="5"/>
  </w:num>
  <w:num w:numId="4" w16cid:durableId="135951669">
    <w:abstractNumId w:val="6"/>
  </w:num>
  <w:num w:numId="5" w16cid:durableId="1837988203">
    <w:abstractNumId w:val="12"/>
  </w:num>
  <w:num w:numId="6" w16cid:durableId="485516111">
    <w:abstractNumId w:val="3"/>
  </w:num>
  <w:num w:numId="7" w16cid:durableId="1688022927">
    <w:abstractNumId w:val="4"/>
  </w:num>
  <w:num w:numId="8" w16cid:durableId="1229077171">
    <w:abstractNumId w:val="10"/>
  </w:num>
  <w:num w:numId="9" w16cid:durableId="695691447">
    <w:abstractNumId w:val="14"/>
  </w:num>
  <w:num w:numId="10" w16cid:durableId="862018250">
    <w:abstractNumId w:val="0"/>
  </w:num>
  <w:num w:numId="11" w16cid:durableId="1026246796">
    <w:abstractNumId w:val="1"/>
  </w:num>
  <w:num w:numId="12" w16cid:durableId="18092309">
    <w:abstractNumId w:val="2"/>
  </w:num>
  <w:num w:numId="13" w16cid:durableId="165440648">
    <w:abstractNumId w:val="9"/>
  </w:num>
  <w:num w:numId="14" w16cid:durableId="796144126">
    <w:abstractNumId w:val="7"/>
  </w:num>
  <w:num w:numId="15" w16cid:durableId="792477112">
    <w:abstractNumId w:val="11"/>
  </w:num>
  <w:num w:numId="16" w16cid:durableId="1883519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2"/>
    <w:rsid w:val="00001756"/>
    <w:rsid w:val="00004EE9"/>
    <w:rsid w:val="00021FB0"/>
    <w:rsid w:val="00042C78"/>
    <w:rsid w:val="0004473A"/>
    <w:rsid w:val="00057DDF"/>
    <w:rsid w:val="000760D9"/>
    <w:rsid w:val="000873CD"/>
    <w:rsid w:val="000A247E"/>
    <w:rsid w:val="000D105C"/>
    <w:rsid w:val="000D44D4"/>
    <w:rsid w:val="000D7DA3"/>
    <w:rsid w:val="000F20B0"/>
    <w:rsid w:val="000F272F"/>
    <w:rsid w:val="00100151"/>
    <w:rsid w:val="00114434"/>
    <w:rsid w:val="0013114B"/>
    <w:rsid w:val="00136374"/>
    <w:rsid w:val="00146710"/>
    <w:rsid w:val="001502AF"/>
    <w:rsid w:val="0016127C"/>
    <w:rsid w:val="001806A5"/>
    <w:rsid w:val="00195CF7"/>
    <w:rsid w:val="001B5206"/>
    <w:rsid w:val="001E0994"/>
    <w:rsid w:val="001E1C0C"/>
    <w:rsid w:val="0023398F"/>
    <w:rsid w:val="00277AB0"/>
    <w:rsid w:val="002A0BFF"/>
    <w:rsid w:val="002B2815"/>
    <w:rsid w:val="002F3A77"/>
    <w:rsid w:val="003046AA"/>
    <w:rsid w:val="00316338"/>
    <w:rsid w:val="0032336D"/>
    <w:rsid w:val="003235B5"/>
    <w:rsid w:val="00323C61"/>
    <w:rsid w:val="003462D6"/>
    <w:rsid w:val="00363D37"/>
    <w:rsid w:val="00374FDC"/>
    <w:rsid w:val="00377557"/>
    <w:rsid w:val="003B2EA7"/>
    <w:rsid w:val="003E6122"/>
    <w:rsid w:val="003E7F90"/>
    <w:rsid w:val="004139A7"/>
    <w:rsid w:val="00422DF5"/>
    <w:rsid w:val="00432B96"/>
    <w:rsid w:val="00450AC2"/>
    <w:rsid w:val="00477B40"/>
    <w:rsid w:val="00485408"/>
    <w:rsid w:val="004D3532"/>
    <w:rsid w:val="004E1A5B"/>
    <w:rsid w:val="004F02D9"/>
    <w:rsid w:val="004F1DFA"/>
    <w:rsid w:val="004F3ED2"/>
    <w:rsid w:val="00500B3F"/>
    <w:rsid w:val="00515B8E"/>
    <w:rsid w:val="005277D3"/>
    <w:rsid w:val="0054643A"/>
    <w:rsid w:val="00575DA6"/>
    <w:rsid w:val="005B0DEE"/>
    <w:rsid w:val="005D51E9"/>
    <w:rsid w:val="005E4C76"/>
    <w:rsid w:val="00624879"/>
    <w:rsid w:val="00647D80"/>
    <w:rsid w:val="0065276B"/>
    <w:rsid w:val="0067683F"/>
    <w:rsid w:val="00693692"/>
    <w:rsid w:val="00693BB1"/>
    <w:rsid w:val="006A1794"/>
    <w:rsid w:val="006C31C4"/>
    <w:rsid w:val="006C3296"/>
    <w:rsid w:val="006D37B9"/>
    <w:rsid w:val="006F4385"/>
    <w:rsid w:val="00706678"/>
    <w:rsid w:val="00740439"/>
    <w:rsid w:val="00750A94"/>
    <w:rsid w:val="00766698"/>
    <w:rsid w:val="007809C4"/>
    <w:rsid w:val="00782742"/>
    <w:rsid w:val="00794B73"/>
    <w:rsid w:val="007B5275"/>
    <w:rsid w:val="007E1F3A"/>
    <w:rsid w:val="007F2788"/>
    <w:rsid w:val="008031B1"/>
    <w:rsid w:val="00821617"/>
    <w:rsid w:val="0083014B"/>
    <w:rsid w:val="008316DC"/>
    <w:rsid w:val="00835F26"/>
    <w:rsid w:val="008403CE"/>
    <w:rsid w:val="00850D7D"/>
    <w:rsid w:val="00863C95"/>
    <w:rsid w:val="008A478D"/>
    <w:rsid w:val="008B33F7"/>
    <w:rsid w:val="008C200E"/>
    <w:rsid w:val="008E5B5C"/>
    <w:rsid w:val="008F2467"/>
    <w:rsid w:val="008F7C78"/>
    <w:rsid w:val="009219F9"/>
    <w:rsid w:val="00953B39"/>
    <w:rsid w:val="009702E2"/>
    <w:rsid w:val="009B7B78"/>
    <w:rsid w:val="009D0693"/>
    <w:rsid w:val="00A10FFA"/>
    <w:rsid w:val="00A1488A"/>
    <w:rsid w:val="00A16CB9"/>
    <w:rsid w:val="00A47F21"/>
    <w:rsid w:val="00A82E64"/>
    <w:rsid w:val="00A90BF3"/>
    <w:rsid w:val="00AB4C34"/>
    <w:rsid w:val="00AD3381"/>
    <w:rsid w:val="00AE69C3"/>
    <w:rsid w:val="00AE7185"/>
    <w:rsid w:val="00AF3F4A"/>
    <w:rsid w:val="00AF5DF4"/>
    <w:rsid w:val="00B15E5D"/>
    <w:rsid w:val="00B2602F"/>
    <w:rsid w:val="00B72B52"/>
    <w:rsid w:val="00BB19C3"/>
    <w:rsid w:val="00BD2768"/>
    <w:rsid w:val="00BF2DDC"/>
    <w:rsid w:val="00C16168"/>
    <w:rsid w:val="00C256C4"/>
    <w:rsid w:val="00C35113"/>
    <w:rsid w:val="00C37E8C"/>
    <w:rsid w:val="00C85A06"/>
    <w:rsid w:val="00C90FC5"/>
    <w:rsid w:val="00CC679C"/>
    <w:rsid w:val="00CD19F5"/>
    <w:rsid w:val="00CE3BB4"/>
    <w:rsid w:val="00CF44A1"/>
    <w:rsid w:val="00CF4D7F"/>
    <w:rsid w:val="00D01667"/>
    <w:rsid w:val="00D16A3E"/>
    <w:rsid w:val="00D16CC0"/>
    <w:rsid w:val="00D27C3F"/>
    <w:rsid w:val="00D35E4D"/>
    <w:rsid w:val="00D35FED"/>
    <w:rsid w:val="00D40934"/>
    <w:rsid w:val="00D45D0E"/>
    <w:rsid w:val="00D46E14"/>
    <w:rsid w:val="00D86607"/>
    <w:rsid w:val="00D87ED2"/>
    <w:rsid w:val="00DB012E"/>
    <w:rsid w:val="00DD58FA"/>
    <w:rsid w:val="00DF3891"/>
    <w:rsid w:val="00E05158"/>
    <w:rsid w:val="00E14DDA"/>
    <w:rsid w:val="00E65FF1"/>
    <w:rsid w:val="00E73213"/>
    <w:rsid w:val="00E74C6A"/>
    <w:rsid w:val="00EC0191"/>
    <w:rsid w:val="00EC13F5"/>
    <w:rsid w:val="00ED5D45"/>
    <w:rsid w:val="00EE2092"/>
    <w:rsid w:val="00F010DC"/>
    <w:rsid w:val="00F14DC9"/>
    <w:rsid w:val="00F15D89"/>
    <w:rsid w:val="00F55B58"/>
    <w:rsid w:val="00F6081D"/>
    <w:rsid w:val="00F85094"/>
    <w:rsid w:val="00FA704A"/>
    <w:rsid w:val="00FC45B5"/>
    <w:rsid w:val="00FD3441"/>
    <w:rsid w:val="05BFEB49"/>
    <w:rsid w:val="0C4C0EA8"/>
    <w:rsid w:val="0D746C8A"/>
    <w:rsid w:val="0EC20A34"/>
    <w:rsid w:val="1167359D"/>
    <w:rsid w:val="12C2FF48"/>
    <w:rsid w:val="25FD08D8"/>
    <w:rsid w:val="2A2A208F"/>
    <w:rsid w:val="2AD95E21"/>
    <w:rsid w:val="2EDA08A8"/>
    <w:rsid w:val="2FAC4F73"/>
    <w:rsid w:val="30CD9B00"/>
    <w:rsid w:val="3364DAA1"/>
    <w:rsid w:val="3A033AC1"/>
    <w:rsid w:val="487F1485"/>
    <w:rsid w:val="4E1FE3B4"/>
    <w:rsid w:val="4FB51819"/>
    <w:rsid w:val="5F05920B"/>
    <w:rsid w:val="6275AAA2"/>
    <w:rsid w:val="73F570C1"/>
    <w:rsid w:val="7607A797"/>
    <w:rsid w:val="7C40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583A5"/>
  <w15:chartTrackingRefBased/>
  <w15:docId w15:val="{AA02CBDE-A594-465C-A73F-110EEDAC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C78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C78"/>
    <w:rPr>
      <w:rFonts w:eastAsiaTheme="majorEastAsia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450AC2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450AC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35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E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E4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35E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1903E8379543329647291877D14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E3FB6-6180-4937-A793-4039A94DE205}"/>
      </w:docPartPr>
      <w:docPartBody>
        <w:p w:rsidR="00160979" w:rsidRDefault="005E4C76" w:rsidP="005E4C76">
          <w:pPr>
            <w:pStyle w:val="A41903E8379543329647291877D14497"/>
          </w:pPr>
          <w:r w:rsidRPr="00042C78">
            <w:rPr>
              <w:rStyle w:val="PlaceholderText"/>
              <w:b/>
              <w:color w:val="A02B93" w:themeColor="accent5"/>
            </w:rPr>
            <w:t>Choose an item.</w:t>
          </w:r>
        </w:p>
      </w:docPartBody>
    </w:docPart>
    <w:docPart>
      <w:docPartPr>
        <w:name w:val="C84CC7ED5A9D4111B94218E752547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5ACF7-4F8B-4606-8842-345F7A14C318}"/>
      </w:docPartPr>
      <w:docPartBody>
        <w:p w:rsidR="00160979" w:rsidRDefault="005E4C76" w:rsidP="005E4C76">
          <w:pPr>
            <w:pStyle w:val="C84CC7ED5A9D4111B94218E752547B5E2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98F569BF096E4A30BB0C42E42B17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9E35-5153-4BAE-ABA3-DBED58E18247}"/>
      </w:docPartPr>
      <w:docPartBody>
        <w:p w:rsidR="00160979" w:rsidRDefault="005E4C76" w:rsidP="005E4C76">
          <w:pPr>
            <w:pStyle w:val="98F569BF096E4A30BB0C42E42B17AC012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FD79FEA7BB074DB8A574B16CDB58D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EAF3-76BD-418D-8B6F-BCEA5DF12E19}"/>
      </w:docPartPr>
      <w:docPartBody>
        <w:p w:rsidR="00160979" w:rsidRDefault="005E4C76" w:rsidP="005E4C76">
          <w:pPr>
            <w:pStyle w:val="FD79FEA7BB074DB8A574B16CDB58D5A42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DCFEE3CBE30E4D8FB7FFC702090E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C6162-E298-40B4-8AF1-399D92BB9096}"/>
      </w:docPartPr>
      <w:docPartBody>
        <w:p w:rsidR="00063F8D" w:rsidRDefault="005E4C76" w:rsidP="005E4C76">
          <w:pPr>
            <w:pStyle w:val="DCFEE3CBE30E4D8FB7FFC702090E9AD3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79"/>
    <w:rsid w:val="000024DF"/>
    <w:rsid w:val="00063F8D"/>
    <w:rsid w:val="000873CD"/>
    <w:rsid w:val="000D105C"/>
    <w:rsid w:val="00160979"/>
    <w:rsid w:val="00220EF6"/>
    <w:rsid w:val="00237C07"/>
    <w:rsid w:val="00277AB0"/>
    <w:rsid w:val="003C5FF9"/>
    <w:rsid w:val="00457FEB"/>
    <w:rsid w:val="005B0DEE"/>
    <w:rsid w:val="005E4C76"/>
    <w:rsid w:val="00647D80"/>
    <w:rsid w:val="0067683F"/>
    <w:rsid w:val="00693692"/>
    <w:rsid w:val="00693BB1"/>
    <w:rsid w:val="00761161"/>
    <w:rsid w:val="008403CE"/>
    <w:rsid w:val="00850D7D"/>
    <w:rsid w:val="00863C95"/>
    <w:rsid w:val="00903432"/>
    <w:rsid w:val="00944200"/>
    <w:rsid w:val="00A01E58"/>
    <w:rsid w:val="00A10FFA"/>
    <w:rsid w:val="00C146C6"/>
    <w:rsid w:val="00C35113"/>
    <w:rsid w:val="00C85A06"/>
    <w:rsid w:val="00D85551"/>
    <w:rsid w:val="00E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97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C76"/>
    <w:rPr>
      <w:color w:val="808080"/>
    </w:rPr>
  </w:style>
  <w:style w:type="paragraph" w:customStyle="1" w:styleId="A41903E8379543329647291877D14497">
    <w:name w:val="A41903E8379543329647291877D14497"/>
    <w:rsid w:val="005E4C76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C84CC7ED5A9D4111B94218E752547B5E2">
    <w:name w:val="C84CC7ED5A9D4111B94218E752547B5E2"/>
    <w:rsid w:val="005E4C76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98F569BF096E4A30BB0C42E42B17AC012">
    <w:name w:val="98F569BF096E4A30BB0C42E42B17AC012"/>
    <w:rsid w:val="005E4C76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FD79FEA7BB074DB8A574B16CDB58D5A42">
    <w:name w:val="FD79FEA7BB074DB8A574B16CDB58D5A42"/>
    <w:rsid w:val="005E4C76"/>
    <w:pPr>
      <w:spacing w:line="259" w:lineRule="auto"/>
    </w:pPr>
    <w:rPr>
      <w:rFonts w:eastAsiaTheme="minorHAnsi"/>
      <w:szCs w:val="22"/>
      <w:lang w:eastAsia="en-US"/>
    </w:rPr>
  </w:style>
  <w:style w:type="paragraph" w:customStyle="1" w:styleId="DCFEE3CBE30E4D8FB7FFC702090E9AD3">
    <w:name w:val="DCFEE3CBE30E4D8FB7FFC702090E9AD3"/>
    <w:rsid w:val="005E4C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  <SharedWithUsers xmlns="f77c8e73-1a92-43ae-87b4-1041e4b5416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96E21-D89F-4687-B80D-7F169E8B0DD4}">
  <ds:schemaRefs>
    <ds:schemaRef ds:uri="http://schemas.microsoft.com/office/2006/metadata/properties"/>
    <ds:schemaRef ds:uri="http://schemas.microsoft.com/office/infopath/2007/PartnerControls"/>
    <ds:schemaRef ds:uri="ddc97c0f-92d3-40cc-8a88-afbef9d2f083"/>
    <ds:schemaRef ds:uri="f77c8e73-1a92-43ae-87b4-1041e4b5416f"/>
  </ds:schemaRefs>
</ds:datastoreItem>
</file>

<file path=customXml/itemProps4.xml><?xml version="1.0" encoding="utf-8"?>
<ds:datastoreItem xmlns:ds="http://schemas.openxmlformats.org/officeDocument/2006/customXml" ds:itemID="{6FFBED6E-1FBF-48F3-983E-D377671A6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Report</vt:lpstr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Update for Q1 &amp; Q2 2024-25</dc:title>
  <dc:subject>Board papers</dc:subject>
  <dc:creator>Scottish Legal Aid Board</dc:creator>
  <cp:keywords/>
  <dc:description/>
  <cp:lastModifiedBy>Lindsay Corr</cp:lastModifiedBy>
  <cp:revision>2</cp:revision>
  <dcterms:created xsi:type="dcterms:W3CDTF">2025-09-02T14:31:00Z</dcterms:created>
  <dcterms:modified xsi:type="dcterms:W3CDTF">2025-09-02T14:31:00Z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