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07B894AB"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B4801B"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86F680"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503C9C">
        <w:rPr>
          <w:rStyle w:val="Strong"/>
          <w:lang w:val="en-US"/>
        </w:rPr>
        <w:t>08</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E608E">
        <w:rPr>
          <w:rStyle w:val="Strong"/>
          <w:lang w:val="en-US"/>
        </w:rPr>
        <w:t>202</w:t>
      </w:r>
      <w:r w:rsidR="00503C9C">
        <w:rPr>
          <w:rStyle w:val="Strong"/>
          <w:lang w:val="en-US"/>
        </w:rPr>
        <w:t>5</w:t>
      </w:r>
      <w:r w:rsidR="00AB4C34">
        <w:rPr>
          <w:rStyle w:val="Strong"/>
          <w:lang w:val="en-US"/>
        </w:rPr>
        <w:t xml:space="preserve"> </w:t>
      </w:r>
      <w:r w:rsidR="00AB4C34" w:rsidRPr="006F4385">
        <w:rPr>
          <w:rStyle w:val="Strong"/>
          <w:lang w:val="en-US"/>
        </w:rPr>
        <w:t xml:space="preserve">/ </w:t>
      </w:r>
      <w:r w:rsidR="00503C9C">
        <w:rPr>
          <w:rStyle w:val="Strong"/>
          <w:lang w:val="en-US"/>
        </w:rPr>
        <w:t>03</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627D24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4E4FED">
            <w:rPr>
              <w:lang w:val="en-US"/>
            </w:rPr>
            <w:t>The Board</w:t>
          </w:r>
        </w:sdtContent>
      </w:sdt>
    </w:p>
    <w:p w14:paraId="6D4CF6A7" w14:textId="6D525D56"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D2350C" w:rsidRPr="008675EB">
        <w:rPr>
          <w:lang w:val="en-US"/>
        </w:rPr>
        <w:t>17</w:t>
      </w:r>
      <w:r w:rsidR="00D2350C">
        <w:rPr>
          <w:lang w:val="en-US"/>
        </w:rPr>
        <w:t xml:space="preserve"> March 2025</w:t>
      </w:r>
    </w:p>
    <w:p w14:paraId="02B5E797" w14:textId="1ABAE435" w:rsidR="005F5C0E" w:rsidRDefault="006F4385" w:rsidP="00CC679C">
      <w:pPr>
        <w:rPr>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6623B7" w:rsidRPr="006623B7">
        <w:rPr>
          <w:lang w:val="en-US"/>
        </w:rPr>
        <w:t>Administration Resources Finance Report</w:t>
      </w:r>
      <w:r w:rsidR="005F5C0E" w:rsidRPr="005F5C0E">
        <w:rPr>
          <w:lang w:val="en-US"/>
        </w:rPr>
        <w:tab/>
      </w:r>
    </w:p>
    <w:p w14:paraId="487501A0" w14:textId="166D3FC1"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4E4FED">
            <w:rPr>
              <w:lang w:val="en-US"/>
            </w:rPr>
            <w:t>For information</w:t>
          </w:r>
        </w:sdtContent>
      </w:sdt>
    </w:p>
    <w:p w14:paraId="4BCC3349" w14:textId="6B92E79C"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4E4FED">
            <w:rPr>
              <w:lang w:val="en-US"/>
            </w:rPr>
            <w:t>Business as usual</w:t>
          </w:r>
        </w:sdtContent>
      </w:sdt>
    </w:p>
    <w:p w14:paraId="73D86164" w14:textId="0689C668"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4E4FED">
        <w:rPr>
          <w:lang w:val="en-US"/>
        </w:rPr>
        <w:t>Audrey Crawford</w:t>
      </w:r>
    </w:p>
    <w:p w14:paraId="4F1D2C6B" w14:textId="20FDA855"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4E4FED">
            <w:rPr>
              <w:lang w:val="en-US"/>
            </w:rPr>
            <w:t>Linda Ross</w:t>
          </w:r>
        </w:sdtContent>
      </w:sdt>
    </w:p>
    <w:p w14:paraId="2D3DDEB6" w14:textId="79509773"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4E4FED">
        <w:rPr>
          <w:lang w:val="en-US"/>
        </w:rPr>
        <w:t>Linda Ross</w:t>
      </w:r>
    </w:p>
    <w:p w14:paraId="3995BDCA" w14:textId="63B263FC"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4E4FED">
        <w:rPr>
          <w:lang w:val="en-US"/>
        </w:rPr>
        <w:t>crawfordau@slab.org.uk</w:t>
      </w:r>
    </w:p>
    <w:p w14:paraId="577D646B" w14:textId="26594DD4" w:rsidR="00EF5325" w:rsidRDefault="00A16CB9" w:rsidP="00CC679C">
      <w:pPr>
        <w:rPr>
          <w:rStyle w:val="Strong"/>
          <w:lang w:val="en-US"/>
        </w:rPr>
      </w:pPr>
      <w:r w:rsidRPr="00A16CB9">
        <w:rPr>
          <w:rStyle w:val="Strong"/>
        </w:rPr>
        <w:t>Delivery of Strategic Objectives</w:t>
      </w:r>
      <w:r w:rsidR="00A75994">
        <w:rPr>
          <w:rStyle w:val="Strong"/>
        </w:rPr>
        <w:t>:</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b/>
            <w:bCs/>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4E4FED">
            <w:rPr>
              <w:b/>
              <w:bCs/>
              <w:lang w:val="en-US"/>
            </w:rPr>
            <w:t>1 – Administration: Our timely, clear, and consistent decisions on legal aid applications and accounts deliver a positive customer experience.</w:t>
          </w:r>
        </w:sdtContent>
      </w:sdt>
      <w:r w:rsidR="00F14DC9">
        <w:rPr>
          <w:lang w:val="en-US"/>
        </w:rPr>
        <w:tab/>
      </w:r>
    </w:p>
    <w:p w14:paraId="2662C528" w14:textId="458341BA"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EE608E" w:rsidRPr="00010111">
        <w:t>This paper is linked to the Board’s role in monitoring the financial position of SLAB expenditure.</w:t>
      </w:r>
    </w:p>
    <w:p w14:paraId="16BA9B0E" w14:textId="4B0B75D6" w:rsidR="00EE608E" w:rsidRDefault="00CC679C" w:rsidP="00EE608E">
      <w:r w:rsidRPr="00CC679C">
        <w:rPr>
          <w:rStyle w:val="Strong"/>
        </w:rPr>
        <w:t>Link to Risk Management:</w:t>
      </w:r>
      <w:r>
        <w:rPr>
          <w:rStyle w:val="Strong"/>
        </w:rPr>
        <w:tab/>
      </w:r>
      <w:r>
        <w:rPr>
          <w:rStyle w:val="Strong"/>
        </w:rPr>
        <w:tab/>
      </w:r>
      <w:r>
        <w:rPr>
          <w:rStyle w:val="Strong"/>
        </w:rPr>
        <w:tab/>
      </w:r>
      <w:r w:rsidR="00821617">
        <w:rPr>
          <w:rStyle w:val="Strong"/>
        </w:rPr>
        <w:br/>
      </w:r>
      <w:r w:rsidR="00EE608E">
        <w:t>Our work to monitor administrative expenditure enables us to mitigate corporate risk 6</w:t>
      </w:r>
      <w:r w:rsidR="00AA420A">
        <w:t>,</w:t>
      </w:r>
      <w:r w:rsidR="00EE608E">
        <w:t xml:space="preserve"> with awareness of pressures and ensuring planned changes are reflected.</w:t>
      </w:r>
    </w:p>
    <w:p w14:paraId="0FDB2648" w14:textId="5390AC76" w:rsidR="00EE608E" w:rsidRDefault="00EE608E" w:rsidP="00EE608E">
      <w:r w:rsidRPr="00AA420A">
        <w:rPr>
          <w:b/>
          <w:bCs/>
        </w:rPr>
        <w:t>Risk 6:</w:t>
      </w:r>
      <w:r>
        <w:t xml:space="preserve"> If we fail to appropriately respond/plan to unplanned reductions in SLAB's administration funding then we may be unable to meet the needs of customers and/or prioritise our resources to ensure effective decision</w:t>
      </w:r>
      <w:r w:rsidR="00AA420A">
        <w:t>-</w:t>
      </w:r>
      <w:r>
        <w:t>making.</w:t>
      </w:r>
      <w:r w:rsidRPr="00D35FED">
        <w:t xml:space="preserve"> </w:t>
      </w:r>
    </w:p>
    <w:p w14:paraId="44E4CB7F" w14:textId="64D71CB8"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EE608E" w:rsidRPr="00010111">
        <w:t>The Board has previously agreed that this paper should be published as a matter of routine. It will be published on our website in due course.</w:t>
      </w:r>
      <w:r w:rsidRPr="00CC679C">
        <w:rPr>
          <w:rStyle w:val="Strong"/>
        </w:rPr>
        <w:tab/>
      </w:r>
    </w:p>
    <w:p w14:paraId="185FA806" w14:textId="22CF43DF" w:rsidR="00CC679C" w:rsidRPr="00AB4C34" w:rsidRDefault="00CC679C" w:rsidP="00CC679C">
      <w:pPr>
        <w:rPr>
          <w:b/>
          <w:bCs/>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EE608E" w:rsidRPr="00D2350C">
        <w:t>Expenditure for the period ended 31</w:t>
      </w:r>
      <w:r w:rsidR="00952EBA" w:rsidRPr="00D2350C">
        <w:t xml:space="preserve"> </w:t>
      </w:r>
      <w:r w:rsidR="00D2350C" w:rsidRPr="00D2350C">
        <w:t>January 2025</w:t>
      </w:r>
      <w:r w:rsidR="00EE608E" w:rsidRPr="00D2350C">
        <w:t xml:space="preserve"> was £</w:t>
      </w:r>
      <w:r w:rsidR="00D2350C" w:rsidRPr="00D2350C">
        <w:t>12.9</w:t>
      </w:r>
      <w:r w:rsidR="00EE608E" w:rsidRPr="00D2350C">
        <w:t>m compared to a budget profile of £</w:t>
      </w:r>
      <w:r w:rsidR="00D2350C" w:rsidRPr="00D2350C">
        <w:t>12.9</w:t>
      </w:r>
      <w:r w:rsidR="00EE608E" w:rsidRPr="00D2350C">
        <w:t>m.</w:t>
      </w:r>
    </w:p>
    <w:p w14:paraId="28BD9C56" w14:textId="3E8673F8" w:rsidR="00CC679C" w:rsidRPr="00042C78" w:rsidRDefault="00CC679C" w:rsidP="00D10A8E">
      <w:pPr>
        <w:spacing w:after="0"/>
        <w:rPr>
          <w:rStyle w:val="Strong"/>
          <w:rFonts w:asciiTheme="majorHAnsi" w:hAnsiTheme="majorHAnsi"/>
          <w:b w:val="0"/>
          <w:bCs w:val="0"/>
          <w:color w:val="174DA3"/>
          <w:sz w:val="40"/>
        </w:rPr>
      </w:pPr>
      <w:r w:rsidRPr="00CC679C">
        <w:rPr>
          <w:rStyle w:val="Strong"/>
        </w:rPr>
        <w:lastRenderedPageBreak/>
        <w:t>Previous Consideration</w:t>
      </w:r>
      <w:r w:rsidR="00A75994">
        <w:rPr>
          <w:rStyle w:val="Strong"/>
        </w:rPr>
        <w:t>:</w:t>
      </w:r>
      <w:r w:rsidRPr="00CC679C">
        <w:rPr>
          <w:rStyle w:val="Strong"/>
        </w:rPr>
        <w:t xml:space="preserve"> </w:t>
      </w:r>
      <w:r w:rsidRPr="00CC679C">
        <w:rPr>
          <w:rStyle w:val="Strong"/>
        </w:rPr>
        <w:br/>
        <w:t>Meeting:</w:t>
      </w:r>
      <w:r w:rsidRPr="00CC679C">
        <w:tab/>
      </w:r>
      <w:r w:rsidR="00EE608E">
        <w:t>3</w:t>
      </w:r>
      <w:r w:rsidR="00D2350C">
        <w:t xml:space="preserve"> December 2024</w:t>
      </w:r>
      <w:r w:rsidRPr="00CC679C">
        <w:rPr>
          <w:rStyle w:val="Strong"/>
        </w:rPr>
        <w:br/>
        <w:t xml:space="preserve">Details: </w:t>
      </w:r>
      <w:r w:rsidRPr="00CC679C">
        <w:tab/>
      </w:r>
      <w:r w:rsidR="00EE608E">
        <w:t xml:space="preserve">The </w:t>
      </w:r>
      <w:r w:rsidR="00AA420A">
        <w:t>p</w:t>
      </w:r>
      <w:r w:rsidR="00EE608E">
        <w:t xml:space="preserve">revious report showed expenditure and resources to the end of </w:t>
      </w:r>
      <w:r w:rsidR="00D2350C">
        <w:t>October</w:t>
      </w:r>
      <w:r w:rsidR="00EE608E">
        <w:t xml:space="preserve"> 2024.</w:t>
      </w:r>
    </w:p>
    <w:p w14:paraId="0D2364E3" w14:textId="77777777" w:rsidR="00F14DC9" w:rsidRDefault="00F14DC9" w:rsidP="00F14DC9">
      <w:pPr>
        <w:pStyle w:val="Heading1"/>
      </w:pPr>
      <w:r>
        <w:t>Report</w:t>
      </w:r>
    </w:p>
    <w:p w14:paraId="21E2238C" w14:textId="7DD4A4C8" w:rsidR="00AB4C34" w:rsidRDefault="00A75994" w:rsidP="00A75994">
      <w:pPr>
        <w:pStyle w:val="Heading2"/>
      </w:pPr>
      <w:r>
        <w:t>Funding</w:t>
      </w:r>
    </w:p>
    <w:p w14:paraId="6214B2FE" w14:textId="77777777" w:rsidR="00A75994" w:rsidRPr="00DE2B66" w:rsidRDefault="00A75994" w:rsidP="00A75994">
      <w:r w:rsidRPr="00DE2B66">
        <w:t xml:space="preserve">The core funding we expect to receive from Scottish Government is £15,150k. Core funding includes £100k for capital which cannot be transferred to staff or running costs. </w:t>
      </w:r>
    </w:p>
    <w:p w14:paraId="4F23A426" w14:textId="0725D526" w:rsidR="00A75994" w:rsidRPr="00DE2B66" w:rsidRDefault="00A75994" w:rsidP="00A75994">
      <w:r w:rsidRPr="00DE2B66">
        <w:t>The pension pressure figure is the cost of pensions over and above our core funding which will be borne by SG.</w:t>
      </w:r>
      <w:r w:rsidR="00AA420A">
        <w:t xml:space="preserve"> </w:t>
      </w:r>
      <w:r w:rsidRPr="00DE2B66">
        <w:t xml:space="preserve">The pressure referred to is their pressure not that of SLAB. We would usually expect to receive official confirmation of this funding by way of a transfer </w:t>
      </w:r>
      <w:r w:rsidRPr="008675EB">
        <w:t xml:space="preserve">at </w:t>
      </w:r>
      <w:r w:rsidR="008675EB" w:rsidRPr="008675EB">
        <w:t>SG formal review periods</w:t>
      </w:r>
      <w:r w:rsidRPr="008675E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2"/>
        <w:gridCol w:w="1951"/>
        <w:gridCol w:w="1813"/>
      </w:tblGrid>
      <w:tr w:rsidR="00A75994" w:rsidRPr="00DE2B66" w14:paraId="1D9A83EA" w14:textId="77777777">
        <w:trPr>
          <w:trHeight w:hRule="exact" w:val="746"/>
        </w:trPr>
        <w:tc>
          <w:tcPr>
            <w:tcW w:w="3200" w:type="pct"/>
            <w:tcBorders>
              <w:bottom w:val="single" w:sz="4" w:space="0" w:color="auto"/>
            </w:tcBorders>
          </w:tcPr>
          <w:p w14:paraId="255D1289" w14:textId="77777777" w:rsidR="00A75994" w:rsidRPr="00DE2B66" w:rsidRDefault="00A75994" w:rsidP="00A75994">
            <w:pPr>
              <w:rPr>
                <w:b/>
              </w:rPr>
            </w:pPr>
          </w:p>
        </w:tc>
        <w:tc>
          <w:tcPr>
            <w:tcW w:w="933" w:type="pct"/>
            <w:tcBorders>
              <w:bottom w:val="single" w:sz="4" w:space="0" w:color="auto"/>
            </w:tcBorders>
          </w:tcPr>
          <w:p w14:paraId="7E9CC53E" w14:textId="77777777" w:rsidR="00A75994" w:rsidRPr="00DE2B66" w:rsidRDefault="00A75994" w:rsidP="00A75994">
            <w:pPr>
              <w:jc w:val="right"/>
              <w:rPr>
                <w:b/>
              </w:rPr>
            </w:pPr>
            <w:r w:rsidRPr="00DE2B66">
              <w:rPr>
                <w:b/>
              </w:rPr>
              <w:t>2023-24</w:t>
            </w:r>
          </w:p>
          <w:p w14:paraId="5F47D38F" w14:textId="77777777" w:rsidR="00A75994" w:rsidRPr="00DE2B66" w:rsidRDefault="00A75994" w:rsidP="00A75994">
            <w:pPr>
              <w:jc w:val="right"/>
              <w:rPr>
                <w:b/>
              </w:rPr>
            </w:pPr>
            <w:r w:rsidRPr="00DE2B66">
              <w:rPr>
                <w:b/>
              </w:rPr>
              <w:t>Actual</w:t>
            </w:r>
          </w:p>
        </w:tc>
        <w:tc>
          <w:tcPr>
            <w:tcW w:w="867" w:type="pct"/>
            <w:tcBorders>
              <w:bottom w:val="single" w:sz="4" w:space="0" w:color="auto"/>
            </w:tcBorders>
          </w:tcPr>
          <w:p w14:paraId="618BEE7D" w14:textId="77777777" w:rsidR="00A75994" w:rsidRPr="00DE2B66" w:rsidRDefault="00A75994" w:rsidP="00A75994">
            <w:pPr>
              <w:jc w:val="right"/>
              <w:rPr>
                <w:b/>
              </w:rPr>
            </w:pPr>
            <w:r w:rsidRPr="00DE2B66">
              <w:rPr>
                <w:b/>
              </w:rPr>
              <w:t>2024-25</w:t>
            </w:r>
          </w:p>
          <w:p w14:paraId="50490D92" w14:textId="77777777" w:rsidR="00A75994" w:rsidRPr="00DE2B66" w:rsidRDefault="00A75994" w:rsidP="00A75994">
            <w:pPr>
              <w:jc w:val="right"/>
              <w:rPr>
                <w:b/>
              </w:rPr>
            </w:pPr>
            <w:r w:rsidRPr="00DE2B66">
              <w:rPr>
                <w:b/>
              </w:rPr>
              <w:t>Budget</w:t>
            </w:r>
          </w:p>
        </w:tc>
      </w:tr>
      <w:tr w:rsidR="00A75994" w:rsidRPr="00DE2B66" w14:paraId="7F20795A" w14:textId="77777777">
        <w:trPr>
          <w:trHeight w:hRule="exact" w:val="332"/>
        </w:trPr>
        <w:tc>
          <w:tcPr>
            <w:tcW w:w="3200" w:type="pct"/>
            <w:tcBorders>
              <w:bottom w:val="nil"/>
            </w:tcBorders>
          </w:tcPr>
          <w:p w14:paraId="4BC374BC" w14:textId="77777777" w:rsidR="00A75994" w:rsidRPr="00DE2B66" w:rsidRDefault="00A75994" w:rsidP="00A75994"/>
        </w:tc>
        <w:tc>
          <w:tcPr>
            <w:tcW w:w="933" w:type="pct"/>
            <w:tcBorders>
              <w:bottom w:val="nil"/>
            </w:tcBorders>
          </w:tcPr>
          <w:p w14:paraId="24622A23" w14:textId="77777777" w:rsidR="00A75994" w:rsidRPr="00DE2B66" w:rsidRDefault="00A75994" w:rsidP="00A75994">
            <w:pPr>
              <w:jc w:val="right"/>
              <w:rPr>
                <w:b/>
              </w:rPr>
            </w:pPr>
            <w:r w:rsidRPr="00DE2B66">
              <w:rPr>
                <w:b/>
              </w:rPr>
              <w:t>£k</w:t>
            </w:r>
          </w:p>
        </w:tc>
        <w:tc>
          <w:tcPr>
            <w:tcW w:w="867" w:type="pct"/>
            <w:tcBorders>
              <w:bottom w:val="nil"/>
            </w:tcBorders>
          </w:tcPr>
          <w:p w14:paraId="64F75262" w14:textId="77777777" w:rsidR="00A75994" w:rsidRPr="00DE2B66" w:rsidRDefault="00A75994" w:rsidP="00A75994">
            <w:pPr>
              <w:jc w:val="right"/>
            </w:pPr>
            <w:r w:rsidRPr="00DE2B66">
              <w:rPr>
                <w:b/>
              </w:rPr>
              <w:t>£k</w:t>
            </w:r>
          </w:p>
        </w:tc>
      </w:tr>
      <w:tr w:rsidR="00A75994" w:rsidRPr="00DE2B66" w14:paraId="43D495D0" w14:textId="77777777">
        <w:trPr>
          <w:trHeight w:hRule="exact" w:val="328"/>
        </w:trPr>
        <w:tc>
          <w:tcPr>
            <w:tcW w:w="3200" w:type="pct"/>
            <w:tcBorders>
              <w:top w:val="nil"/>
              <w:bottom w:val="nil"/>
            </w:tcBorders>
            <w:vAlign w:val="center"/>
          </w:tcPr>
          <w:p w14:paraId="1BDC6649" w14:textId="77777777" w:rsidR="00A75994" w:rsidRPr="00DE2B66" w:rsidRDefault="00A75994" w:rsidP="00A75994">
            <w:r w:rsidRPr="00DE2B66">
              <w:t>Core SG Funding (Actual/draft SG budget)</w:t>
            </w:r>
          </w:p>
        </w:tc>
        <w:tc>
          <w:tcPr>
            <w:tcW w:w="933" w:type="pct"/>
            <w:tcBorders>
              <w:top w:val="nil"/>
              <w:bottom w:val="nil"/>
            </w:tcBorders>
            <w:vAlign w:val="center"/>
          </w:tcPr>
          <w:p w14:paraId="714CCA45" w14:textId="77777777" w:rsidR="00A75994" w:rsidRPr="00DE2B66" w:rsidRDefault="00A75994" w:rsidP="00A75994">
            <w:pPr>
              <w:jc w:val="right"/>
              <w:rPr>
                <w:b/>
              </w:rPr>
            </w:pPr>
            <w:r w:rsidRPr="00DE2B66">
              <w:rPr>
                <w:b/>
              </w:rPr>
              <w:t>14,750</w:t>
            </w:r>
          </w:p>
        </w:tc>
        <w:tc>
          <w:tcPr>
            <w:tcW w:w="867" w:type="pct"/>
            <w:tcBorders>
              <w:top w:val="nil"/>
              <w:bottom w:val="nil"/>
            </w:tcBorders>
            <w:vAlign w:val="center"/>
          </w:tcPr>
          <w:p w14:paraId="29F8AB69" w14:textId="77777777" w:rsidR="00A75994" w:rsidRPr="00DE2B66" w:rsidRDefault="00A75994" w:rsidP="00A75994">
            <w:pPr>
              <w:jc w:val="right"/>
              <w:rPr>
                <w:b/>
              </w:rPr>
            </w:pPr>
            <w:r w:rsidRPr="00DE2B66">
              <w:rPr>
                <w:b/>
              </w:rPr>
              <w:t>15,150</w:t>
            </w:r>
          </w:p>
        </w:tc>
      </w:tr>
      <w:tr w:rsidR="00A75994" w:rsidRPr="00DE2B66" w14:paraId="0DEF7AEF" w14:textId="77777777">
        <w:trPr>
          <w:trHeight w:hRule="exact" w:val="332"/>
        </w:trPr>
        <w:tc>
          <w:tcPr>
            <w:tcW w:w="3200" w:type="pct"/>
            <w:tcBorders>
              <w:top w:val="nil"/>
              <w:bottom w:val="nil"/>
            </w:tcBorders>
            <w:vAlign w:val="center"/>
          </w:tcPr>
          <w:p w14:paraId="4D842F05" w14:textId="77777777" w:rsidR="00A75994" w:rsidRPr="00DE2B66" w:rsidRDefault="00A75994" w:rsidP="00A75994">
            <w:r w:rsidRPr="00DE2B66">
              <w:t>Non cash funding for Depreciation</w:t>
            </w:r>
          </w:p>
        </w:tc>
        <w:tc>
          <w:tcPr>
            <w:tcW w:w="933" w:type="pct"/>
            <w:tcBorders>
              <w:top w:val="nil"/>
              <w:bottom w:val="nil"/>
            </w:tcBorders>
            <w:vAlign w:val="center"/>
          </w:tcPr>
          <w:p w14:paraId="630CA037" w14:textId="77777777" w:rsidR="00A75994" w:rsidRPr="00DE2B66" w:rsidRDefault="00A75994" w:rsidP="00A75994">
            <w:pPr>
              <w:jc w:val="right"/>
              <w:rPr>
                <w:b/>
              </w:rPr>
            </w:pPr>
            <w:r w:rsidRPr="00DE2B66">
              <w:rPr>
                <w:b/>
              </w:rPr>
              <w:t>(550)</w:t>
            </w:r>
          </w:p>
        </w:tc>
        <w:tc>
          <w:tcPr>
            <w:tcW w:w="867" w:type="pct"/>
            <w:tcBorders>
              <w:top w:val="nil"/>
              <w:bottom w:val="nil"/>
            </w:tcBorders>
            <w:vAlign w:val="center"/>
          </w:tcPr>
          <w:p w14:paraId="766B502B" w14:textId="77777777" w:rsidR="00A75994" w:rsidRPr="00DE2B66" w:rsidRDefault="00A75994" w:rsidP="00A75994">
            <w:pPr>
              <w:jc w:val="right"/>
              <w:rPr>
                <w:b/>
              </w:rPr>
            </w:pPr>
            <w:r w:rsidRPr="00DE2B66">
              <w:rPr>
                <w:b/>
              </w:rPr>
              <w:t>(550)</w:t>
            </w:r>
          </w:p>
        </w:tc>
      </w:tr>
      <w:tr w:rsidR="00A75994" w:rsidRPr="00DE2B66" w14:paraId="6B781B4A" w14:textId="77777777">
        <w:trPr>
          <w:trHeight w:hRule="exact" w:val="332"/>
        </w:trPr>
        <w:tc>
          <w:tcPr>
            <w:tcW w:w="3200" w:type="pct"/>
            <w:tcBorders>
              <w:top w:val="nil"/>
              <w:left w:val="single" w:sz="4" w:space="0" w:color="auto"/>
              <w:bottom w:val="nil"/>
              <w:right w:val="single" w:sz="4" w:space="0" w:color="auto"/>
            </w:tcBorders>
            <w:vAlign w:val="center"/>
          </w:tcPr>
          <w:p w14:paraId="374BD94C" w14:textId="77777777" w:rsidR="00A75994" w:rsidRPr="00DE2B66" w:rsidRDefault="00A75994" w:rsidP="00A75994">
            <w:r w:rsidRPr="00DE2B66">
              <w:t>Retained superannuation receipts</w:t>
            </w:r>
          </w:p>
        </w:tc>
        <w:tc>
          <w:tcPr>
            <w:tcW w:w="933" w:type="pct"/>
            <w:tcBorders>
              <w:top w:val="nil"/>
              <w:left w:val="single" w:sz="4" w:space="0" w:color="auto"/>
              <w:bottom w:val="nil"/>
              <w:right w:val="single" w:sz="4" w:space="0" w:color="auto"/>
            </w:tcBorders>
            <w:vAlign w:val="center"/>
          </w:tcPr>
          <w:p w14:paraId="73DC1478" w14:textId="77777777" w:rsidR="00A75994" w:rsidRPr="00DE2B66" w:rsidRDefault="00A75994" w:rsidP="00A75994">
            <w:pPr>
              <w:jc w:val="right"/>
              <w:rPr>
                <w:b/>
              </w:rPr>
            </w:pPr>
            <w:r w:rsidRPr="00DE2B66">
              <w:rPr>
                <w:b/>
              </w:rPr>
              <w:t>250</w:t>
            </w:r>
          </w:p>
        </w:tc>
        <w:tc>
          <w:tcPr>
            <w:tcW w:w="867" w:type="pct"/>
            <w:tcBorders>
              <w:top w:val="nil"/>
              <w:left w:val="single" w:sz="4" w:space="0" w:color="auto"/>
              <w:bottom w:val="nil"/>
              <w:right w:val="single" w:sz="4" w:space="0" w:color="auto"/>
            </w:tcBorders>
            <w:vAlign w:val="center"/>
          </w:tcPr>
          <w:p w14:paraId="5D0A33F5" w14:textId="77777777" w:rsidR="00A75994" w:rsidRPr="00DE2B66" w:rsidRDefault="00A75994" w:rsidP="00A75994">
            <w:pPr>
              <w:jc w:val="right"/>
              <w:rPr>
                <w:b/>
              </w:rPr>
            </w:pPr>
            <w:r w:rsidRPr="00DE2B66">
              <w:rPr>
                <w:b/>
              </w:rPr>
              <w:t>250</w:t>
            </w:r>
          </w:p>
        </w:tc>
      </w:tr>
      <w:tr w:rsidR="00A75994" w:rsidRPr="00DE2B66" w14:paraId="622BB3A5" w14:textId="77777777">
        <w:trPr>
          <w:trHeight w:hRule="exact" w:val="332"/>
        </w:trPr>
        <w:tc>
          <w:tcPr>
            <w:tcW w:w="3200" w:type="pct"/>
            <w:tcBorders>
              <w:top w:val="nil"/>
              <w:left w:val="single" w:sz="4" w:space="0" w:color="auto"/>
              <w:bottom w:val="nil"/>
              <w:right w:val="single" w:sz="4" w:space="0" w:color="auto"/>
            </w:tcBorders>
            <w:vAlign w:val="center"/>
          </w:tcPr>
          <w:p w14:paraId="79BBC530" w14:textId="77777777" w:rsidR="00A75994" w:rsidRPr="00DE2B66" w:rsidRDefault="00A75994" w:rsidP="00A75994">
            <w:r w:rsidRPr="00DE2B66">
              <w:t xml:space="preserve">Additional funding for Grant Funding/ SWRC </w:t>
            </w:r>
          </w:p>
        </w:tc>
        <w:tc>
          <w:tcPr>
            <w:tcW w:w="933" w:type="pct"/>
            <w:tcBorders>
              <w:top w:val="nil"/>
              <w:left w:val="single" w:sz="4" w:space="0" w:color="auto"/>
              <w:bottom w:val="nil"/>
              <w:right w:val="single" w:sz="4" w:space="0" w:color="auto"/>
            </w:tcBorders>
            <w:vAlign w:val="center"/>
          </w:tcPr>
          <w:p w14:paraId="3388C470" w14:textId="77777777" w:rsidR="00A75994" w:rsidRPr="00DE2B66" w:rsidRDefault="00A75994" w:rsidP="00A75994">
            <w:pPr>
              <w:jc w:val="right"/>
              <w:rPr>
                <w:b/>
                <w:vertAlign w:val="superscript"/>
              </w:rPr>
            </w:pPr>
            <w:r w:rsidRPr="00DE2B66">
              <w:rPr>
                <w:b/>
              </w:rPr>
              <w:t>20</w:t>
            </w:r>
            <w:r w:rsidRPr="00AA420A">
              <w:rPr>
                <w:b/>
                <w:szCs w:val="24"/>
                <w:vertAlign w:val="superscript"/>
              </w:rPr>
              <w:t>1</w:t>
            </w:r>
          </w:p>
          <w:p w14:paraId="20E4DC39" w14:textId="77777777" w:rsidR="00A75994" w:rsidRPr="00DE2B66" w:rsidRDefault="00A75994" w:rsidP="00A75994">
            <w:pPr>
              <w:jc w:val="right"/>
              <w:rPr>
                <w:b/>
              </w:rPr>
            </w:pPr>
          </w:p>
        </w:tc>
        <w:tc>
          <w:tcPr>
            <w:tcW w:w="867" w:type="pct"/>
            <w:tcBorders>
              <w:top w:val="nil"/>
              <w:left w:val="single" w:sz="4" w:space="0" w:color="auto"/>
              <w:bottom w:val="nil"/>
              <w:right w:val="single" w:sz="4" w:space="0" w:color="auto"/>
            </w:tcBorders>
            <w:vAlign w:val="center"/>
          </w:tcPr>
          <w:p w14:paraId="06E140E4" w14:textId="77777777" w:rsidR="00A75994" w:rsidRPr="00DE2B66" w:rsidRDefault="00A75994" w:rsidP="00A75994">
            <w:pPr>
              <w:jc w:val="right"/>
              <w:rPr>
                <w:b/>
                <w:vertAlign w:val="superscript"/>
              </w:rPr>
            </w:pPr>
            <w:r w:rsidRPr="00DE2B66">
              <w:rPr>
                <w:b/>
              </w:rPr>
              <w:t>20</w:t>
            </w:r>
            <w:r w:rsidRPr="00DE2B66">
              <w:rPr>
                <w:b/>
                <w:vertAlign w:val="superscript"/>
              </w:rPr>
              <w:t>1</w:t>
            </w:r>
          </w:p>
          <w:p w14:paraId="0A831790" w14:textId="77777777" w:rsidR="00A75994" w:rsidRPr="00DE2B66" w:rsidRDefault="00A75994" w:rsidP="00A75994">
            <w:pPr>
              <w:jc w:val="right"/>
              <w:rPr>
                <w:b/>
              </w:rPr>
            </w:pPr>
          </w:p>
        </w:tc>
      </w:tr>
      <w:tr w:rsidR="00A75994" w:rsidRPr="00DE2B66" w14:paraId="5610C5B6" w14:textId="77777777">
        <w:trPr>
          <w:trHeight w:hRule="exact" w:val="332"/>
        </w:trPr>
        <w:tc>
          <w:tcPr>
            <w:tcW w:w="3200" w:type="pct"/>
            <w:tcBorders>
              <w:top w:val="nil"/>
              <w:left w:val="single" w:sz="4" w:space="0" w:color="auto"/>
              <w:bottom w:val="nil"/>
              <w:right w:val="single" w:sz="4" w:space="0" w:color="auto"/>
            </w:tcBorders>
            <w:vAlign w:val="center"/>
          </w:tcPr>
          <w:p w14:paraId="4197B3F5" w14:textId="77777777" w:rsidR="00A75994" w:rsidRPr="00DE2B66" w:rsidRDefault="00A75994" w:rsidP="00A75994">
            <w:r w:rsidRPr="00DE2B66">
              <w:t>Pension Pressure (additional funding from SG)</w:t>
            </w:r>
          </w:p>
        </w:tc>
        <w:tc>
          <w:tcPr>
            <w:tcW w:w="933" w:type="pct"/>
            <w:tcBorders>
              <w:top w:val="nil"/>
              <w:left w:val="single" w:sz="4" w:space="0" w:color="auto"/>
              <w:bottom w:val="nil"/>
              <w:right w:val="single" w:sz="4" w:space="0" w:color="auto"/>
            </w:tcBorders>
            <w:vAlign w:val="center"/>
          </w:tcPr>
          <w:p w14:paraId="73DF90DF" w14:textId="77777777" w:rsidR="00A75994" w:rsidRPr="00DE2B66" w:rsidRDefault="00A75994" w:rsidP="00A75994">
            <w:pPr>
              <w:jc w:val="right"/>
              <w:rPr>
                <w:b/>
              </w:rPr>
            </w:pPr>
            <w:r w:rsidRPr="00DE2B66">
              <w:rPr>
                <w:b/>
              </w:rPr>
              <w:t>460</w:t>
            </w:r>
          </w:p>
        </w:tc>
        <w:tc>
          <w:tcPr>
            <w:tcW w:w="867" w:type="pct"/>
            <w:tcBorders>
              <w:top w:val="nil"/>
              <w:left w:val="single" w:sz="4" w:space="0" w:color="auto"/>
              <w:bottom w:val="nil"/>
              <w:right w:val="single" w:sz="4" w:space="0" w:color="auto"/>
            </w:tcBorders>
            <w:vAlign w:val="center"/>
          </w:tcPr>
          <w:p w14:paraId="62C5B72B" w14:textId="77777777" w:rsidR="00A75994" w:rsidRPr="00DE2B66" w:rsidRDefault="00A75994" w:rsidP="00A75994">
            <w:pPr>
              <w:jc w:val="right"/>
              <w:rPr>
                <w:b/>
              </w:rPr>
            </w:pPr>
            <w:r w:rsidRPr="00DE2B66">
              <w:rPr>
                <w:b/>
              </w:rPr>
              <w:t>590</w:t>
            </w:r>
          </w:p>
        </w:tc>
      </w:tr>
      <w:tr w:rsidR="00A75994" w:rsidRPr="00DE2B66" w14:paraId="7B576557" w14:textId="77777777">
        <w:trPr>
          <w:trHeight w:hRule="exact" w:val="405"/>
        </w:trPr>
        <w:tc>
          <w:tcPr>
            <w:tcW w:w="3200" w:type="pct"/>
            <w:tcBorders>
              <w:top w:val="single" w:sz="4" w:space="0" w:color="auto"/>
              <w:bottom w:val="single" w:sz="4" w:space="0" w:color="auto"/>
            </w:tcBorders>
            <w:vAlign w:val="center"/>
          </w:tcPr>
          <w:p w14:paraId="5C7DAFD5" w14:textId="77777777" w:rsidR="00A75994" w:rsidRPr="00DE2B66" w:rsidRDefault="00A75994" w:rsidP="00A75994">
            <w:pPr>
              <w:rPr>
                <w:b/>
                <w:bCs/>
              </w:rPr>
            </w:pPr>
            <w:r w:rsidRPr="00DE2B66">
              <w:rPr>
                <w:b/>
                <w:bCs/>
              </w:rPr>
              <w:t>Total available funding for the year</w:t>
            </w:r>
          </w:p>
        </w:tc>
        <w:tc>
          <w:tcPr>
            <w:tcW w:w="933" w:type="pct"/>
            <w:tcBorders>
              <w:top w:val="single" w:sz="4" w:space="0" w:color="auto"/>
              <w:bottom w:val="single" w:sz="4" w:space="0" w:color="auto"/>
            </w:tcBorders>
            <w:vAlign w:val="center"/>
          </w:tcPr>
          <w:p w14:paraId="5CCF5A9D" w14:textId="77777777" w:rsidR="00A75994" w:rsidRPr="00DE2B66" w:rsidRDefault="00A75994" w:rsidP="00A75994">
            <w:pPr>
              <w:jc w:val="right"/>
              <w:rPr>
                <w:b/>
                <w:bCs/>
              </w:rPr>
            </w:pPr>
            <w:r w:rsidRPr="00DE2B66">
              <w:rPr>
                <w:b/>
                <w:bCs/>
              </w:rPr>
              <w:t>14,930</w:t>
            </w:r>
          </w:p>
        </w:tc>
        <w:tc>
          <w:tcPr>
            <w:tcW w:w="867" w:type="pct"/>
            <w:tcBorders>
              <w:top w:val="single" w:sz="4" w:space="0" w:color="auto"/>
              <w:bottom w:val="single" w:sz="4" w:space="0" w:color="auto"/>
            </w:tcBorders>
            <w:vAlign w:val="center"/>
          </w:tcPr>
          <w:p w14:paraId="19D429E1" w14:textId="77777777" w:rsidR="00A75994" w:rsidRPr="00DE2B66" w:rsidRDefault="00A75994" w:rsidP="00A75994">
            <w:pPr>
              <w:jc w:val="right"/>
              <w:rPr>
                <w:b/>
                <w:bCs/>
              </w:rPr>
            </w:pPr>
            <w:r w:rsidRPr="00DE2B66">
              <w:rPr>
                <w:b/>
                <w:bCs/>
              </w:rPr>
              <w:t>15,460</w:t>
            </w:r>
          </w:p>
        </w:tc>
      </w:tr>
    </w:tbl>
    <w:p w14:paraId="62D7BB2E" w14:textId="7B05EBA3" w:rsidR="00A75994" w:rsidRPr="008708F9" w:rsidRDefault="00A75994" w:rsidP="00A75994">
      <w:pPr>
        <w:rPr>
          <w:sz w:val="36"/>
          <w:szCs w:val="36"/>
          <w:vertAlign w:val="superscript"/>
        </w:rPr>
      </w:pPr>
      <w:r w:rsidRPr="00AA420A">
        <w:rPr>
          <w:sz w:val="36"/>
          <w:szCs w:val="36"/>
          <w:vertAlign w:val="superscript"/>
        </w:rPr>
        <w:t>1</w:t>
      </w:r>
      <w:r w:rsidRPr="008708F9">
        <w:rPr>
          <w:sz w:val="36"/>
          <w:szCs w:val="36"/>
          <w:vertAlign w:val="superscript"/>
        </w:rPr>
        <w:t xml:space="preserve"> Admin fee - £20k from Justice for SWRC</w:t>
      </w:r>
      <w:r w:rsidR="00AA420A">
        <w:rPr>
          <w:sz w:val="36"/>
          <w:szCs w:val="36"/>
          <w:vertAlign w:val="superscript"/>
        </w:rPr>
        <w:t>.</w:t>
      </w:r>
    </w:p>
    <w:p w14:paraId="7E6F136E" w14:textId="77777777" w:rsidR="00A75994" w:rsidRPr="00DE2B66" w:rsidRDefault="00A75994" w:rsidP="00A75994"/>
    <w:p w14:paraId="793CEB70" w14:textId="77777777" w:rsidR="00D10A8E" w:rsidRPr="00D2350C" w:rsidRDefault="00D10A8E">
      <w:pPr>
        <w:rPr>
          <w:rStyle w:val="Heading1Char"/>
          <w:highlight w:val="yellow"/>
        </w:rPr>
        <w:sectPr w:rsidR="00D10A8E" w:rsidRPr="00D2350C" w:rsidSect="00114434">
          <w:footerReference w:type="default" r:id="rId12"/>
          <w:pgSz w:w="11906" w:h="16838"/>
          <w:pgMar w:top="720" w:right="720" w:bottom="720" w:left="720" w:header="708" w:footer="708" w:gutter="0"/>
          <w:cols w:space="708"/>
          <w:docGrid w:linePitch="360"/>
        </w:sectPr>
      </w:pPr>
    </w:p>
    <w:p w14:paraId="7373E4C2" w14:textId="77777777" w:rsidR="00DE2B66" w:rsidRPr="00DE2B66" w:rsidRDefault="00DE2B66" w:rsidP="00D10A8E">
      <w:pPr>
        <w:pStyle w:val="Heading2"/>
      </w:pPr>
    </w:p>
    <w:p w14:paraId="1E84E4BC" w14:textId="4066DDF2" w:rsidR="00DE2B66" w:rsidRDefault="00D10A8E" w:rsidP="00253BA6">
      <w:pPr>
        <w:pStyle w:val="Heading2"/>
      </w:pPr>
      <w:r w:rsidRPr="00DE2B66">
        <w:t xml:space="preserve">SLAB Admin Monthly Resource Report as at </w:t>
      </w:r>
      <w:r w:rsidR="00DE2B66" w:rsidRPr="00DE2B66">
        <w:t>January</w:t>
      </w:r>
      <w:r w:rsidRPr="00DE2B66">
        <w:t xml:space="preserve"> 202</w:t>
      </w:r>
      <w:r w:rsidR="00DE2B66" w:rsidRPr="00DE2B66">
        <w:t>5</w:t>
      </w:r>
      <w:r w:rsidRPr="00DE2B66">
        <w:t xml:space="preserve"> </w:t>
      </w:r>
    </w:p>
    <w:tbl>
      <w:tblPr>
        <w:tblW w:w="14175" w:type="dxa"/>
        <w:tblLook w:val="04A0" w:firstRow="1" w:lastRow="0" w:firstColumn="1" w:lastColumn="0" w:noHBand="0" w:noVBand="1"/>
      </w:tblPr>
      <w:tblGrid>
        <w:gridCol w:w="1456"/>
        <w:gridCol w:w="1510"/>
        <w:gridCol w:w="1272"/>
        <w:gridCol w:w="1196"/>
        <w:gridCol w:w="1676"/>
        <w:gridCol w:w="2671"/>
        <w:gridCol w:w="1559"/>
        <w:gridCol w:w="1418"/>
        <w:gridCol w:w="1417"/>
      </w:tblGrid>
      <w:tr w:rsidR="00DE2B66" w:rsidRPr="00DE2B66" w14:paraId="2FF7FDE5" w14:textId="77777777" w:rsidTr="00E66212">
        <w:trPr>
          <w:trHeight w:val="1155"/>
        </w:trPr>
        <w:tc>
          <w:tcPr>
            <w:tcW w:w="1456" w:type="dxa"/>
            <w:tcBorders>
              <w:top w:val="nil"/>
              <w:left w:val="nil"/>
              <w:bottom w:val="nil"/>
              <w:right w:val="nil"/>
            </w:tcBorders>
            <w:shd w:val="clear" w:color="auto" w:fill="auto"/>
            <w:noWrap/>
            <w:vAlign w:val="bottom"/>
            <w:hideMark/>
          </w:tcPr>
          <w:p w14:paraId="3E9032F1" w14:textId="77777777" w:rsidR="00DE2B66" w:rsidRPr="00DE2B66" w:rsidRDefault="00DE2B66" w:rsidP="00DE2B66">
            <w:pPr>
              <w:spacing w:after="0" w:line="240" w:lineRule="auto"/>
              <w:rPr>
                <w:rFonts w:ascii="Times New Roman" w:eastAsia="Times New Roman" w:hAnsi="Times New Roman" w:cs="Times New Roman"/>
                <w:kern w:val="0"/>
                <w:sz w:val="20"/>
                <w:szCs w:val="24"/>
                <w:lang w:eastAsia="en-GB"/>
                <w14:ligatures w14:val="none"/>
              </w:rPr>
            </w:pPr>
          </w:p>
        </w:tc>
        <w:tc>
          <w:tcPr>
            <w:tcW w:w="1510" w:type="dxa"/>
            <w:tcBorders>
              <w:top w:val="nil"/>
              <w:left w:val="nil"/>
              <w:bottom w:val="nil"/>
              <w:right w:val="nil"/>
            </w:tcBorders>
            <w:shd w:val="clear" w:color="auto" w:fill="auto"/>
            <w:vAlign w:val="bottom"/>
            <w:hideMark/>
          </w:tcPr>
          <w:p w14:paraId="3CFF1973" w14:textId="37B052A7" w:rsidR="00DE2B66" w:rsidRPr="00DE2B66" w:rsidRDefault="008675EB" w:rsidP="00DE2B66">
            <w:pPr>
              <w:spacing w:after="0" w:line="240" w:lineRule="auto"/>
              <w:jc w:val="center"/>
              <w:rPr>
                <w:rFonts w:ascii="Aptos" w:eastAsia="Times New Roman" w:hAnsi="Aptos" w:cs="Calibri"/>
                <w:b/>
                <w:bCs/>
                <w:kern w:val="0"/>
                <w:szCs w:val="24"/>
                <w:lang w:eastAsia="en-GB"/>
                <w14:ligatures w14:val="none"/>
              </w:rPr>
            </w:pPr>
            <w:r w:rsidRPr="008675EB">
              <w:rPr>
                <w:rFonts w:ascii="Aptos" w:eastAsia="Times New Roman" w:hAnsi="Aptos" w:cs="Calibri"/>
                <w:b/>
                <w:bCs/>
                <w:kern w:val="0"/>
                <w:szCs w:val="24"/>
                <w:lang w:eastAsia="en-GB"/>
                <w14:ligatures w14:val="none"/>
              </w:rPr>
              <w:t>Q3</w:t>
            </w:r>
            <w:r>
              <w:rPr>
                <w:rFonts w:ascii="Aptos" w:eastAsia="Times New Roman" w:hAnsi="Aptos" w:cs="Calibri"/>
                <w:b/>
                <w:bCs/>
                <w:kern w:val="0"/>
                <w:szCs w:val="24"/>
                <w:lang w:eastAsia="en-GB"/>
                <w14:ligatures w14:val="none"/>
              </w:rPr>
              <w:t xml:space="preserve"> </w:t>
            </w:r>
            <w:r w:rsidR="00DE2B66" w:rsidRPr="00DE2B66">
              <w:rPr>
                <w:rFonts w:ascii="Aptos" w:eastAsia="Times New Roman" w:hAnsi="Aptos" w:cs="Calibri"/>
                <w:b/>
                <w:bCs/>
                <w:kern w:val="0"/>
                <w:szCs w:val="24"/>
                <w:lang w:eastAsia="en-GB"/>
                <w14:ligatures w14:val="none"/>
              </w:rPr>
              <w:t>Annual Budget £k</w:t>
            </w:r>
          </w:p>
        </w:tc>
        <w:tc>
          <w:tcPr>
            <w:tcW w:w="1272" w:type="dxa"/>
            <w:tcBorders>
              <w:top w:val="nil"/>
              <w:left w:val="nil"/>
              <w:bottom w:val="nil"/>
              <w:right w:val="nil"/>
            </w:tcBorders>
            <w:shd w:val="clear" w:color="auto" w:fill="auto"/>
            <w:vAlign w:val="bottom"/>
            <w:hideMark/>
          </w:tcPr>
          <w:p w14:paraId="218018B6" w14:textId="77777777" w:rsidR="00DE2B66" w:rsidRPr="00DE2B66" w:rsidRDefault="00DE2B66" w:rsidP="00DE2B66">
            <w:pPr>
              <w:spacing w:after="0" w:line="240" w:lineRule="auto"/>
              <w:jc w:val="center"/>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Actual Spend £k</w:t>
            </w:r>
          </w:p>
        </w:tc>
        <w:tc>
          <w:tcPr>
            <w:tcW w:w="1196" w:type="dxa"/>
            <w:tcBorders>
              <w:top w:val="nil"/>
              <w:left w:val="nil"/>
              <w:bottom w:val="nil"/>
              <w:right w:val="nil"/>
            </w:tcBorders>
            <w:shd w:val="clear" w:color="auto" w:fill="auto"/>
            <w:noWrap/>
            <w:vAlign w:val="bottom"/>
            <w:hideMark/>
          </w:tcPr>
          <w:p w14:paraId="4A40BFFB" w14:textId="77777777" w:rsidR="00DE2B66" w:rsidRPr="00DE2B66" w:rsidRDefault="00DE2B66" w:rsidP="00DE2B66">
            <w:pPr>
              <w:spacing w:after="0" w:line="240" w:lineRule="auto"/>
              <w:jc w:val="center"/>
              <w:rPr>
                <w:rFonts w:ascii="Aptos" w:eastAsia="Times New Roman" w:hAnsi="Aptos" w:cs="Calibri"/>
                <w:b/>
                <w:bCs/>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3111CD10"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vAlign w:val="bottom"/>
            <w:hideMark/>
          </w:tcPr>
          <w:p w14:paraId="12F4A03A"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shd w:val="clear" w:color="auto" w:fill="auto"/>
            <w:vAlign w:val="bottom"/>
            <w:hideMark/>
          </w:tcPr>
          <w:p w14:paraId="4DB39A80" w14:textId="77777777" w:rsidR="00DE2B66" w:rsidRPr="00DE2B66" w:rsidRDefault="00DE2B66" w:rsidP="00DE2B66">
            <w:pPr>
              <w:spacing w:after="0" w:line="240" w:lineRule="auto"/>
              <w:jc w:val="center"/>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Annual Budget £k</w:t>
            </w:r>
          </w:p>
        </w:tc>
        <w:tc>
          <w:tcPr>
            <w:tcW w:w="1418" w:type="dxa"/>
            <w:tcBorders>
              <w:top w:val="nil"/>
              <w:left w:val="nil"/>
              <w:bottom w:val="nil"/>
              <w:right w:val="nil"/>
            </w:tcBorders>
            <w:shd w:val="clear" w:color="auto" w:fill="auto"/>
            <w:vAlign w:val="bottom"/>
            <w:hideMark/>
          </w:tcPr>
          <w:p w14:paraId="7E3AFAA3" w14:textId="77777777" w:rsidR="00DE2B66" w:rsidRPr="00DE2B66" w:rsidRDefault="00DE2B66" w:rsidP="00DE2B66">
            <w:pPr>
              <w:spacing w:after="0" w:line="240" w:lineRule="auto"/>
              <w:jc w:val="center"/>
              <w:rPr>
                <w:rFonts w:ascii="Aptos" w:eastAsia="Times New Roman" w:hAnsi="Aptos" w:cs="Calibri"/>
                <w:b/>
                <w:bCs/>
                <w:color w:val="000000"/>
                <w:kern w:val="0"/>
                <w:szCs w:val="24"/>
                <w:lang w:eastAsia="en-GB"/>
                <w14:ligatures w14:val="none"/>
              </w:rPr>
            </w:pPr>
            <w:r w:rsidRPr="00DE2B66">
              <w:rPr>
                <w:rFonts w:ascii="Aptos" w:eastAsia="Times New Roman" w:hAnsi="Aptos" w:cs="Calibri"/>
                <w:b/>
                <w:bCs/>
                <w:color w:val="000000"/>
                <w:kern w:val="0"/>
                <w:szCs w:val="24"/>
                <w:lang w:eastAsia="en-GB"/>
                <w14:ligatures w14:val="none"/>
              </w:rPr>
              <w:t>Budget YTD £k</w:t>
            </w:r>
          </w:p>
        </w:tc>
        <w:tc>
          <w:tcPr>
            <w:tcW w:w="1417" w:type="dxa"/>
            <w:tcBorders>
              <w:top w:val="nil"/>
              <w:left w:val="nil"/>
              <w:bottom w:val="nil"/>
              <w:right w:val="nil"/>
            </w:tcBorders>
            <w:shd w:val="clear" w:color="auto" w:fill="auto"/>
            <w:vAlign w:val="bottom"/>
            <w:hideMark/>
          </w:tcPr>
          <w:p w14:paraId="37AE2CC3" w14:textId="77777777" w:rsidR="00DE2B66" w:rsidRPr="00DE2B66" w:rsidRDefault="00DE2B66" w:rsidP="00DE2B66">
            <w:pPr>
              <w:spacing w:after="0" w:line="240" w:lineRule="auto"/>
              <w:jc w:val="center"/>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Actual Spend £k</w:t>
            </w:r>
          </w:p>
        </w:tc>
      </w:tr>
      <w:tr w:rsidR="00DE2B66" w:rsidRPr="00DE2B66" w14:paraId="025F45A1" w14:textId="77777777" w:rsidTr="00E66212">
        <w:trPr>
          <w:trHeight w:val="360"/>
        </w:trPr>
        <w:tc>
          <w:tcPr>
            <w:tcW w:w="1456" w:type="dxa"/>
            <w:tcBorders>
              <w:top w:val="nil"/>
              <w:left w:val="nil"/>
              <w:bottom w:val="nil"/>
              <w:right w:val="nil"/>
            </w:tcBorders>
            <w:shd w:val="clear" w:color="auto" w:fill="auto"/>
            <w:noWrap/>
            <w:vAlign w:val="bottom"/>
            <w:hideMark/>
          </w:tcPr>
          <w:p w14:paraId="57D417DA"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Staff</w:t>
            </w:r>
          </w:p>
        </w:tc>
        <w:tc>
          <w:tcPr>
            <w:tcW w:w="1510" w:type="dxa"/>
            <w:tcBorders>
              <w:top w:val="nil"/>
              <w:left w:val="nil"/>
              <w:bottom w:val="nil"/>
              <w:right w:val="nil"/>
            </w:tcBorders>
            <w:shd w:val="clear" w:color="auto" w:fill="auto"/>
            <w:noWrap/>
            <w:vAlign w:val="bottom"/>
            <w:hideMark/>
          </w:tcPr>
          <w:p w14:paraId="7EA3E1FB"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11,136 </w:t>
            </w:r>
          </w:p>
        </w:tc>
        <w:tc>
          <w:tcPr>
            <w:tcW w:w="1272" w:type="dxa"/>
            <w:tcBorders>
              <w:top w:val="nil"/>
              <w:left w:val="nil"/>
              <w:bottom w:val="nil"/>
              <w:right w:val="nil"/>
            </w:tcBorders>
            <w:shd w:val="clear" w:color="auto" w:fill="auto"/>
            <w:noWrap/>
            <w:vAlign w:val="bottom"/>
            <w:hideMark/>
          </w:tcPr>
          <w:p w14:paraId="70214794"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9,243 </w:t>
            </w:r>
          </w:p>
        </w:tc>
        <w:tc>
          <w:tcPr>
            <w:tcW w:w="1196" w:type="dxa"/>
            <w:tcBorders>
              <w:top w:val="nil"/>
              <w:left w:val="nil"/>
              <w:bottom w:val="nil"/>
              <w:right w:val="nil"/>
            </w:tcBorders>
            <w:shd w:val="clear" w:color="auto" w:fill="auto"/>
            <w:noWrap/>
            <w:vAlign w:val="bottom"/>
            <w:hideMark/>
          </w:tcPr>
          <w:p w14:paraId="47C3DA19"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3F92C920"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7D3A9482"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Corporate</w:t>
            </w:r>
          </w:p>
        </w:tc>
        <w:tc>
          <w:tcPr>
            <w:tcW w:w="1559" w:type="dxa"/>
            <w:tcBorders>
              <w:top w:val="nil"/>
              <w:left w:val="nil"/>
              <w:bottom w:val="nil"/>
              <w:right w:val="nil"/>
            </w:tcBorders>
            <w:shd w:val="clear" w:color="auto" w:fill="auto"/>
            <w:noWrap/>
            <w:vAlign w:val="bottom"/>
            <w:hideMark/>
          </w:tcPr>
          <w:p w14:paraId="4B602ECB"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507 </w:t>
            </w:r>
          </w:p>
        </w:tc>
        <w:tc>
          <w:tcPr>
            <w:tcW w:w="1418" w:type="dxa"/>
            <w:tcBorders>
              <w:top w:val="nil"/>
              <w:left w:val="nil"/>
              <w:bottom w:val="nil"/>
              <w:right w:val="nil"/>
            </w:tcBorders>
            <w:shd w:val="clear" w:color="auto" w:fill="auto"/>
            <w:noWrap/>
            <w:vAlign w:val="bottom"/>
            <w:hideMark/>
          </w:tcPr>
          <w:p w14:paraId="43F00D6B"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424 </w:t>
            </w:r>
          </w:p>
        </w:tc>
        <w:tc>
          <w:tcPr>
            <w:tcW w:w="1417" w:type="dxa"/>
            <w:tcBorders>
              <w:top w:val="nil"/>
              <w:left w:val="nil"/>
              <w:bottom w:val="nil"/>
              <w:right w:val="nil"/>
            </w:tcBorders>
            <w:shd w:val="clear" w:color="auto" w:fill="auto"/>
            <w:noWrap/>
            <w:vAlign w:val="bottom"/>
            <w:hideMark/>
          </w:tcPr>
          <w:p w14:paraId="6B3F9C62"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421 </w:t>
            </w:r>
          </w:p>
        </w:tc>
      </w:tr>
      <w:tr w:rsidR="00DE2B66" w:rsidRPr="00DE2B66" w14:paraId="7FBF841B" w14:textId="77777777" w:rsidTr="00E66212">
        <w:trPr>
          <w:trHeight w:val="360"/>
        </w:trPr>
        <w:tc>
          <w:tcPr>
            <w:tcW w:w="1456" w:type="dxa"/>
            <w:tcBorders>
              <w:top w:val="nil"/>
              <w:left w:val="nil"/>
              <w:bottom w:val="nil"/>
              <w:right w:val="nil"/>
            </w:tcBorders>
            <w:shd w:val="clear" w:color="auto" w:fill="auto"/>
            <w:noWrap/>
            <w:vAlign w:val="bottom"/>
            <w:hideMark/>
          </w:tcPr>
          <w:p w14:paraId="1BFEE5DE"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Running</w:t>
            </w:r>
          </w:p>
        </w:tc>
        <w:tc>
          <w:tcPr>
            <w:tcW w:w="1510" w:type="dxa"/>
            <w:tcBorders>
              <w:top w:val="nil"/>
              <w:left w:val="nil"/>
              <w:bottom w:val="nil"/>
              <w:right w:val="nil"/>
            </w:tcBorders>
            <w:shd w:val="clear" w:color="auto" w:fill="auto"/>
            <w:noWrap/>
            <w:vAlign w:val="bottom"/>
            <w:hideMark/>
          </w:tcPr>
          <w:p w14:paraId="1CC527DB"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2,766 </w:t>
            </w:r>
          </w:p>
        </w:tc>
        <w:tc>
          <w:tcPr>
            <w:tcW w:w="1272" w:type="dxa"/>
            <w:tcBorders>
              <w:top w:val="nil"/>
              <w:left w:val="nil"/>
              <w:bottom w:val="nil"/>
              <w:right w:val="nil"/>
            </w:tcBorders>
            <w:shd w:val="clear" w:color="auto" w:fill="auto"/>
            <w:noWrap/>
            <w:vAlign w:val="bottom"/>
            <w:hideMark/>
          </w:tcPr>
          <w:p w14:paraId="5296BB7F"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2,305 </w:t>
            </w:r>
          </w:p>
        </w:tc>
        <w:tc>
          <w:tcPr>
            <w:tcW w:w="1196" w:type="dxa"/>
            <w:tcBorders>
              <w:top w:val="nil"/>
              <w:left w:val="nil"/>
              <w:bottom w:val="nil"/>
              <w:right w:val="nil"/>
            </w:tcBorders>
            <w:shd w:val="clear" w:color="auto" w:fill="auto"/>
            <w:noWrap/>
            <w:vAlign w:val="bottom"/>
            <w:hideMark/>
          </w:tcPr>
          <w:p w14:paraId="7BA3E727"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59E7B236"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28ACA2F3" w14:textId="68B684B4"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Corp</w:t>
            </w:r>
            <w:r w:rsidR="00E66212">
              <w:rPr>
                <w:rFonts w:ascii="Aptos" w:eastAsia="Times New Roman" w:hAnsi="Aptos" w:cs="Calibri"/>
                <w:kern w:val="0"/>
                <w:szCs w:val="24"/>
                <w:lang w:eastAsia="en-GB"/>
                <w14:ligatures w14:val="none"/>
              </w:rPr>
              <w:t>orate</w:t>
            </w:r>
            <w:r w:rsidRPr="00DE2B66">
              <w:rPr>
                <w:rFonts w:ascii="Aptos" w:eastAsia="Times New Roman" w:hAnsi="Aptos" w:cs="Calibri"/>
                <w:kern w:val="0"/>
                <w:szCs w:val="24"/>
                <w:lang w:eastAsia="en-GB"/>
                <w14:ligatures w14:val="none"/>
              </w:rPr>
              <w:t xml:space="preserve"> Se</w:t>
            </w:r>
            <w:r w:rsidR="00E66212">
              <w:rPr>
                <w:rFonts w:ascii="Aptos" w:eastAsia="Times New Roman" w:hAnsi="Aptos" w:cs="Calibri"/>
                <w:kern w:val="0"/>
                <w:szCs w:val="24"/>
                <w:lang w:eastAsia="en-GB"/>
                <w14:ligatures w14:val="none"/>
              </w:rPr>
              <w:t>rvices</w:t>
            </w:r>
          </w:p>
        </w:tc>
        <w:tc>
          <w:tcPr>
            <w:tcW w:w="1559" w:type="dxa"/>
            <w:tcBorders>
              <w:top w:val="nil"/>
              <w:left w:val="nil"/>
              <w:bottom w:val="nil"/>
              <w:right w:val="nil"/>
            </w:tcBorders>
            <w:shd w:val="clear" w:color="auto" w:fill="auto"/>
            <w:noWrap/>
            <w:vAlign w:val="bottom"/>
            <w:hideMark/>
          </w:tcPr>
          <w:p w14:paraId="01F41C3F"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6,741 </w:t>
            </w:r>
          </w:p>
        </w:tc>
        <w:tc>
          <w:tcPr>
            <w:tcW w:w="1418" w:type="dxa"/>
            <w:tcBorders>
              <w:top w:val="nil"/>
              <w:left w:val="nil"/>
              <w:bottom w:val="nil"/>
              <w:right w:val="nil"/>
            </w:tcBorders>
            <w:shd w:val="clear" w:color="auto" w:fill="auto"/>
            <w:noWrap/>
            <w:vAlign w:val="bottom"/>
            <w:hideMark/>
          </w:tcPr>
          <w:p w14:paraId="0CEC59CF"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5,685 </w:t>
            </w:r>
          </w:p>
        </w:tc>
        <w:tc>
          <w:tcPr>
            <w:tcW w:w="1417" w:type="dxa"/>
            <w:tcBorders>
              <w:top w:val="nil"/>
              <w:left w:val="nil"/>
              <w:bottom w:val="nil"/>
              <w:right w:val="nil"/>
            </w:tcBorders>
            <w:shd w:val="clear" w:color="auto" w:fill="auto"/>
            <w:noWrap/>
            <w:vAlign w:val="bottom"/>
            <w:hideMark/>
          </w:tcPr>
          <w:p w14:paraId="623E012A"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5,676 </w:t>
            </w:r>
          </w:p>
        </w:tc>
      </w:tr>
      <w:tr w:rsidR="00DE2B66" w:rsidRPr="00DE2B66" w14:paraId="0F312B54" w14:textId="77777777" w:rsidTr="00E66212">
        <w:trPr>
          <w:trHeight w:val="360"/>
        </w:trPr>
        <w:tc>
          <w:tcPr>
            <w:tcW w:w="1456" w:type="dxa"/>
            <w:tcBorders>
              <w:top w:val="nil"/>
              <w:left w:val="nil"/>
              <w:bottom w:val="nil"/>
              <w:right w:val="nil"/>
            </w:tcBorders>
            <w:shd w:val="clear" w:color="auto" w:fill="auto"/>
            <w:noWrap/>
            <w:vAlign w:val="bottom"/>
            <w:hideMark/>
          </w:tcPr>
          <w:p w14:paraId="713C0B3F"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Income</w:t>
            </w:r>
          </w:p>
        </w:tc>
        <w:tc>
          <w:tcPr>
            <w:tcW w:w="1510" w:type="dxa"/>
            <w:tcBorders>
              <w:top w:val="nil"/>
              <w:left w:val="nil"/>
              <w:bottom w:val="nil"/>
              <w:right w:val="nil"/>
            </w:tcBorders>
            <w:shd w:val="clear" w:color="auto" w:fill="auto"/>
            <w:noWrap/>
            <w:vAlign w:val="bottom"/>
            <w:hideMark/>
          </w:tcPr>
          <w:p w14:paraId="27887171"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747C90">
              <w:rPr>
                <w:rFonts w:ascii="Aptos" w:eastAsia="Times New Roman" w:hAnsi="Aptos" w:cs="Calibri"/>
                <w:color w:val="A20000"/>
                <w:kern w:val="0"/>
                <w:szCs w:val="24"/>
                <w:lang w:eastAsia="en-GB"/>
                <w14:ligatures w14:val="none"/>
              </w:rPr>
              <w:t xml:space="preserve">-1,121 </w:t>
            </w:r>
          </w:p>
        </w:tc>
        <w:tc>
          <w:tcPr>
            <w:tcW w:w="1272" w:type="dxa"/>
            <w:tcBorders>
              <w:top w:val="nil"/>
              <w:left w:val="nil"/>
              <w:bottom w:val="nil"/>
              <w:right w:val="nil"/>
            </w:tcBorders>
            <w:shd w:val="clear" w:color="auto" w:fill="auto"/>
            <w:noWrap/>
            <w:vAlign w:val="bottom"/>
            <w:hideMark/>
          </w:tcPr>
          <w:p w14:paraId="3874B1C6"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747C90">
              <w:rPr>
                <w:rFonts w:ascii="Aptos" w:eastAsia="Times New Roman" w:hAnsi="Aptos" w:cs="Calibri"/>
                <w:color w:val="A20000"/>
                <w:kern w:val="0"/>
                <w:szCs w:val="24"/>
                <w:lang w:eastAsia="en-GB"/>
                <w14:ligatures w14:val="none"/>
              </w:rPr>
              <w:t xml:space="preserve">-853 </w:t>
            </w:r>
          </w:p>
        </w:tc>
        <w:tc>
          <w:tcPr>
            <w:tcW w:w="1196" w:type="dxa"/>
            <w:tcBorders>
              <w:top w:val="nil"/>
              <w:left w:val="nil"/>
              <w:bottom w:val="nil"/>
              <w:right w:val="nil"/>
            </w:tcBorders>
            <w:shd w:val="clear" w:color="auto" w:fill="auto"/>
            <w:noWrap/>
            <w:vAlign w:val="bottom"/>
            <w:hideMark/>
          </w:tcPr>
          <w:p w14:paraId="6FD4DBD5"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54027197"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7CCC8764"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Operations</w:t>
            </w:r>
          </w:p>
        </w:tc>
        <w:tc>
          <w:tcPr>
            <w:tcW w:w="1559" w:type="dxa"/>
            <w:tcBorders>
              <w:top w:val="nil"/>
              <w:left w:val="nil"/>
              <w:bottom w:val="nil"/>
              <w:right w:val="nil"/>
            </w:tcBorders>
            <w:shd w:val="clear" w:color="auto" w:fill="auto"/>
            <w:noWrap/>
            <w:vAlign w:val="bottom"/>
            <w:hideMark/>
          </w:tcPr>
          <w:p w14:paraId="4D7309DA"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4,298 </w:t>
            </w:r>
          </w:p>
        </w:tc>
        <w:tc>
          <w:tcPr>
            <w:tcW w:w="1418" w:type="dxa"/>
            <w:tcBorders>
              <w:top w:val="nil"/>
              <w:left w:val="nil"/>
              <w:bottom w:val="nil"/>
              <w:right w:val="nil"/>
            </w:tcBorders>
            <w:shd w:val="clear" w:color="auto" w:fill="auto"/>
            <w:noWrap/>
            <w:vAlign w:val="bottom"/>
            <w:hideMark/>
          </w:tcPr>
          <w:p w14:paraId="514DDA38"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3,560 </w:t>
            </w:r>
          </w:p>
        </w:tc>
        <w:tc>
          <w:tcPr>
            <w:tcW w:w="1417" w:type="dxa"/>
            <w:tcBorders>
              <w:top w:val="nil"/>
              <w:left w:val="nil"/>
              <w:bottom w:val="nil"/>
              <w:right w:val="nil"/>
            </w:tcBorders>
            <w:shd w:val="clear" w:color="auto" w:fill="auto"/>
            <w:noWrap/>
            <w:vAlign w:val="bottom"/>
            <w:hideMark/>
          </w:tcPr>
          <w:p w14:paraId="32B97102"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3,553 </w:t>
            </w:r>
          </w:p>
        </w:tc>
      </w:tr>
      <w:tr w:rsidR="00DE2B66" w:rsidRPr="00DE2B66" w14:paraId="1EE401BE" w14:textId="77777777" w:rsidTr="00E66212">
        <w:trPr>
          <w:trHeight w:val="360"/>
        </w:trPr>
        <w:tc>
          <w:tcPr>
            <w:tcW w:w="1456" w:type="dxa"/>
            <w:tcBorders>
              <w:top w:val="nil"/>
              <w:left w:val="nil"/>
              <w:bottom w:val="nil"/>
              <w:right w:val="nil"/>
            </w:tcBorders>
            <w:shd w:val="clear" w:color="auto" w:fill="auto"/>
            <w:noWrap/>
            <w:vAlign w:val="bottom"/>
            <w:hideMark/>
          </w:tcPr>
          <w:p w14:paraId="6C57E192"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Capital</w:t>
            </w:r>
          </w:p>
        </w:tc>
        <w:tc>
          <w:tcPr>
            <w:tcW w:w="1510" w:type="dxa"/>
            <w:tcBorders>
              <w:top w:val="nil"/>
              <w:left w:val="nil"/>
              <w:bottom w:val="nil"/>
              <w:right w:val="nil"/>
            </w:tcBorders>
            <w:shd w:val="clear" w:color="auto" w:fill="auto"/>
            <w:noWrap/>
            <w:vAlign w:val="bottom"/>
            <w:hideMark/>
          </w:tcPr>
          <w:p w14:paraId="027596C1"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100 </w:t>
            </w:r>
          </w:p>
        </w:tc>
        <w:tc>
          <w:tcPr>
            <w:tcW w:w="1272" w:type="dxa"/>
            <w:tcBorders>
              <w:top w:val="nil"/>
              <w:left w:val="nil"/>
              <w:bottom w:val="nil"/>
              <w:right w:val="nil"/>
            </w:tcBorders>
            <w:shd w:val="clear" w:color="auto" w:fill="auto"/>
            <w:noWrap/>
            <w:vAlign w:val="bottom"/>
            <w:hideMark/>
          </w:tcPr>
          <w:p w14:paraId="74250F33"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58 </w:t>
            </w:r>
          </w:p>
        </w:tc>
        <w:tc>
          <w:tcPr>
            <w:tcW w:w="1196" w:type="dxa"/>
            <w:tcBorders>
              <w:top w:val="nil"/>
              <w:left w:val="nil"/>
              <w:bottom w:val="nil"/>
              <w:right w:val="nil"/>
            </w:tcBorders>
            <w:shd w:val="clear" w:color="auto" w:fill="auto"/>
            <w:noWrap/>
            <w:vAlign w:val="bottom"/>
            <w:hideMark/>
          </w:tcPr>
          <w:p w14:paraId="4CC5145C"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3FAAEF81"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1BB2F8CA" w14:textId="64EA7D15"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Strat</w:t>
            </w:r>
            <w:r w:rsidR="00E66212">
              <w:rPr>
                <w:rFonts w:ascii="Aptos" w:eastAsia="Times New Roman" w:hAnsi="Aptos" w:cs="Calibri"/>
                <w:kern w:val="0"/>
                <w:szCs w:val="24"/>
                <w:lang w:eastAsia="en-GB"/>
                <w14:ligatures w14:val="none"/>
              </w:rPr>
              <w:t>egic</w:t>
            </w:r>
            <w:r w:rsidRPr="00DE2B66">
              <w:rPr>
                <w:rFonts w:ascii="Aptos" w:eastAsia="Times New Roman" w:hAnsi="Aptos" w:cs="Calibri"/>
                <w:kern w:val="0"/>
                <w:szCs w:val="24"/>
                <w:lang w:eastAsia="en-GB"/>
                <w14:ligatures w14:val="none"/>
              </w:rPr>
              <w:t xml:space="preserve"> Dev</w:t>
            </w:r>
            <w:r w:rsidR="00E66212">
              <w:rPr>
                <w:rFonts w:ascii="Aptos" w:eastAsia="Times New Roman" w:hAnsi="Aptos" w:cs="Calibri"/>
                <w:kern w:val="0"/>
                <w:szCs w:val="24"/>
                <w:lang w:eastAsia="en-GB"/>
                <w14:ligatures w14:val="none"/>
              </w:rPr>
              <w:t>elopment</w:t>
            </w:r>
          </w:p>
        </w:tc>
        <w:tc>
          <w:tcPr>
            <w:tcW w:w="1559" w:type="dxa"/>
            <w:tcBorders>
              <w:top w:val="nil"/>
              <w:left w:val="nil"/>
              <w:bottom w:val="nil"/>
              <w:right w:val="nil"/>
            </w:tcBorders>
            <w:shd w:val="clear" w:color="auto" w:fill="auto"/>
            <w:noWrap/>
            <w:vAlign w:val="bottom"/>
            <w:hideMark/>
          </w:tcPr>
          <w:p w14:paraId="3BFF1774"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1,050 </w:t>
            </w:r>
          </w:p>
        </w:tc>
        <w:tc>
          <w:tcPr>
            <w:tcW w:w="1418" w:type="dxa"/>
            <w:tcBorders>
              <w:top w:val="nil"/>
              <w:left w:val="nil"/>
              <w:bottom w:val="nil"/>
              <w:right w:val="nil"/>
            </w:tcBorders>
            <w:shd w:val="clear" w:color="auto" w:fill="auto"/>
            <w:noWrap/>
            <w:vAlign w:val="bottom"/>
            <w:hideMark/>
          </w:tcPr>
          <w:p w14:paraId="44338E37"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879 </w:t>
            </w:r>
          </w:p>
        </w:tc>
        <w:tc>
          <w:tcPr>
            <w:tcW w:w="1417" w:type="dxa"/>
            <w:tcBorders>
              <w:top w:val="nil"/>
              <w:left w:val="nil"/>
              <w:bottom w:val="nil"/>
              <w:right w:val="nil"/>
            </w:tcBorders>
            <w:shd w:val="clear" w:color="auto" w:fill="auto"/>
            <w:noWrap/>
            <w:vAlign w:val="bottom"/>
            <w:hideMark/>
          </w:tcPr>
          <w:p w14:paraId="08E39BFE"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878 </w:t>
            </w:r>
          </w:p>
        </w:tc>
      </w:tr>
      <w:tr w:rsidR="00DE2B66" w:rsidRPr="00DE2B66" w14:paraId="1EC19B02" w14:textId="77777777" w:rsidTr="00E66212">
        <w:trPr>
          <w:trHeight w:val="360"/>
        </w:trPr>
        <w:tc>
          <w:tcPr>
            <w:tcW w:w="1456" w:type="dxa"/>
            <w:tcBorders>
              <w:top w:val="nil"/>
              <w:left w:val="nil"/>
              <w:bottom w:val="nil"/>
              <w:right w:val="nil"/>
            </w:tcBorders>
            <w:shd w:val="clear" w:color="auto" w:fill="auto"/>
            <w:noWrap/>
            <w:vAlign w:val="bottom"/>
            <w:hideMark/>
          </w:tcPr>
          <w:p w14:paraId="2C239EC8"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Pension</w:t>
            </w:r>
          </w:p>
        </w:tc>
        <w:tc>
          <w:tcPr>
            <w:tcW w:w="1510" w:type="dxa"/>
            <w:tcBorders>
              <w:top w:val="nil"/>
              <w:left w:val="nil"/>
              <w:bottom w:val="nil"/>
              <w:right w:val="nil"/>
            </w:tcBorders>
            <w:shd w:val="clear" w:color="auto" w:fill="auto"/>
            <w:noWrap/>
            <w:vAlign w:val="bottom"/>
            <w:hideMark/>
          </w:tcPr>
          <w:p w14:paraId="6D8F2071"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2,285 </w:t>
            </w:r>
          </w:p>
        </w:tc>
        <w:tc>
          <w:tcPr>
            <w:tcW w:w="1272" w:type="dxa"/>
            <w:tcBorders>
              <w:top w:val="nil"/>
              <w:left w:val="nil"/>
              <w:bottom w:val="nil"/>
              <w:right w:val="nil"/>
            </w:tcBorders>
            <w:shd w:val="clear" w:color="auto" w:fill="auto"/>
            <w:noWrap/>
            <w:vAlign w:val="bottom"/>
            <w:hideMark/>
          </w:tcPr>
          <w:p w14:paraId="26DC7B53"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2,160 </w:t>
            </w:r>
          </w:p>
        </w:tc>
        <w:tc>
          <w:tcPr>
            <w:tcW w:w="1196" w:type="dxa"/>
            <w:tcBorders>
              <w:top w:val="nil"/>
              <w:left w:val="nil"/>
              <w:bottom w:val="nil"/>
              <w:right w:val="nil"/>
            </w:tcBorders>
            <w:shd w:val="clear" w:color="auto" w:fill="auto"/>
            <w:noWrap/>
            <w:vAlign w:val="bottom"/>
            <w:hideMark/>
          </w:tcPr>
          <w:p w14:paraId="401BDCDD"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07F4E3D4"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58D4F1D0" w14:textId="42A8728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Legal Serv</w:t>
            </w:r>
            <w:r w:rsidR="00E66212">
              <w:rPr>
                <w:rFonts w:ascii="Aptos" w:eastAsia="Times New Roman" w:hAnsi="Aptos" w:cs="Calibri"/>
                <w:kern w:val="0"/>
                <w:szCs w:val="24"/>
                <w:lang w:eastAsia="en-GB"/>
                <w14:ligatures w14:val="none"/>
              </w:rPr>
              <w:t>ices</w:t>
            </w:r>
          </w:p>
        </w:tc>
        <w:tc>
          <w:tcPr>
            <w:tcW w:w="1559" w:type="dxa"/>
            <w:tcBorders>
              <w:top w:val="nil"/>
              <w:left w:val="nil"/>
              <w:bottom w:val="nil"/>
              <w:right w:val="nil"/>
            </w:tcBorders>
            <w:shd w:val="clear" w:color="auto" w:fill="auto"/>
            <w:noWrap/>
            <w:vAlign w:val="bottom"/>
            <w:hideMark/>
          </w:tcPr>
          <w:p w14:paraId="7C4DA26F"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284 </w:t>
            </w:r>
          </w:p>
        </w:tc>
        <w:tc>
          <w:tcPr>
            <w:tcW w:w="1418" w:type="dxa"/>
            <w:tcBorders>
              <w:top w:val="nil"/>
              <w:left w:val="nil"/>
              <w:bottom w:val="nil"/>
              <w:right w:val="nil"/>
            </w:tcBorders>
            <w:shd w:val="clear" w:color="auto" w:fill="auto"/>
            <w:noWrap/>
            <w:vAlign w:val="bottom"/>
            <w:hideMark/>
          </w:tcPr>
          <w:p w14:paraId="495D6F6A"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225 </w:t>
            </w:r>
          </w:p>
        </w:tc>
        <w:tc>
          <w:tcPr>
            <w:tcW w:w="1417" w:type="dxa"/>
            <w:tcBorders>
              <w:top w:val="nil"/>
              <w:left w:val="nil"/>
              <w:bottom w:val="nil"/>
              <w:right w:val="nil"/>
            </w:tcBorders>
            <w:shd w:val="clear" w:color="auto" w:fill="auto"/>
            <w:noWrap/>
            <w:vAlign w:val="bottom"/>
            <w:hideMark/>
          </w:tcPr>
          <w:p w14:paraId="20880F59"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226 </w:t>
            </w:r>
          </w:p>
        </w:tc>
      </w:tr>
      <w:tr w:rsidR="00DE2B66" w:rsidRPr="00DE2B66" w14:paraId="73D5ED95" w14:textId="77777777" w:rsidTr="00E66212">
        <w:trPr>
          <w:trHeight w:val="375"/>
        </w:trPr>
        <w:tc>
          <w:tcPr>
            <w:tcW w:w="1456" w:type="dxa"/>
            <w:tcBorders>
              <w:top w:val="nil"/>
              <w:left w:val="nil"/>
              <w:bottom w:val="nil"/>
              <w:right w:val="nil"/>
            </w:tcBorders>
            <w:shd w:val="clear" w:color="auto" w:fill="auto"/>
            <w:noWrap/>
            <w:vAlign w:val="bottom"/>
            <w:hideMark/>
          </w:tcPr>
          <w:p w14:paraId="04644EC2" w14:textId="77777777" w:rsidR="00DE2B66" w:rsidRPr="00DE2B66" w:rsidRDefault="00DE2B66" w:rsidP="00DE2B66">
            <w:pPr>
              <w:spacing w:after="0" w:line="240" w:lineRule="auto"/>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Total</w:t>
            </w:r>
          </w:p>
        </w:tc>
        <w:tc>
          <w:tcPr>
            <w:tcW w:w="1510" w:type="dxa"/>
            <w:tcBorders>
              <w:top w:val="single" w:sz="4" w:space="0" w:color="auto"/>
              <w:left w:val="nil"/>
              <w:bottom w:val="double" w:sz="6" w:space="0" w:color="auto"/>
              <w:right w:val="nil"/>
            </w:tcBorders>
            <w:shd w:val="clear" w:color="auto" w:fill="auto"/>
            <w:noWrap/>
            <w:vAlign w:val="bottom"/>
            <w:hideMark/>
          </w:tcPr>
          <w:p w14:paraId="172E1057"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 xml:space="preserve">15,166 </w:t>
            </w:r>
          </w:p>
        </w:tc>
        <w:tc>
          <w:tcPr>
            <w:tcW w:w="1272" w:type="dxa"/>
            <w:tcBorders>
              <w:top w:val="single" w:sz="4" w:space="0" w:color="auto"/>
              <w:left w:val="nil"/>
              <w:bottom w:val="double" w:sz="6" w:space="0" w:color="auto"/>
              <w:right w:val="nil"/>
            </w:tcBorders>
            <w:shd w:val="clear" w:color="auto" w:fill="auto"/>
            <w:noWrap/>
            <w:vAlign w:val="bottom"/>
            <w:hideMark/>
          </w:tcPr>
          <w:p w14:paraId="5D35A55B"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 xml:space="preserve">12,914 </w:t>
            </w:r>
          </w:p>
        </w:tc>
        <w:tc>
          <w:tcPr>
            <w:tcW w:w="1196" w:type="dxa"/>
            <w:tcBorders>
              <w:top w:val="nil"/>
              <w:left w:val="nil"/>
              <w:bottom w:val="nil"/>
              <w:right w:val="nil"/>
            </w:tcBorders>
            <w:shd w:val="clear" w:color="auto" w:fill="auto"/>
            <w:noWrap/>
            <w:vAlign w:val="bottom"/>
            <w:hideMark/>
          </w:tcPr>
          <w:p w14:paraId="6E158666"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p>
        </w:tc>
        <w:tc>
          <w:tcPr>
            <w:tcW w:w="1676" w:type="dxa"/>
            <w:tcBorders>
              <w:top w:val="nil"/>
              <w:left w:val="nil"/>
              <w:bottom w:val="nil"/>
              <w:right w:val="nil"/>
            </w:tcBorders>
            <w:shd w:val="clear" w:color="auto" w:fill="auto"/>
            <w:noWrap/>
            <w:vAlign w:val="bottom"/>
            <w:hideMark/>
          </w:tcPr>
          <w:p w14:paraId="4AD1D7F0"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6F55E6C7"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 xml:space="preserve">Vacancy Gap </w:t>
            </w:r>
          </w:p>
        </w:tc>
        <w:tc>
          <w:tcPr>
            <w:tcW w:w="1559" w:type="dxa"/>
            <w:tcBorders>
              <w:top w:val="nil"/>
              <w:left w:val="nil"/>
              <w:bottom w:val="nil"/>
              <w:right w:val="nil"/>
            </w:tcBorders>
            <w:shd w:val="clear" w:color="auto" w:fill="auto"/>
            <w:noWrap/>
            <w:vAlign w:val="bottom"/>
            <w:hideMark/>
          </w:tcPr>
          <w:p w14:paraId="4D836344"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0 </w:t>
            </w:r>
          </w:p>
        </w:tc>
        <w:tc>
          <w:tcPr>
            <w:tcW w:w="1418" w:type="dxa"/>
            <w:tcBorders>
              <w:top w:val="nil"/>
              <w:left w:val="nil"/>
              <w:bottom w:val="nil"/>
              <w:right w:val="nil"/>
            </w:tcBorders>
            <w:shd w:val="clear" w:color="auto" w:fill="auto"/>
            <w:noWrap/>
            <w:vAlign w:val="bottom"/>
            <w:hideMark/>
          </w:tcPr>
          <w:p w14:paraId="44841506"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0 </w:t>
            </w:r>
          </w:p>
        </w:tc>
        <w:tc>
          <w:tcPr>
            <w:tcW w:w="1417" w:type="dxa"/>
            <w:tcBorders>
              <w:top w:val="nil"/>
              <w:left w:val="nil"/>
              <w:bottom w:val="nil"/>
              <w:right w:val="nil"/>
            </w:tcBorders>
            <w:shd w:val="clear" w:color="auto" w:fill="auto"/>
            <w:noWrap/>
            <w:vAlign w:val="bottom"/>
            <w:hideMark/>
          </w:tcPr>
          <w:p w14:paraId="1A27618C"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0 </w:t>
            </w:r>
          </w:p>
        </w:tc>
      </w:tr>
      <w:tr w:rsidR="00DE2B66" w:rsidRPr="00DE2B66" w14:paraId="05E78E39" w14:textId="77777777" w:rsidTr="00E66212">
        <w:trPr>
          <w:trHeight w:val="375"/>
        </w:trPr>
        <w:tc>
          <w:tcPr>
            <w:tcW w:w="1456" w:type="dxa"/>
            <w:tcBorders>
              <w:top w:val="nil"/>
              <w:left w:val="nil"/>
              <w:bottom w:val="nil"/>
              <w:right w:val="nil"/>
            </w:tcBorders>
            <w:shd w:val="clear" w:color="auto" w:fill="auto"/>
            <w:noWrap/>
            <w:vAlign w:val="bottom"/>
            <w:hideMark/>
          </w:tcPr>
          <w:p w14:paraId="71085008"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510" w:type="dxa"/>
            <w:tcBorders>
              <w:top w:val="nil"/>
              <w:left w:val="nil"/>
              <w:bottom w:val="nil"/>
              <w:right w:val="nil"/>
            </w:tcBorders>
            <w:shd w:val="clear" w:color="auto" w:fill="auto"/>
            <w:noWrap/>
            <w:vAlign w:val="bottom"/>
            <w:hideMark/>
          </w:tcPr>
          <w:p w14:paraId="66F33A1D"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272" w:type="dxa"/>
            <w:tcBorders>
              <w:top w:val="nil"/>
              <w:left w:val="nil"/>
              <w:bottom w:val="nil"/>
              <w:right w:val="nil"/>
            </w:tcBorders>
            <w:shd w:val="clear" w:color="auto" w:fill="auto"/>
            <w:noWrap/>
            <w:vAlign w:val="bottom"/>
            <w:hideMark/>
          </w:tcPr>
          <w:p w14:paraId="1C096A71"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196" w:type="dxa"/>
            <w:tcBorders>
              <w:top w:val="nil"/>
              <w:left w:val="nil"/>
              <w:bottom w:val="nil"/>
              <w:right w:val="nil"/>
            </w:tcBorders>
            <w:shd w:val="clear" w:color="auto" w:fill="auto"/>
            <w:noWrap/>
            <w:vAlign w:val="bottom"/>
            <w:hideMark/>
          </w:tcPr>
          <w:p w14:paraId="304526DA"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shd w:val="clear" w:color="auto" w:fill="auto"/>
            <w:noWrap/>
            <w:vAlign w:val="bottom"/>
            <w:hideMark/>
          </w:tcPr>
          <w:p w14:paraId="67F03CB4"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0655B87C" w14:textId="77777777" w:rsidR="00DE2B66" w:rsidRPr="00DE2B66" w:rsidRDefault="00DE2B66" w:rsidP="00DE2B66">
            <w:pPr>
              <w:spacing w:after="0" w:line="240" w:lineRule="auto"/>
              <w:rPr>
                <w:rFonts w:ascii="Aptos" w:eastAsia="Times New Roman" w:hAnsi="Aptos" w:cs="Calibri"/>
                <w:kern w:val="0"/>
                <w:szCs w:val="24"/>
                <w:lang w:eastAsia="en-GB"/>
                <w14:ligatures w14:val="none"/>
              </w:rPr>
            </w:pPr>
            <w:r w:rsidRPr="00DE2B66">
              <w:rPr>
                <w:rFonts w:ascii="Aptos" w:eastAsia="Times New Roman" w:hAnsi="Aptos" w:cs="Calibri"/>
                <w:kern w:val="0"/>
                <w:szCs w:val="24"/>
                <w:lang w:eastAsia="en-GB"/>
                <w14:ligatures w14:val="none"/>
              </w:rPr>
              <w:t>Pension</w:t>
            </w:r>
          </w:p>
        </w:tc>
        <w:tc>
          <w:tcPr>
            <w:tcW w:w="1559" w:type="dxa"/>
            <w:tcBorders>
              <w:top w:val="nil"/>
              <w:left w:val="nil"/>
              <w:bottom w:val="nil"/>
              <w:right w:val="nil"/>
            </w:tcBorders>
            <w:shd w:val="clear" w:color="auto" w:fill="auto"/>
            <w:noWrap/>
            <w:vAlign w:val="bottom"/>
            <w:hideMark/>
          </w:tcPr>
          <w:p w14:paraId="21932086"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2,285 </w:t>
            </w:r>
          </w:p>
        </w:tc>
        <w:tc>
          <w:tcPr>
            <w:tcW w:w="1418" w:type="dxa"/>
            <w:tcBorders>
              <w:top w:val="nil"/>
              <w:left w:val="nil"/>
              <w:bottom w:val="nil"/>
              <w:right w:val="nil"/>
            </w:tcBorders>
            <w:shd w:val="clear" w:color="auto" w:fill="auto"/>
            <w:noWrap/>
            <w:vAlign w:val="bottom"/>
            <w:hideMark/>
          </w:tcPr>
          <w:p w14:paraId="2453865B"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2,186 </w:t>
            </w:r>
          </w:p>
        </w:tc>
        <w:tc>
          <w:tcPr>
            <w:tcW w:w="1417" w:type="dxa"/>
            <w:tcBorders>
              <w:top w:val="nil"/>
              <w:left w:val="nil"/>
              <w:bottom w:val="nil"/>
              <w:right w:val="nil"/>
            </w:tcBorders>
            <w:shd w:val="clear" w:color="auto" w:fill="auto"/>
            <w:noWrap/>
            <w:vAlign w:val="bottom"/>
            <w:hideMark/>
          </w:tcPr>
          <w:p w14:paraId="33560416"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r w:rsidRPr="00DE2B66">
              <w:rPr>
                <w:rFonts w:ascii="Aptos" w:eastAsia="Times New Roman" w:hAnsi="Aptos" w:cs="Calibri"/>
                <w:color w:val="000000"/>
                <w:kern w:val="0"/>
                <w:szCs w:val="24"/>
                <w:lang w:eastAsia="en-GB"/>
                <w14:ligatures w14:val="none"/>
              </w:rPr>
              <w:t xml:space="preserve">2,160 </w:t>
            </w:r>
          </w:p>
        </w:tc>
      </w:tr>
      <w:tr w:rsidR="00DE2B66" w:rsidRPr="00DE2B66" w14:paraId="7D07AE3F" w14:textId="77777777" w:rsidTr="00E66212">
        <w:trPr>
          <w:trHeight w:val="375"/>
        </w:trPr>
        <w:tc>
          <w:tcPr>
            <w:tcW w:w="1456" w:type="dxa"/>
            <w:tcBorders>
              <w:top w:val="nil"/>
              <w:left w:val="nil"/>
              <w:bottom w:val="nil"/>
              <w:right w:val="nil"/>
            </w:tcBorders>
            <w:shd w:val="clear" w:color="auto" w:fill="auto"/>
            <w:noWrap/>
            <w:vAlign w:val="bottom"/>
            <w:hideMark/>
          </w:tcPr>
          <w:p w14:paraId="1F47C619" w14:textId="77777777" w:rsidR="00DE2B66" w:rsidRPr="00DE2B66" w:rsidRDefault="00DE2B66" w:rsidP="00DE2B66">
            <w:pPr>
              <w:spacing w:after="0" w:line="240" w:lineRule="auto"/>
              <w:jc w:val="right"/>
              <w:rPr>
                <w:rFonts w:ascii="Aptos" w:eastAsia="Times New Roman" w:hAnsi="Aptos" w:cs="Calibri"/>
                <w:color w:val="000000"/>
                <w:kern w:val="0"/>
                <w:szCs w:val="24"/>
                <w:lang w:eastAsia="en-GB"/>
                <w14:ligatures w14:val="none"/>
              </w:rPr>
            </w:pPr>
          </w:p>
        </w:tc>
        <w:tc>
          <w:tcPr>
            <w:tcW w:w="1510" w:type="dxa"/>
            <w:tcBorders>
              <w:top w:val="nil"/>
              <w:left w:val="nil"/>
              <w:bottom w:val="nil"/>
              <w:right w:val="nil"/>
            </w:tcBorders>
            <w:shd w:val="clear" w:color="auto" w:fill="auto"/>
            <w:noWrap/>
            <w:vAlign w:val="bottom"/>
            <w:hideMark/>
          </w:tcPr>
          <w:p w14:paraId="1F877910"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272" w:type="dxa"/>
            <w:tcBorders>
              <w:top w:val="nil"/>
              <w:left w:val="nil"/>
              <w:bottom w:val="nil"/>
              <w:right w:val="nil"/>
            </w:tcBorders>
            <w:shd w:val="clear" w:color="auto" w:fill="auto"/>
            <w:noWrap/>
            <w:vAlign w:val="bottom"/>
            <w:hideMark/>
          </w:tcPr>
          <w:p w14:paraId="2B3C1555"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196" w:type="dxa"/>
            <w:tcBorders>
              <w:top w:val="nil"/>
              <w:left w:val="nil"/>
              <w:bottom w:val="nil"/>
              <w:right w:val="nil"/>
            </w:tcBorders>
            <w:shd w:val="clear" w:color="auto" w:fill="auto"/>
            <w:noWrap/>
            <w:vAlign w:val="bottom"/>
            <w:hideMark/>
          </w:tcPr>
          <w:p w14:paraId="3B0B3266"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shd w:val="clear" w:color="auto" w:fill="auto"/>
            <w:noWrap/>
            <w:vAlign w:val="bottom"/>
            <w:hideMark/>
          </w:tcPr>
          <w:p w14:paraId="379948B3" w14:textId="77777777" w:rsidR="00DE2B66" w:rsidRPr="00DE2B66" w:rsidRDefault="00DE2B66" w:rsidP="00DE2B66">
            <w:pPr>
              <w:spacing w:after="0" w:line="240" w:lineRule="auto"/>
              <w:rPr>
                <w:rFonts w:ascii="Times New Roman" w:eastAsia="Times New Roman" w:hAnsi="Times New Roman" w:cs="Times New Roman"/>
                <w:kern w:val="0"/>
                <w:sz w:val="20"/>
                <w:szCs w:val="20"/>
                <w:lang w:eastAsia="en-GB"/>
                <w14:ligatures w14:val="none"/>
              </w:rPr>
            </w:pPr>
          </w:p>
        </w:tc>
        <w:tc>
          <w:tcPr>
            <w:tcW w:w="2671" w:type="dxa"/>
            <w:tcBorders>
              <w:top w:val="nil"/>
              <w:left w:val="nil"/>
              <w:bottom w:val="nil"/>
              <w:right w:val="nil"/>
            </w:tcBorders>
            <w:shd w:val="clear" w:color="auto" w:fill="auto"/>
            <w:noWrap/>
            <w:vAlign w:val="bottom"/>
            <w:hideMark/>
          </w:tcPr>
          <w:p w14:paraId="0E86C61C" w14:textId="77777777" w:rsidR="00DE2B66" w:rsidRPr="00DE2B66" w:rsidRDefault="00DE2B66" w:rsidP="00DE2B66">
            <w:pPr>
              <w:spacing w:after="0" w:line="240" w:lineRule="auto"/>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Total</w:t>
            </w:r>
          </w:p>
        </w:tc>
        <w:tc>
          <w:tcPr>
            <w:tcW w:w="1559" w:type="dxa"/>
            <w:tcBorders>
              <w:top w:val="single" w:sz="4" w:space="0" w:color="auto"/>
              <w:left w:val="nil"/>
              <w:bottom w:val="double" w:sz="6" w:space="0" w:color="auto"/>
              <w:right w:val="nil"/>
            </w:tcBorders>
            <w:shd w:val="clear" w:color="auto" w:fill="auto"/>
            <w:noWrap/>
            <w:vAlign w:val="bottom"/>
            <w:hideMark/>
          </w:tcPr>
          <w:p w14:paraId="636AD3CC"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 xml:space="preserve">15,166 </w:t>
            </w:r>
          </w:p>
        </w:tc>
        <w:tc>
          <w:tcPr>
            <w:tcW w:w="1418" w:type="dxa"/>
            <w:tcBorders>
              <w:top w:val="single" w:sz="4" w:space="0" w:color="auto"/>
              <w:left w:val="nil"/>
              <w:bottom w:val="double" w:sz="6" w:space="0" w:color="auto"/>
              <w:right w:val="nil"/>
            </w:tcBorders>
            <w:shd w:val="clear" w:color="auto" w:fill="auto"/>
            <w:noWrap/>
            <w:vAlign w:val="bottom"/>
            <w:hideMark/>
          </w:tcPr>
          <w:p w14:paraId="144C18B9"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 xml:space="preserve">12,959 </w:t>
            </w:r>
          </w:p>
        </w:tc>
        <w:tc>
          <w:tcPr>
            <w:tcW w:w="1417" w:type="dxa"/>
            <w:tcBorders>
              <w:top w:val="single" w:sz="4" w:space="0" w:color="auto"/>
              <w:left w:val="nil"/>
              <w:bottom w:val="double" w:sz="6" w:space="0" w:color="auto"/>
              <w:right w:val="nil"/>
            </w:tcBorders>
            <w:shd w:val="clear" w:color="auto" w:fill="auto"/>
            <w:noWrap/>
            <w:vAlign w:val="bottom"/>
            <w:hideMark/>
          </w:tcPr>
          <w:p w14:paraId="465D1BFE" w14:textId="77777777" w:rsidR="00DE2B66" w:rsidRPr="00DE2B66" w:rsidRDefault="00DE2B66" w:rsidP="00DE2B66">
            <w:pPr>
              <w:spacing w:after="0" w:line="240" w:lineRule="auto"/>
              <w:jc w:val="right"/>
              <w:rPr>
                <w:rFonts w:ascii="Aptos" w:eastAsia="Times New Roman" w:hAnsi="Aptos" w:cs="Calibri"/>
                <w:b/>
                <w:bCs/>
                <w:kern w:val="0"/>
                <w:szCs w:val="24"/>
                <w:lang w:eastAsia="en-GB"/>
                <w14:ligatures w14:val="none"/>
              </w:rPr>
            </w:pPr>
            <w:r w:rsidRPr="00DE2B66">
              <w:rPr>
                <w:rFonts w:ascii="Aptos" w:eastAsia="Times New Roman" w:hAnsi="Aptos" w:cs="Calibri"/>
                <w:b/>
                <w:bCs/>
                <w:kern w:val="0"/>
                <w:szCs w:val="24"/>
                <w:lang w:eastAsia="en-GB"/>
                <w14:ligatures w14:val="none"/>
              </w:rPr>
              <w:t xml:space="preserve">12,914 </w:t>
            </w:r>
          </w:p>
        </w:tc>
      </w:tr>
    </w:tbl>
    <w:p w14:paraId="3C3AFCE6" w14:textId="77777777" w:rsidR="00DE2B66" w:rsidRPr="00DE2B66" w:rsidRDefault="00DE2B66" w:rsidP="00DE2B66"/>
    <w:p w14:paraId="19956F8B" w14:textId="4134478E" w:rsidR="00BC40F0" w:rsidRPr="00253BA6" w:rsidRDefault="000D6ABF" w:rsidP="00253BA6">
      <w:pPr>
        <w:pStyle w:val="Heading2"/>
        <w:rPr>
          <w:rFonts w:eastAsia="Times New Roman"/>
          <w:lang w:eastAsia="en-GB"/>
        </w:rPr>
      </w:pPr>
      <w:r w:rsidRPr="00DE2B66">
        <w:rPr>
          <w:rFonts w:eastAsia="Times New Roman"/>
          <w:lang w:eastAsia="en-GB"/>
        </w:rPr>
        <w:t>Budget Utilisation YTD</w:t>
      </w:r>
    </w:p>
    <w:tbl>
      <w:tblPr>
        <w:tblW w:w="15398" w:type="dxa"/>
        <w:tblLook w:val="04A0" w:firstRow="1" w:lastRow="0" w:firstColumn="1" w:lastColumn="0" w:noHBand="0" w:noVBand="1"/>
      </w:tblPr>
      <w:tblGrid>
        <w:gridCol w:w="1175"/>
        <w:gridCol w:w="1432"/>
        <w:gridCol w:w="1511"/>
        <w:gridCol w:w="1274"/>
        <w:gridCol w:w="1174"/>
        <w:gridCol w:w="1650"/>
        <w:gridCol w:w="1511"/>
        <w:gridCol w:w="1234"/>
        <w:gridCol w:w="1174"/>
        <w:gridCol w:w="1353"/>
        <w:gridCol w:w="955"/>
        <w:gridCol w:w="955"/>
      </w:tblGrid>
      <w:tr w:rsidR="00BC40F0" w:rsidRPr="00BC40F0" w14:paraId="43081D4A" w14:textId="77777777" w:rsidTr="00BC40F0">
        <w:trPr>
          <w:trHeight w:val="360"/>
        </w:trPr>
        <w:tc>
          <w:tcPr>
            <w:tcW w:w="1175" w:type="dxa"/>
            <w:tcBorders>
              <w:top w:val="nil"/>
              <w:left w:val="nil"/>
              <w:bottom w:val="nil"/>
              <w:right w:val="nil"/>
            </w:tcBorders>
            <w:shd w:val="clear" w:color="auto" w:fill="auto"/>
            <w:noWrap/>
            <w:vAlign w:val="bottom"/>
            <w:hideMark/>
          </w:tcPr>
          <w:p w14:paraId="400D49F7" w14:textId="0BC9FB29" w:rsidR="00BC40F0" w:rsidRPr="00BC40F0" w:rsidRDefault="00BC40F0" w:rsidP="00BC40F0">
            <w:pPr>
              <w:rPr>
                <w:rFonts w:ascii="Calibri" w:hAnsi="Calibri" w:cs="Calibri"/>
                <w:noProof/>
                <w:color w:val="000000"/>
                <w:sz w:val="22"/>
                <w:highlight w:val="yellow"/>
                <w:lang w:eastAsia="en-GB"/>
              </w:rPr>
            </w:pPr>
            <w:r w:rsidRPr="00BC40F0">
              <w:rPr>
                <w:rFonts w:ascii="Calibri" w:hAnsi="Calibri" w:cs="Calibri"/>
                <w:noProof/>
                <w:color w:val="000000"/>
                <w:sz w:val="22"/>
                <w:highlight w:val="yellow"/>
                <w:lang w:eastAsia="en-GB"/>
              </w:rPr>
              <w:drawing>
                <wp:anchor distT="0" distB="0" distL="114300" distR="114300" simplePos="0" relativeHeight="251658242" behindDoc="0" locked="0" layoutInCell="1" allowOverlap="1" wp14:anchorId="184D9F3A" wp14:editId="24A7C8AE">
                  <wp:simplePos x="0" y="0"/>
                  <wp:positionH relativeFrom="column">
                    <wp:posOffset>0</wp:posOffset>
                  </wp:positionH>
                  <wp:positionV relativeFrom="paragraph">
                    <wp:posOffset>200025</wp:posOffset>
                  </wp:positionV>
                  <wp:extent cx="1571625" cy="1590675"/>
                  <wp:effectExtent l="0" t="0" r="9525" b="9525"/>
                  <wp:wrapNone/>
                  <wp:docPr id="2" name="Chart 5" descr="Staff 83%">
                    <a:extLst xmlns:a="http://schemas.openxmlformats.org/drawingml/2006/main">
                      <a:ext uri="{FF2B5EF4-FFF2-40B4-BE49-F238E27FC236}">
                        <a16:creationId xmlns:a16="http://schemas.microsoft.com/office/drawing/2014/main" id="{7B6CC02C-041A-4BE6-86E4-541FD017927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BC40F0">
              <w:rPr>
                <w:rFonts w:ascii="Calibri" w:hAnsi="Calibri" w:cs="Calibri"/>
                <w:noProof/>
                <w:color w:val="000000"/>
                <w:sz w:val="22"/>
                <w:highlight w:val="yellow"/>
                <w:lang w:eastAsia="en-GB"/>
              </w:rPr>
              <w:drawing>
                <wp:anchor distT="0" distB="0" distL="114300" distR="114300" simplePos="0" relativeHeight="251658243" behindDoc="0" locked="0" layoutInCell="1" allowOverlap="1" wp14:anchorId="74E23149" wp14:editId="1A388E44">
                  <wp:simplePos x="0" y="0"/>
                  <wp:positionH relativeFrom="column">
                    <wp:posOffset>1552575</wp:posOffset>
                  </wp:positionH>
                  <wp:positionV relativeFrom="paragraph">
                    <wp:posOffset>209550</wp:posOffset>
                  </wp:positionV>
                  <wp:extent cx="1752600" cy="1590675"/>
                  <wp:effectExtent l="0" t="0" r="0" b="9525"/>
                  <wp:wrapNone/>
                  <wp:docPr id="3" name="Chart 4" descr="Running costs 83%">
                    <a:extLst xmlns:a="http://schemas.openxmlformats.org/drawingml/2006/main">
                      <a:ext uri="{FF2B5EF4-FFF2-40B4-BE49-F238E27FC236}">
                        <a16:creationId xmlns:a16="http://schemas.microsoft.com/office/drawing/2014/main" id="{0FAB3D5C-B4C0-491E-A28C-A9ABBDD5FF4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BC40F0">
              <w:rPr>
                <w:rFonts w:ascii="Calibri" w:hAnsi="Calibri" w:cs="Calibri"/>
                <w:noProof/>
                <w:color w:val="000000"/>
                <w:sz w:val="22"/>
                <w:highlight w:val="yellow"/>
                <w:lang w:eastAsia="en-GB"/>
              </w:rPr>
              <w:drawing>
                <wp:anchor distT="0" distB="0" distL="114300" distR="114300" simplePos="0" relativeHeight="251658244" behindDoc="0" locked="0" layoutInCell="1" allowOverlap="1" wp14:anchorId="2489A6B9" wp14:editId="21184CC8">
                  <wp:simplePos x="0" y="0"/>
                  <wp:positionH relativeFrom="column">
                    <wp:posOffset>7324725</wp:posOffset>
                  </wp:positionH>
                  <wp:positionV relativeFrom="paragraph">
                    <wp:posOffset>209550</wp:posOffset>
                  </wp:positionV>
                  <wp:extent cx="2133600" cy="1600200"/>
                  <wp:effectExtent l="0" t="0" r="0" b="0"/>
                  <wp:wrapNone/>
                  <wp:docPr id="6" name="Chart 3" descr="Pension 94%">
                    <a:extLst xmlns:a="http://schemas.openxmlformats.org/drawingml/2006/main">
                      <a:ext uri="{FF2B5EF4-FFF2-40B4-BE49-F238E27FC236}">
                        <a16:creationId xmlns:a16="http://schemas.microsoft.com/office/drawing/2014/main" id="{38EC5BA5-039F-4354-8E01-19ACD73339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BC40F0">
              <w:rPr>
                <w:rFonts w:ascii="Calibri" w:hAnsi="Calibri" w:cs="Calibri"/>
                <w:noProof/>
                <w:color w:val="000000"/>
                <w:sz w:val="22"/>
                <w:highlight w:val="yellow"/>
                <w:lang w:eastAsia="en-GB"/>
              </w:rPr>
              <w:drawing>
                <wp:anchor distT="0" distB="0" distL="114300" distR="114300" simplePos="0" relativeHeight="251658245" behindDoc="0" locked="0" layoutInCell="1" allowOverlap="1" wp14:anchorId="4FCDBB95" wp14:editId="72F8E79A">
                  <wp:simplePos x="0" y="0"/>
                  <wp:positionH relativeFrom="column">
                    <wp:posOffset>5143500</wp:posOffset>
                  </wp:positionH>
                  <wp:positionV relativeFrom="paragraph">
                    <wp:posOffset>209550</wp:posOffset>
                  </wp:positionV>
                  <wp:extent cx="2200275" cy="1590675"/>
                  <wp:effectExtent l="0" t="0" r="9525" b="9525"/>
                  <wp:wrapNone/>
                  <wp:docPr id="8" name="Chart 2" descr="Capital 58%">
                    <a:extLst xmlns:a="http://schemas.openxmlformats.org/drawingml/2006/main">
                      <a:ext uri="{FF2B5EF4-FFF2-40B4-BE49-F238E27FC236}">
                        <a16:creationId xmlns:a16="http://schemas.microsoft.com/office/drawing/2014/main" id="{0FF98DDF-32AB-41A2-B75A-8D18542104D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BC40F0">
              <w:rPr>
                <w:rFonts w:ascii="Calibri" w:hAnsi="Calibri" w:cs="Calibri"/>
                <w:noProof/>
                <w:color w:val="000000"/>
                <w:sz w:val="22"/>
                <w:highlight w:val="yellow"/>
                <w:lang w:eastAsia="en-GB"/>
              </w:rPr>
              <w:drawing>
                <wp:anchor distT="0" distB="0" distL="114300" distR="114300" simplePos="0" relativeHeight="251658246" behindDoc="0" locked="0" layoutInCell="1" allowOverlap="1" wp14:anchorId="22A21BB2" wp14:editId="31B3F6D9">
                  <wp:simplePos x="0" y="0"/>
                  <wp:positionH relativeFrom="column">
                    <wp:posOffset>3295650</wp:posOffset>
                  </wp:positionH>
                  <wp:positionV relativeFrom="paragraph">
                    <wp:posOffset>209550</wp:posOffset>
                  </wp:positionV>
                  <wp:extent cx="1847850" cy="1590675"/>
                  <wp:effectExtent l="0" t="0" r="0" b="9525"/>
                  <wp:wrapNone/>
                  <wp:docPr id="5" name="Chart 1" descr="Income 76%">
                    <a:extLst xmlns:a="http://schemas.openxmlformats.org/drawingml/2006/main">
                      <a:ext uri="{FF2B5EF4-FFF2-40B4-BE49-F238E27FC236}">
                        <a16:creationId xmlns:a16="http://schemas.microsoft.com/office/drawing/2014/main" id="{C559F994-A40C-45B4-9354-6CEF2D8144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9"/>
            </w:tblGrid>
            <w:tr w:rsidR="00BC40F0" w:rsidRPr="00BC40F0" w14:paraId="725038FE" w14:textId="77777777">
              <w:trPr>
                <w:trHeight w:val="360"/>
                <w:tblCellSpacing w:w="0" w:type="dxa"/>
              </w:trPr>
              <w:tc>
                <w:tcPr>
                  <w:tcW w:w="960" w:type="dxa"/>
                  <w:tcBorders>
                    <w:top w:val="nil"/>
                    <w:left w:val="nil"/>
                    <w:bottom w:val="nil"/>
                    <w:right w:val="nil"/>
                  </w:tcBorders>
                  <w:shd w:val="clear" w:color="auto" w:fill="auto"/>
                  <w:noWrap/>
                  <w:vAlign w:val="bottom"/>
                  <w:hideMark/>
                </w:tcPr>
                <w:p w14:paraId="58DB5B73" w14:textId="77777777" w:rsidR="00BC40F0" w:rsidRPr="00BC40F0" w:rsidRDefault="00BC40F0" w:rsidP="00BC40F0">
                  <w:pPr>
                    <w:spacing w:after="0" w:line="240" w:lineRule="auto"/>
                    <w:rPr>
                      <w:rFonts w:ascii="Calibri" w:eastAsia="Times New Roman" w:hAnsi="Calibri" w:cs="Calibri"/>
                      <w:color w:val="000000"/>
                      <w:kern w:val="0"/>
                      <w:sz w:val="22"/>
                      <w:lang w:eastAsia="en-GB"/>
                      <w14:ligatures w14:val="none"/>
                    </w:rPr>
                  </w:pPr>
                </w:p>
              </w:tc>
            </w:tr>
          </w:tbl>
          <w:p w14:paraId="0AA76FE6"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547C7556"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45AE5994"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4CAF6DD6"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01159A3D"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34CAD46D"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64443143"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2722D09D"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7DA9DD2A"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7896950E"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43E14394"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33EA6A98" w14:textId="77777777" w:rsidR="00BC40F0" w:rsidRPr="00BC40F0" w:rsidRDefault="00BC40F0" w:rsidP="00BC40F0">
            <w:pPr>
              <w:rPr>
                <w:sz w:val="20"/>
                <w:highlight w:val="yellow"/>
                <w:lang w:eastAsia="en-GB"/>
              </w:rPr>
            </w:pPr>
          </w:p>
        </w:tc>
      </w:tr>
      <w:tr w:rsidR="00BC40F0" w:rsidRPr="00BC40F0" w14:paraId="35710373" w14:textId="77777777" w:rsidTr="00BC40F0">
        <w:trPr>
          <w:trHeight w:val="360"/>
        </w:trPr>
        <w:tc>
          <w:tcPr>
            <w:tcW w:w="1175" w:type="dxa"/>
            <w:tcBorders>
              <w:top w:val="nil"/>
              <w:left w:val="nil"/>
              <w:bottom w:val="nil"/>
              <w:right w:val="nil"/>
            </w:tcBorders>
            <w:shd w:val="clear" w:color="auto" w:fill="auto"/>
            <w:noWrap/>
            <w:vAlign w:val="bottom"/>
            <w:hideMark/>
          </w:tcPr>
          <w:p w14:paraId="29587215"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411D4D12"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1C228348"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73132F87"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42134E18"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79A7D8E4"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37388B6E"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0F49C452"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1BFD2A99"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5A57FAE2"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7C409EFE"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56206FE2" w14:textId="77777777" w:rsidR="00BC40F0" w:rsidRPr="00BC40F0" w:rsidRDefault="00BC40F0" w:rsidP="00BC40F0">
            <w:pPr>
              <w:rPr>
                <w:sz w:val="20"/>
                <w:highlight w:val="yellow"/>
                <w:lang w:eastAsia="en-GB"/>
              </w:rPr>
            </w:pPr>
          </w:p>
        </w:tc>
      </w:tr>
      <w:tr w:rsidR="00BC40F0" w:rsidRPr="00BC40F0" w14:paraId="4A221E4C" w14:textId="77777777" w:rsidTr="00BC40F0">
        <w:trPr>
          <w:trHeight w:val="360"/>
        </w:trPr>
        <w:tc>
          <w:tcPr>
            <w:tcW w:w="1175" w:type="dxa"/>
            <w:tcBorders>
              <w:top w:val="nil"/>
              <w:left w:val="nil"/>
              <w:bottom w:val="nil"/>
              <w:right w:val="nil"/>
            </w:tcBorders>
            <w:shd w:val="clear" w:color="auto" w:fill="auto"/>
            <w:noWrap/>
            <w:vAlign w:val="bottom"/>
            <w:hideMark/>
          </w:tcPr>
          <w:p w14:paraId="4B9E1E28"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0BF7B409"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38C26608"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14D1138E"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33E7EF7A"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63DADA55"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5DF6E5DD"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63DD3A35"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390EE4D0"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0B6CC613"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66F77774"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3EAE91F4" w14:textId="77777777" w:rsidR="00BC40F0" w:rsidRPr="00BC40F0" w:rsidRDefault="00BC40F0" w:rsidP="00BC40F0">
            <w:pPr>
              <w:rPr>
                <w:sz w:val="20"/>
                <w:highlight w:val="yellow"/>
                <w:lang w:eastAsia="en-GB"/>
              </w:rPr>
            </w:pPr>
          </w:p>
        </w:tc>
      </w:tr>
      <w:tr w:rsidR="00BC40F0" w:rsidRPr="00BC40F0" w14:paraId="7BAE1E3D" w14:textId="77777777" w:rsidTr="00BC40F0">
        <w:trPr>
          <w:trHeight w:val="360"/>
        </w:trPr>
        <w:tc>
          <w:tcPr>
            <w:tcW w:w="1175" w:type="dxa"/>
            <w:tcBorders>
              <w:top w:val="nil"/>
              <w:left w:val="nil"/>
              <w:bottom w:val="nil"/>
              <w:right w:val="nil"/>
            </w:tcBorders>
            <w:shd w:val="clear" w:color="auto" w:fill="auto"/>
            <w:noWrap/>
            <w:vAlign w:val="bottom"/>
            <w:hideMark/>
          </w:tcPr>
          <w:p w14:paraId="19F12F97"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54BB6F7F"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35B14B75"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6DA885B1"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751DCE5C"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13829164"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13106772"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775D4A24"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50F23D17"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781E787D"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44014B25"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00ACAE7A" w14:textId="77777777" w:rsidR="00BC40F0" w:rsidRPr="00BC40F0" w:rsidRDefault="00BC40F0" w:rsidP="00BC40F0">
            <w:pPr>
              <w:rPr>
                <w:sz w:val="20"/>
                <w:highlight w:val="yellow"/>
                <w:lang w:eastAsia="en-GB"/>
              </w:rPr>
            </w:pPr>
          </w:p>
        </w:tc>
      </w:tr>
      <w:tr w:rsidR="00BC40F0" w:rsidRPr="00BC40F0" w14:paraId="030AF234" w14:textId="77777777" w:rsidTr="00BC40F0">
        <w:trPr>
          <w:trHeight w:val="360"/>
        </w:trPr>
        <w:tc>
          <w:tcPr>
            <w:tcW w:w="1175" w:type="dxa"/>
            <w:tcBorders>
              <w:top w:val="nil"/>
              <w:left w:val="nil"/>
              <w:bottom w:val="nil"/>
              <w:right w:val="nil"/>
            </w:tcBorders>
            <w:shd w:val="clear" w:color="auto" w:fill="auto"/>
            <w:noWrap/>
            <w:vAlign w:val="bottom"/>
            <w:hideMark/>
          </w:tcPr>
          <w:p w14:paraId="61CAF289"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41C75832"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178F5B9F"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71BA93FD"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1DCC37B7"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3E82230D"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21876CB6"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6362446D"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4BE80049"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1E5FBF92"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5A450FB7"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2678CADB" w14:textId="77777777" w:rsidR="00BC40F0" w:rsidRPr="00BC40F0" w:rsidRDefault="00BC40F0" w:rsidP="00BC40F0">
            <w:pPr>
              <w:rPr>
                <w:sz w:val="20"/>
                <w:highlight w:val="yellow"/>
                <w:lang w:eastAsia="en-GB"/>
              </w:rPr>
            </w:pPr>
          </w:p>
        </w:tc>
      </w:tr>
      <w:tr w:rsidR="00BC40F0" w:rsidRPr="00BC40F0" w14:paraId="70AA7DB7" w14:textId="77777777" w:rsidTr="00BC40F0">
        <w:trPr>
          <w:trHeight w:val="360"/>
        </w:trPr>
        <w:tc>
          <w:tcPr>
            <w:tcW w:w="1175" w:type="dxa"/>
            <w:tcBorders>
              <w:top w:val="nil"/>
              <w:left w:val="nil"/>
              <w:bottom w:val="nil"/>
              <w:right w:val="nil"/>
            </w:tcBorders>
            <w:shd w:val="clear" w:color="auto" w:fill="auto"/>
            <w:noWrap/>
            <w:vAlign w:val="bottom"/>
            <w:hideMark/>
          </w:tcPr>
          <w:p w14:paraId="55FA62AC" w14:textId="77777777" w:rsidR="00BC40F0" w:rsidRPr="00BC40F0" w:rsidRDefault="00BC40F0" w:rsidP="00BC40F0">
            <w:pPr>
              <w:rPr>
                <w:rFonts w:ascii="Calibri" w:hAnsi="Calibri" w:cs="Calibri"/>
                <w:noProof/>
                <w:color w:val="000000"/>
                <w:sz w:val="22"/>
                <w:highlight w:val="yellow"/>
                <w:lang w:eastAsia="en-GB"/>
              </w:rPr>
            </w:pPr>
          </w:p>
        </w:tc>
        <w:tc>
          <w:tcPr>
            <w:tcW w:w="1432" w:type="dxa"/>
            <w:tcBorders>
              <w:top w:val="nil"/>
              <w:left w:val="nil"/>
              <w:bottom w:val="nil"/>
              <w:right w:val="nil"/>
            </w:tcBorders>
            <w:shd w:val="clear" w:color="auto" w:fill="auto"/>
            <w:noWrap/>
            <w:vAlign w:val="bottom"/>
            <w:hideMark/>
          </w:tcPr>
          <w:p w14:paraId="01A839A8"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2DB88BFE" w14:textId="77777777" w:rsidR="00BC40F0" w:rsidRPr="00BC40F0" w:rsidRDefault="00BC40F0" w:rsidP="00BC40F0">
            <w:pPr>
              <w:rPr>
                <w:sz w:val="20"/>
                <w:highlight w:val="yellow"/>
                <w:lang w:eastAsia="en-GB"/>
              </w:rPr>
            </w:pPr>
          </w:p>
        </w:tc>
        <w:tc>
          <w:tcPr>
            <w:tcW w:w="1274" w:type="dxa"/>
            <w:tcBorders>
              <w:top w:val="nil"/>
              <w:left w:val="nil"/>
              <w:bottom w:val="nil"/>
              <w:right w:val="nil"/>
            </w:tcBorders>
            <w:shd w:val="clear" w:color="auto" w:fill="auto"/>
            <w:noWrap/>
            <w:vAlign w:val="bottom"/>
            <w:hideMark/>
          </w:tcPr>
          <w:p w14:paraId="1BDF5E54"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63326D54" w14:textId="77777777" w:rsidR="00BC40F0" w:rsidRPr="00BC40F0" w:rsidRDefault="00BC40F0" w:rsidP="00BC40F0">
            <w:pPr>
              <w:rPr>
                <w:sz w:val="20"/>
                <w:highlight w:val="yellow"/>
                <w:lang w:eastAsia="en-GB"/>
              </w:rPr>
            </w:pPr>
          </w:p>
        </w:tc>
        <w:tc>
          <w:tcPr>
            <w:tcW w:w="1650" w:type="dxa"/>
            <w:tcBorders>
              <w:top w:val="nil"/>
              <w:left w:val="nil"/>
              <w:bottom w:val="nil"/>
              <w:right w:val="nil"/>
            </w:tcBorders>
            <w:shd w:val="clear" w:color="auto" w:fill="auto"/>
            <w:noWrap/>
            <w:vAlign w:val="bottom"/>
            <w:hideMark/>
          </w:tcPr>
          <w:p w14:paraId="2099298A" w14:textId="77777777" w:rsidR="00BC40F0" w:rsidRPr="00BC40F0" w:rsidRDefault="00BC40F0" w:rsidP="00BC40F0">
            <w:pPr>
              <w:rPr>
                <w:sz w:val="20"/>
                <w:highlight w:val="yellow"/>
                <w:lang w:eastAsia="en-GB"/>
              </w:rPr>
            </w:pPr>
          </w:p>
        </w:tc>
        <w:tc>
          <w:tcPr>
            <w:tcW w:w="1511" w:type="dxa"/>
            <w:tcBorders>
              <w:top w:val="nil"/>
              <w:left w:val="nil"/>
              <w:bottom w:val="nil"/>
              <w:right w:val="nil"/>
            </w:tcBorders>
            <w:shd w:val="clear" w:color="auto" w:fill="auto"/>
            <w:noWrap/>
            <w:vAlign w:val="bottom"/>
            <w:hideMark/>
          </w:tcPr>
          <w:p w14:paraId="2EDB5239" w14:textId="77777777" w:rsidR="00BC40F0" w:rsidRPr="00BC40F0" w:rsidRDefault="00BC40F0" w:rsidP="00BC40F0">
            <w:pPr>
              <w:rPr>
                <w:sz w:val="20"/>
                <w:highlight w:val="yellow"/>
                <w:lang w:eastAsia="en-GB"/>
              </w:rPr>
            </w:pPr>
          </w:p>
        </w:tc>
        <w:tc>
          <w:tcPr>
            <w:tcW w:w="1234" w:type="dxa"/>
            <w:tcBorders>
              <w:top w:val="nil"/>
              <w:left w:val="nil"/>
              <w:bottom w:val="nil"/>
              <w:right w:val="nil"/>
            </w:tcBorders>
            <w:shd w:val="clear" w:color="auto" w:fill="auto"/>
            <w:noWrap/>
            <w:vAlign w:val="bottom"/>
            <w:hideMark/>
          </w:tcPr>
          <w:p w14:paraId="2EEE2C4D" w14:textId="77777777" w:rsidR="00BC40F0" w:rsidRPr="00BC40F0" w:rsidRDefault="00BC40F0" w:rsidP="00BC40F0">
            <w:pPr>
              <w:rPr>
                <w:sz w:val="20"/>
                <w:highlight w:val="yellow"/>
                <w:lang w:eastAsia="en-GB"/>
              </w:rPr>
            </w:pPr>
          </w:p>
        </w:tc>
        <w:tc>
          <w:tcPr>
            <w:tcW w:w="1174" w:type="dxa"/>
            <w:tcBorders>
              <w:top w:val="nil"/>
              <w:left w:val="nil"/>
              <w:bottom w:val="nil"/>
              <w:right w:val="nil"/>
            </w:tcBorders>
            <w:shd w:val="clear" w:color="auto" w:fill="auto"/>
            <w:noWrap/>
            <w:vAlign w:val="bottom"/>
            <w:hideMark/>
          </w:tcPr>
          <w:p w14:paraId="0226466A" w14:textId="77777777" w:rsidR="00BC40F0" w:rsidRPr="00BC40F0" w:rsidRDefault="00BC40F0" w:rsidP="00BC40F0">
            <w:pPr>
              <w:rPr>
                <w:sz w:val="20"/>
                <w:highlight w:val="yellow"/>
                <w:lang w:eastAsia="en-GB"/>
              </w:rPr>
            </w:pPr>
          </w:p>
        </w:tc>
        <w:tc>
          <w:tcPr>
            <w:tcW w:w="1353" w:type="dxa"/>
            <w:tcBorders>
              <w:top w:val="nil"/>
              <w:left w:val="nil"/>
              <w:bottom w:val="nil"/>
              <w:right w:val="nil"/>
            </w:tcBorders>
            <w:shd w:val="clear" w:color="auto" w:fill="auto"/>
            <w:noWrap/>
            <w:vAlign w:val="bottom"/>
            <w:hideMark/>
          </w:tcPr>
          <w:p w14:paraId="11680C14"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5FA41E41" w14:textId="77777777" w:rsidR="00BC40F0" w:rsidRPr="00BC40F0" w:rsidRDefault="00BC40F0" w:rsidP="00BC40F0">
            <w:pPr>
              <w:rPr>
                <w:sz w:val="20"/>
                <w:highlight w:val="yellow"/>
                <w:lang w:eastAsia="en-GB"/>
              </w:rPr>
            </w:pPr>
          </w:p>
        </w:tc>
        <w:tc>
          <w:tcPr>
            <w:tcW w:w="955" w:type="dxa"/>
            <w:tcBorders>
              <w:top w:val="nil"/>
              <w:left w:val="nil"/>
              <w:bottom w:val="nil"/>
              <w:right w:val="nil"/>
            </w:tcBorders>
            <w:shd w:val="clear" w:color="auto" w:fill="auto"/>
            <w:noWrap/>
            <w:vAlign w:val="bottom"/>
            <w:hideMark/>
          </w:tcPr>
          <w:p w14:paraId="36297CEE" w14:textId="77777777" w:rsidR="00BC40F0" w:rsidRPr="00BC40F0" w:rsidRDefault="00BC40F0" w:rsidP="00BC40F0">
            <w:pPr>
              <w:rPr>
                <w:sz w:val="20"/>
                <w:highlight w:val="yellow"/>
                <w:lang w:eastAsia="en-GB"/>
              </w:rPr>
            </w:pPr>
          </w:p>
        </w:tc>
      </w:tr>
    </w:tbl>
    <w:p w14:paraId="03ACB7C0" w14:textId="0B33200D" w:rsidR="00D10A8E" w:rsidRPr="00BC40F0" w:rsidRDefault="00495BA1" w:rsidP="00BC40F0">
      <w:pPr>
        <w:pStyle w:val="Heading2"/>
        <w:rPr>
          <w:rStyle w:val="Heading1Char"/>
        </w:rPr>
      </w:pPr>
      <w:r w:rsidRPr="00BC40F0">
        <w:lastRenderedPageBreak/>
        <w:t>Year to date spend compared to budget</w:t>
      </w:r>
    </w:p>
    <w:p w14:paraId="0D0766F3" w14:textId="49999BF0" w:rsidR="00D10A8E" w:rsidRPr="00D2350C" w:rsidRDefault="00BC40F0" w:rsidP="00AB4C34">
      <w:pPr>
        <w:rPr>
          <w:rStyle w:val="Heading1Char"/>
          <w:highlight w:val="yellow"/>
        </w:rPr>
      </w:pPr>
      <w:r>
        <w:rPr>
          <w:noProof/>
        </w:rPr>
        <w:drawing>
          <wp:inline distT="0" distB="0" distL="0" distR="0" wp14:anchorId="25002DF7" wp14:editId="2ABC1E63">
            <wp:extent cx="9777730" cy="3778885"/>
            <wp:effectExtent l="0" t="0" r="13970" b="12065"/>
            <wp:docPr id="1273914026" name="Chart 1" descr="Chart showing spend to date in comparison to budget across seven groups, 1. Corporate, 2. Corporate Services, 3. Operations, 4. Strategic Development, 5. Legal Services, 6. Vacancy Gap, and 7. Pensions.">
              <a:extLst xmlns:a="http://schemas.openxmlformats.org/drawingml/2006/main">
                <a:ext uri="{FF2B5EF4-FFF2-40B4-BE49-F238E27FC236}">
                  <a16:creationId xmlns:a16="http://schemas.microsoft.com/office/drawing/2014/main" id="{B66CA80C-DD84-482A-B708-306508A1F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C5CF6B" w14:textId="73BCB207" w:rsidR="00D10A8E" w:rsidRPr="00D50227" w:rsidRDefault="00495BA1" w:rsidP="00495BA1">
      <w:pPr>
        <w:pStyle w:val="Heading2"/>
        <w:rPr>
          <w:rStyle w:val="Heading1Char"/>
          <w:b/>
          <w:color w:val="auto"/>
          <w:sz w:val="32"/>
          <w:szCs w:val="26"/>
          <w:lang w:val="en-GB"/>
        </w:rPr>
      </w:pPr>
      <w:r w:rsidRPr="00D50227">
        <w:t xml:space="preserve">Analysis of spend </w:t>
      </w:r>
    </w:p>
    <w:p w14:paraId="733AD58F" w14:textId="514A5582" w:rsidR="00952EBA" w:rsidRPr="00D50227" w:rsidRDefault="00D50227" w:rsidP="00952EBA">
      <w:bookmarkStart w:id="0" w:name="_Hlk182916192"/>
      <w:bookmarkStart w:id="1" w:name="_Hlk182916682"/>
      <w:r>
        <w:t xml:space="preserve">Both </w:t>
      </w:r>
      <w:r w:rsidR="008675EB">
        <w:t>s</w:t>
      </w:r>
      <w:r w:rsidR="00495BA1" w:rsidRPr="00D50227">
        <w:t xml:space="preserve">taff costs </w:t>
      </w:r>
      <w:r>
        <w:t xml:space="preserve">and </w:t>
      </w:r>
      <w:r w:rsidR="008675EB">
        <w:t>r</w:t>
      </w:r>
      <w:r>
        <w:t xml:space="preserve">unning costs </w:t>
      </w:r>
      <w:r w:rsidR="00495BA1" w:rsidRPr="00D50227">
        <w:t xml:space="preserve">are in line with expected spend. </w:t>
      </w:r>
      <w:bookmarkEnd w:id="0"/>
    </w:p>
    <w:p w14:paraId="382B2D7D" w14:textId="2A237B89" w:rsidR="003D0910" w:rsidRDefault="006A645B" w:rsidP="00952EBA">
      <w:r w:rsidRPr="00D50227">
        <w:t>Income</w:t>
      </w:r>
      <w:r w:rsidR="008675EB">
        <w:t xml:space="preserve"> is a</w:t>
      </w:r>
      <w:r w:rsidRPr="00D50227">
        <w:t xml:space="preserve">s per our agreements with Thistle House Tenants, </w:t>
      </w:r>
      <w:r w:rsidR="008675EB">
        <w:t xml:space="preserve">with </w:t>
      </w:r>
      <w:r w:rsidRPr="00D50227">
        <w:t xml:space="preserve">bills for the end of the </w:t>
      </w:r>
      <w:r w:rsidR="00D50227" w:rsidRPr="00D50227">
        <w:t>third</w:t>
      </w:r>
      <w:r w:rsidRPr="00D50227">
        <w:t xml:space="preserve"> quarter raised in </w:t>
      </w:r>
      <w:r w:rsidR="00D50227" w:rsidRPr="00D50227">
        <w:t>January</w:t>
      </w:r>
      <w:r w:rsidR="00495BA1" w:rsidRPr="00D50227">
        <w:t xml:space="preserve">.  </w:t>
      </w:r>
    </w:p>
    <w:p w14:paraId="48A33F1A" w14:textId="2A3ED72B" w:rsidR="00952EBA" w:rsidRPr="00D50227" w:rsidRDefault="00495BA1" w:rsidP="00952EBA">
      <w:r w:rsidRPr="00D50227">
        <w:t xml:space="preserve">Capital spend is </w:t>
      </w:r>
      <w:r w:rsidR="00D50227" w:rsidRPr="00D50227">
        <w:t>58</w:t>
      </w:r>
      <w:r w:rsidRPr="00D50227">
        <w:t xml:space="preserve">% utilised at the end of </w:t>
      </w:r>
      <w:r w:rsidR="008675EB">
        <w:t>January</w:t>
      </w:r>
      <w:r w:rsidR="00253BA6">
        <w:t>;</w:t>
      </w:r>
      <w:r w:rsidR="00952EBA" w:rsidRPr="00D50227">
        <w:t xml:space="preserve"> we still</w:t>
      </w:r>
      <w:r w:rsidRPr="00D50227">
        <w:t xml:space="preserve"> expect to spend our £100k budget this year.</w:t>
      </w:r>
    </w:p>
    <w:p w14:paraId="3352B6F9" w14:textId="6BAA1175" w:rsidR="008004A3" w:rsidRPr="004173BE" w:rsidRDefault="00495BA1" w:rsidP="008004A3">
      <w:r w:rsidRPr="00D50227">
        <w:t>Pension utilisation is high</w:t>
      </w:r>
      <w:r w:rsidR="006A645B" w:rsidRPr="00D50227">
        <w:t xml:space="preserve"> due to some large payouts in the first half of the year</w:t>
      </w:r>
      <w:r w:rsidR="00D50227" w:rsidRPr="00D50227">
        <w:t>, and as a result t</w:t>
      </w:r>
      <w:r w:rsidR="00D50227" w:rsidRPr="00D50227">
        <w:rPr>
          <w:rFonts w:ascii="Aptos" w:hAnsi="Aptos"/>
          <w:szCs w:val="24"/>
        </w:rPr>
        <w:t xml:space="preserve">he budget line for Pensions was increased as part of the quarter </w:t>
      </w:r>
      <w:r w:rsidR="00253BA6">
        <w:rPr>
          <w:rFonts w:ascii="Aptos" w:hAnsi="Aptos"/>
          <w:szCs w:val="24"/>
        </w:rPr>
        <w:t>three</w:t>
      </w:r>
      <w:r w:rsidR="00D50227" w:rsidRPr="00D50227">
        <w:rPr>
          <w:rFonts w:ascii="Aptos" w:hAnsi="Aptos"/>
          <w:szCs w:val="24"/>
        </w:rPr>
        <w:t xml:space="preserve"> budget review.</w:t>
      </w:r>
    </w:p>
    <w:p w14:paraId="6DE11D1E" w14:textId="495A0ACC" w:rsidR="008004A3" w:rsidRPr="004173BE" w:rsidRDefault="008004A3" w:rsidP="008004A3">
      <w:pPr>
        <w:tabs>
          <w:tab w:val="center" w:pos="7699"/>
        </w:tabs>
        <w:sectPr w:rsidR="008004A3" w:rsidRPr="004173BE" w:rsidSect="00D10A8E">
          <w:footerReference w:type="default" r:id="rId19"/>
          <w:pgSz w:w="16838" w:h="11906" w:orient="landscape"/>
          <w:pgMar w:top="720" w:right="720" w:bottom="720" w:left="720" w:header="708" w:footer="708" w:gutter="0"/>
          <w:cols w:space="708"/>
          <w:docGrid w:linePitch="360"/>
        </w:sectPr>
      </w:pPr>
      <w:r w:rsidRPr="004173BE">
        <w:tab/>
      </w:r>
    </w:p>
    <w:p w14:paraId="3F49B7C3" w14:textId="77777777" w:rsidR="00253BA6" w:rsidRDefault="00952EBA" w:rsidP="00253BA6">
      <w:pPr>
        <w:pStyle w:val="Heading2"/>
      </w:pPr>
      <w:r w:rsidRPr="00BC40F0">
        <w:lastRenderedPageBreak/>
        <w:t>Invoice Turnaround Times</w:t>
      </w:r>
    </w:p>
    <w:p w14:paraId="1995D4CC" w14:textId="6B3CFEB6" w:rsidR="00BC40F0" w:rsidRPr="00253BA6" w:rsidRDefault="00253BA6" w:rsidP="00253BA6">
      <w:pPr>
        <w:rPr>
          <w:rFonts w:asciiTheme="majorHAnsi" w:hAnsiTheme="majorHAnsi"/>
          <w:szCs w:val="26"/>
        </w:rPr>
      </w:pPr>
      <w:r w:rsidRPr="00253BA6">
        <w:t>The table below shows invoice payment performance for both 10 and 30 days, the former being our operational target and the latter being our normal contractual payment term. Both remain steady, above Scottish Government</w:t>
      </w:r>
      <w:r>
        <w:t>’s</w:t>
      </w:r>
      <w:r w:rsidRPr="00253BA6">
        <w:t xml:space="preserve"> threshold of 95%.</w:t>
      </w:r>
    </w:p>
    <w:tbl>
      <w:tblPr>
        <w:tblW w:w="10184" w:type="dxa"/>
        <w:tblInd w:w="-10" w:type="dxa"/>
        <w:tblCellMar>
          <w:left w:w="0" w:type="dxa"/>
          <w:right w:w="0" w:type="dxa"/>
        </w:tblCellMar>
        <w:tblLook w:val="04A0" w:firstRow="1" w:lastRow="0" w:firstColumn="1" w:lastColumn="0" w:noHBand="0" w:noVBand="1"/>
      </w:tblPr>
      <w:tblGrid>
        <w:gridCol w:w="2263"/>
        <w:gridCol w:w="1898"/>
        <w:gridCol w:w="2007"/>
        <w:gridCol w:w="2007"/>
        <w:gridCol w:w="2009"/>
      </w:tblGrid>
      <w:tr w:rsidR="00BC40F0" w:rsidRPr="00B768F1" w14:paraId="6C9A3F0A" w14:textId="77777777" w:rsidTr="00E426A5">
        <w:trPr>
          <w:trHeight w:val="343"/>
        </w:trPr>
        <w:tc>
          <w:tcPr>
            <w:tcW w:w="1018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EEAB122" w14:textId="77777777" w:rsidR="00BC40F0" w:rsidRPr="00B768F1" w:rsidRDefault="00BC40F0">
            <w:pPr>
              <w:jc w:val="center"/>
              <w:rPr>
                <w:rFonts w:ascii="Aptos" w:hAnsi="Aptos"/>
                <w:b/>
                <w:bCs/>
                <w:color w:val="000000"/>
                <w:szCs w:val="24"/>
                <w:lang w:eastAsia="en-GB"/>
              </w:rPr>
            </w:pPr>
            <w:r w:rsidRPr="00B768F1">
              <w:rPr>
                <w:rFonts w:ascii="Aptos" w:hAnsi="Aptos"/>
                <w:b/>
                <w:bCs/>
                <w:color w:val="000000"/>
                <w:szCs w:val="24"/>
                <w:lang w:eastAsia="en-GB"/>
              </w:rPr>
              <w:t>            For the Period to 31-Jan-2</w:t>
            </w:r>
            <w:r>
              <w:rPr>
                <w:rFonts w:ascii="Aptos" w:hAnsi="Aptos"/>
                <w:b/>
                <w:bCs/>
                <w:color w:val="000000"/>
                <w:szCs w:val="24"/>
                <w:lang w:eastAsia="en-GB"/>
              </w:rPr>
              <w:t>5</w:t>
            </w:r>
          </w:p>
        </w:tc>
      </w:tr>
      <w:tr w:rsidR="00BC40F0" w:rsidRPr="00B768F1" w14:paraId="630FCDD5" w14:textId="77777777" w:rsidTr="00E426A5">
        <w:trPr>
          <w:trHeight w:val="341"/>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4714CBA" w14:textId="77777777" w:rsidR="00BC40F0" w:rsidRPr="00B768F1" w:rsidRDefault="00BC40F0">
            <w:pPr>
              <w:rPr>
                <w:rFonts w:ascii="Aptos" w:hAnsi="Aptos"/>
                <w:b/>
                <w:bCs/>
                <w:color w:val="000000"/>
                <w:szCs w:val="24"/>
                <w:lang w:eastAsia="en-GB"/>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9998391" w14:textId="77777777" w:rsidR="00BC40F0" w:rsidRPr="00B768F1" w:rsidRDefault="00BC40F0">
            <w:pPr>
              <w:jc w:val="center"/>
              <w:rPr>
                <w:rFonts w:ascii="Aptos" w:hAnsi="Aptos"/>
                <w:b/>
                <w:bCs/>
                <w:color w:val="000000"/>
                <w:szCs w:val="24"/>
                <w:lang w:eastAsia="en-GB"/>
              </w:rPr>
            </w:pPr>
            <w:r w:rsidRPr="00B768F1">
              <w:rPr>
                <w:rFonts w:ascii="Aptos" w:hAnsi="Aptos"/>
                <w:b/>
                <w:bCs/>
                <w:szCs w:val="24"/>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1591F3A" w14:textId="77777777" w:rsidR="00BC40F0" w:rsidRPr="00B768F1" w:rsidRDefault="00BC40F0">
            <w:pPr>
              <w:jc w:val="center"/>
              <w:rPr>
                <w:rFonts w:ascii="Aptos" w:hAnsi="Aptos"/>
                <w:b/>
                <w:bCs/>
                <w:color w:val="000000"/>
                <w:szCs w:val="24"/>
                <w:lang w:eastAsia="en-GB"/>
              </w:rPr>
            </w:pPr>
            <w:r w:rsidRPr="00B768F1">
              <w:rPr>
                <w:rFonts w:ascii="Aptos" w:hAnsi="Aptos"/>
                <w:b/>
                <w:bCs/>
                <w:szCs w:val="24"/>
              </w:rPr>
              <w:t>YTD % paid within 30 days</w:t>
            </w:r>
          </w:p>
        </w:tc>
      </w:tr>
      <w:tr w:rsidR="00BC40F0" w:rsidRPr="00B768F1" w14:paraId="5AA3B3D8" w14:textId="77777777" w:rsidTr="00E426A5">
        <w:trPr>
          <w:trHeight w:val="392"/>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85571" w14:textId="77777777" w:rsidR="00BC40F0" w:rsidRPr="00B768F1" w:rsidRDefault="00BC40F0">
            <w:pPr>
              <w:rPr>
                <w:rFonts w:ascii="Aptos" w:hAnsi="Aptos"/>
                <w:b/>
                <w:bCs/>
                <w:color w:val="000000"/>
                <w:szCs w:val="24"/>
                <w:lang w:eastAsia="en-GB"/>
              </w:rPr>
            </w:pP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D2D3EE" w14:textId="77777777" w:rsidR="00BC40F0" w:rsidRPr="00B768F1" w:rsidRDefault="00BC40F0">
            <w:pPr>
              <w:jc w:val="center"/>
              <w:rPr>
                <w:rFonts w:ascii="Aptos" w:hAnsi="Aptos"/>
                <w:b/>
                <w:bCs/>
                <w:color w:val="000000"/>
                <w:szCs w:val="24"/>
                <w:lang w:eastAsia="en-GB"/>
              </w:rPr>
            </w:pPr>
            <w:r w:rsidRPr="00B768F1">
              <w:rPr>
                <w:rFonts w:ascii="Aptos" w:hAnsi="Aptos" w:cs="Calibri"/>
                <w:b/>
                <w:bCs/>
                <w:color w:val="2758A8"/>
                <w:szCs w:val="24"/>
              </w:rPr>
              <w:t>2024-2025</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E18F8F3" w14:textId="77777777" w:rsidR="00BC40F0" w:rsidRPr="00B768F1" w:rsidRDefault="00BC40F0">
            <w:pPr>
              <w:jc w:val="center"/>
              <w:rPr>
                <w:rFonts w:ascii="Aptos" w:hAnsi="Aptos"/>
                <w:b/>
                <w:bCs/>
                <w:color w:val="000000"/>
                <w:szCs w:val="24"/>
                <w:lang w:eastAsia="en-GB"/>
              </w:rPr>
            </w:pPr>
            <w:r w:rsidRPr="00B768F1">
              <w:rPr>
                <w:rFonts w:ascii="Aptos" w:hAnsi="Aptos" w:cs="Calibri"/>
                <w:b/>
                <w:bCs/>
                <w:color w:val="000000"/>
                <w:szCs w:val="24"/>
              </w:rPr>
              <w:t>2023-2024</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F13518D" w14:textId="77777777" w:rsidR="00BC40F0" w:rsidRPr="00B768F1" w:rsidRDefault="00BC40F0">
            <w:pPr>
              <w:jc w:val="center"/>
              <w:rPr>
                <w:rFonts w:ascii="Aptos" w:hAnsi="Aptos"/>
                <w:b/>
                <w:bCs/>
                <w:color w:val="000000"/>
                <w:szCs w:val="24"/>
                <w:lang w:eastAsia="en-GB"/>
              </w:rPr>
            </w:pPr>
            <w:r w:rsidRPr="00B768F1">
              <w:rPr>
                <w:rFonts w:ascii="Aptos" w:hAnsi="Aptos" w:cs="Calibri"/>
                <w:b/>
                <w:bCs/>
                <w:color w:val="2758A8"/>
                <w:szCs w:val="24"/>
              </w:rPr>
              <w:t>2024-2025</w:t>
            </w:r>
          </w:p>
        </w:tc>
        <w:tc>
          <w:tcPr>
            <w:tcW w:w="2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32C6ECF" w14:textId="77777777" w:rsidR="00BC40F0" w:rsidRPr="00B768F1" w:rsidRDefault="00BC40F0">
            <w:pPr>
              <w:jc w:val="center"/>
              <w:rPr>
                <w:rFonts w:ascii="Aptos" w:hAnsi="Aptos"/>
                <w:b/>
                <w:bCs/>
                <w:color w:val="000000"/>
                <w:szCs w:val="24"/>
                <w:lang w:eastAsia="en-GB"/>
              </w:rPr>
            </w:pPr>
            <w:r w:rsidRPr="00B768F1">
              <w:rPr>
                <w:rFonts w:ascii="Aptos" w:hAnsi="Aptos" w:cs="Calibri"/>
                <w:b/>
                <w:bCs/>
                <w:color w:val="000000"/>
                <w:szCs w:val="24"/>
              </w:rPr>
              <w:t>2023-2024</w:t>
            </w:r>
          </w:p>
        </w:tc>
      </w:tr>
      <w:tr w:rsidR="00BC40F0" w:rsidRPr="00B768F1" w14:paraId="3F1997F3" w14:textId="77777777" w:rsidTr="00E426A5">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5374B99" w14:textId="77777777" w:rsidR="00BC40F0" w:rsidRPr="00B768F1" w:rsidRDefault="00BC40F0">
            <w:pPr>
              <w:rPr>
                <w:rFonts w:ascii="Aptos" w:hAnsi="Aptos" w:cs="Calibri"/>
                <w:b/>
                <w:bCs/>
                <w:color w:val="000000"/>
                <w:szCs w:val="24"/>
                <w:lang w:eastAsia="en-GB"/>
              </w:rPr>
            </w:pPr>
            <w:r w:rsidRPr="00B768F1">
              <w:rPr>
                <w:rFonts w:ascii="Aptos" w:hAnsi="Aptos" w:cs="Calibri"/>
                <w:b/>
                <w:bCs/>
                <w:color w:val="000000"/>
                <w:szCs w:val="24"/>
              </w:rPr>
              <w:t>Admin</w:t>
            </w:r>
          </w:p>
        </w:tc>
        <w:tc>
          <w:tcPr>
            <w:tcW w:w="18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55C0D2A" w14:textId="77777777" w:rsidR="00BC40F0" w:rsidRPr="00812A37" w:rsidRDefault="00BC40F0">
            <w:pPr>
              <w:jc w:val="center"/>
              <w:rPr>
                <w:rFonts w:ascii="Aptos" w:hAnsi="Aptos" w:cs="Calibri"/>
                <w:color w:val="000000"/>
                <w:szCs w:val="24"/>
                <w:lang w:eastAsia="en-GB"/>
              </w:rPr>
            </w:pPr>
            <w:r w:rsidRPr="00812A37">
              <w:rPr>
                <w:rFonts w:ascii="Aptos" w:hAnsi="Apto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71E344"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288DD4"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D5EE09"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99%</w:t>
            </w:r>
          </w:p>
        </w:tc>
      </w:tr>
      <w:tr w:rsidR="00BC40F0" w:rsidRPr="00B768F1" w14:paraId="40B7689C" w14:textId="77777777" w:rsidTr="00E426A5">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3E72675" w14:textId="77777777" w:rsidR="00BC40F0" w:rsidRPr="00B768F1" w:rsidRDefault="00BC40F0">
            <w:pPr>
              <w:rPr>
                <w:rFonts w:ascii="Aptos" w:hAnsi="Aptos" w:cs="Calibri"/>
                <w:b/>
                <w:bCs/>
                <w:color w:val="000000"/>
                <w:szCs w:val="24"/>
              </w:rPr>
            </w:pPr>
            <w:r w:rsidRPr="00B768F1">
              <w:rPr>
                <w:rFonts w:ascii="Aptos" w:hAnsi="Aptos" w:cs="Calibri"/>
                <w:b/>
                <w:bCs/>
                <w:color w:val="000000"/>
                <w:szCs w:val="24"/>
              </w:rPr>
              <w:t>Fund</w:t>
            </w:r>
          </w:p>
        </w:tc>
        <w:tc>
          <w:tcPr>
            <w:tcW w:w="18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5BB46E5"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9BAAB6"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F0FB0E"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99%</w:t>
            </w:r>
          </w:p>
        </w:tc>
        <w:tc>
          <w:tcPr>
            <w:tcW w:w="2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DC3A59" w14:textId="77777777" w:rsidR="00BC40F0" w:rsidRPr="00812A37" w:rsidRDefault="00BC40F0">
            <w:pPr>
              <w:jc w:val="center"/>
              <w:rPr>
                <w:rFonts w:ascii="Aptos" w:hAnsi="Aptos" w:cs="Calibri"/>
                <w:color w:val="000000"/>
                <w:szCs w:val="24"/>
              </w:rPr>
            </w:pPr>
            <w:r w:rsidRPr="00812A37">
              <w:rPr>
                <w:rFonts w:ascii="Aptos" w:hAnsi="Aptos" w:cs="Calibri"/>
                <w:color w:val="000000"/>
                <w:szCs w:val="24"/>
              </w:rPr>
              <w:t>100%</w:t>
            </w:r>
          </w:p>
        </w:tc>
      </w:tr>
      <w:tr w:rsidR="00BC40F0" w:rsidRPr="008C3079" w14:paraId="78ED4DDA" w14:textId="77777777" w:rsidTr="00E426A5">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350150" w14:textId="77777777" w:rsidR="00BC40F0" w:rsidRPr="00B768F1" w:rsidRDefault="00BC40F0">
            <w:pPr>
              <w:rPr>
                <w:rFonts w:ascii="Aptos" w:hAnsi="Aptos" w:cs="Calibri"/>
                <w:b/>
                <w:bCs/>
                <w:color w:val="2758A8"/>
                <w:szCs w:val="24"/>
              </w:rPr>
            </w:pPr>
            <w:r w:rsidRPr="00B768F1">
              <w:rPr>
                <w:rFonts w:ascii="Aptos" w:hAnsi="Aptos" w:cs="Calibri"/>
                <w:b/>
                <w:bCs/>
                <w:szCs w:val="24"/>
              </w:rPr>
              <w:t>Total</w:t>
            </w:r>
          </w:p>
        </w:tc>
        <w:tc>
          <w:tcPr>
            <w:tcW w:w="189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7802F55" w14:textId="77777777" w:rsidR="00BC40F0" w:rsidRPr="00812A37" w:rsidRDefault="00BC40F0">
            <w:pPr>
              <w:jc w:val="center"/>
              <w:rPr>
                <w:rFonts w:ascii="Aptos" w:hAnsi="Aptos" w:cs="Calibri"/>
                <w:b/>
                <w:bCs/>
                <w:color w:val="2758A8"/>
                <w:szCs w:val="24"/>
              </w:rPr>
            </w:pPr>
            <w:r w:rsidRPr="00812A37">
              <w:rPr>
                <w:rFonts w:ascii="Aptos" w:hAnsi="Apto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A49E7A" w14:textId="77777777" w:rsidR="00BC40F0" w:rsidRPr="00812A37" w:rsidRDefault="00BC40F0">
            <w:pPr>
              <w:jc w:val="center"/>
              <w:rPr>
                <w:rFonts w:ascii="Aptos" w:hAnsi="Aptos" w:cs="Calibri"/>
                <w:b/>
                <w:bCs/>
                <w:color w:val="2758A8"/>
                <w:szCs w:val="24"/>
              </w:rPr>
            </w:pPr>
            <w:r w:rsidRPr="00812A37">
              <w:rPr>
                <w:rFonts w:ascii="Aptos" w:hAnsi="Apto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609CE9" w14:textId="77777777" w:rsidR="00BC40F0" w:rsidRPr="00812A37" w:rsidRDefault="00BC40F0">
            <w:pPr>
              <w:jc w:val="center"/>
              <w:rPr>
                <w:rFonts w:ascii="Aptos" w:hAnsi="Aptos" w:cs="Calibri"/>
                <w:b/>
                <w:bCs/>
                <w:color w:val="2758A8"/>
                <w:szCs w:val="24"/>
              </w:rPr>
            </w:pPr>
            <w:r w:rsidRPr="00812A37">
              <w:rPr>
                <w:rFonts w:ascii="Aptos" w:hAnsi="Aptos" w:cs="Calibri"/>
                <w:color w:val="000000"/>
                <w:szCs w:val="24"/>
              </w:rPr>
              <w:t>99%</w:t>
            </w:r>
          </w:p>
        </w:tc>
        <w:tc>
          <w:tcPr>
            <w:tcW w:w="2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709ABF" w14:textId="77777777" w:rsidR="00BC40F0" w:rsidRPr="00812A37" w:rsidRDefault="00BC40F0">
            <w:pPr>
              <w:jc w:val="center"/>
              <w:rPr>
                <w:rFonts w:ascii="Aptos" w:hAnsi="Aptos" w:cs="Calibri"/>
                <w:b/>
                <w:bCs/>
                <w:color w:val="2758A8"/>
                <w:szCs w:val="24"/>
              </w:rPr>
            </w:pPr>
            <w:r w:rsidRPr="00812A37">
              <w:rPr>
                <w:rFonts w:ascii="Aptos" w:hAnsi="Aptos" w:cs="Calibri"/>
                <w:color w:val="000000"/>
                <w:szCs w:val="24"/>
              </w:rPr>
              <w:t>100%</w:t>
            </w:r>
          </w:p>
        </w:tc>
      </w:tr>
    </w:tbl>
    <w:p w14:paraId="0AB0871A" w14:textId="77777777" w:rsidR="00952EBA" w:rsidRPr="00BC40F0" w:rsidRDefault="00952EBA" w:rsidP="00952EBA">
      <w:pPr>
        <w:spacing w:before="120" w:after="120" w:line="240" w:lineRule="auto"/>
        <w:jc w:val="both"/>
        <w:rPr>
          <w:rFonts w:ascii="Aptos" w:eastAsia="Times New Roman" w:hAnsi="Aptos" w:cs="Times New Roman"/>
          <w:kern w:val="0"/>
          <w:sz w:val="22"/>
          <w14:ligatures w14:val="none"/>
        </w:rPr>
      </w:pPr>
    </w:p>
    <w:bookmarkEnd w:id="1"/>
    <w:p w14:paraId="219425A8" w14:textId="4F55ABBE" w:rsidR="00AB4C34" w:rsidRPr="00BC40F0" w:rsidRDefault="00AB4C34" w:rsidP="008708F9">
      <w:pPr>
        <w:rPr>
          <w:rStyle w:val="SubtleEmphasis"/>
          <w:b/>
          <w:bCs/>
          <w:i w:val="0"/>
          <w:iCs w:val="0"/>
          <w:lang w:val="en-US"/>
        </w:rPr>
      </w:pPr>
      <w:r w:rsidRPr="00BC40F0">
        <w:rPr>
          <w:rStyle w:val="Heading1Char"/>
        </w:rPr>
        <w:t>Governance links</w:t>
      </w:r>
      <w:r w:rsidRPr="00BC40F0">
        <w:rPr>
          <w:rStyle w:val="Strong"/>
          <w:lang w:val="en-US"/>
        </w:rPr>
        <w:t xml:space="preserve"> </w:t>
      </w:r>
      <w:r w:rsidRPr="00BC40F0">
        <w:rPr>
          <w:rStyle w:val="Strong"/>
          <w:lang w:val="en-US"/>
        </w:rPr>
        <w:br/>
      </w:r>
      <w:r w:rsidRPr="00BC40F0">
        <w:rPr>
          <w:rStyle w:val="SubtleEmphasis"/>
          <w:b/>
          <w:bCs/>
          <w:i w:val="0"/>
          <w:iCs w:val="0"/>
          <w:lang w:val="en-US"/>
        </w:rPr>
        <w:t xml:space="preserve">Finance and resources </w:t>
      </w:r>
      <w:r w:rsidRPr="00BC40F0">
        <w:rPr>
          <w:rStyle w:val="SubtleEmphasis"/>
          <w:b/>
          <w:bCs/>
          <w:i w:val="0"/>
          <w:iCs w:val="0"/>
          <w:lang w:val="en-US"/>
        </w:rPr>
        <w:tab/>
      </w:r>
      <w:r w:rsidRPr="00BC40F0">
        <w:rPr>
          <w:rStyle w:val="SubtleEmphasis"/>
          <w:b/>
          <w:bCs/>
          <w:i w:val="0"/>
          <w:iCs w:val="0"/>
          <w:lang w:val="en-US"/>
        </w:rPr>
        <w:tab/>
      </w:r>
      <w:r w:rsidRPr="00BC40F0">
        <w:rPr>
          <w:rStyle w:val="SubtleEmphasis"/>
          <w:b/>
          <w:bCs/>
          <w:i w:val="0"/>
          <w:iCs w:val="0"/>
          <w:lang w:val="en-US"/>
        </w:rPr>
        <w:tab/>
      </w:r>
      <w:r w:rsidRPr="00BC40F0">
        <w:rPr>
          <w:rStyle w:val="SubtleEmphasis"/>
          <w:b/>
          <w:bCs/>
          <w:i w:val="0"/>
          <w:iCs w:val="0"/>
          <w:lang w:val="en-US"/>
        </w:rPr>
        <w:br/>
      </w:r>
      <w:r w:rsidR="00A75994" w:rsidRPr="00BC40F0">
        <w:t xml:space="preserve">Paper details Administration Finance and Resources to end of </w:t>
      </w:r>
      <w:r w:rsidR="00BC40F0" w:rsidRPr="00BC40F0">
        <w:t>January 2025</w:t>
      </w:r>
    </w:p>
    <w:p w14:paraId="4B756F2E" w14:textId="0D2DFA14"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Risk</w:t>
      </w:r>
      <w:r w:rsidRPr="00BC40F0">
        <w:rPr>
          <w:rStyle w:val="SubtleEmphasis"/>
          <w:b/>
          <w:bCs/>
          <w:i w:val="0"/>
          <w:iCs w:val="0"/>
          <w:lang w:val="en-US"/>
        </w:rPr>
        <w:tab/>
      </w:r>
      <w:r w:rsidRPr="00BC40F0">
        <w:rPr>
          <w:rStyle w:val="SubtleEmphasis"/>
          <w:b/>
          <w:bCs/>
          <w:i w:val="0"/>
          <w:iCs w:val="0"/>
          <w:lang w:val="en-US"/>
        </w:rPr>
        <w:br/>
      </w:r>
      <w:r w:rsidR="00A75994" w:rsidRPr="00BC40F0">
        <w:t>Our work to monitor administrative expenditure enables us to mitigate corporate risk 6 with awareness of pressures and ensuring planned changes are reflected.</w:t>
      </w:r>
    </w:p>
    <w:p w14:paraId="733706AF" w14:textId="7062CDE9"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Legal and compliance</w:t>
      </w:r>
      <w:r w:rsidRPr="00BC40F0">
        <w:rPr>
          <w:rStyle w:val="SubtleEmphasis"/>
          <w:b/>
          <w:bCs/>
          <w:i w:val="0"/>
          <w:iCs w:val="0"/>
          <w:lang w:val="en-US"/>
        </w:rPr>
        <w:br/>
      </w:r>
      <w:r w:rsidRPr="00BC40F0">
        <w:t>N/A</w:t>
      </w:r>
      <w:r w:rsidR="00A5339E">
        <w:t>.</w:t>
      </w:r>
    </w:p>
    <w:p w14:paraId="210852A6" w14:textId="19824488"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Performance</w:t>
      </w:r>
      <w:r w:rsidRPr="00BC40F0">
        <w:rPr>
          <w:rStyle w:val="SubtleEmphasis"/>
          <w:b/>
          <w:bCs/>
          <w:i w:val="0"/>
          <w:iCs w:val="0"/>
          <w:lang w:val="en-US"/>
        </w:rPr>
        <w:br/>
      </w:r>
      <w:r w:rsidRPr="00BC40F0">
        <w:t>N/A</w:t>
      </w:r>
      <w:r w:rsidR="00A5339E">
        <w:t>.</w:t>
      </w:r>
    </w:p>
    <w:p w14:paraId="57577382" w14:textId="358BC3A3"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Equalities impact</w:t>
      </w:r>
      <w:r w:rsidRPr="00BC40F0">
        <w:rPr>
          <w:rStyle w:val="SubtleEmphasis"/>
          <w:b/>
          <w:bCs/>
          <w:i w:val="0"/>
          <w:iCs w:val="0"/>
          <w:lang w:val="en-US"/>
        </w:rPr>
        <w:br/>
      </w:r>
      <w:r w:rsidRPr="00BC40F0">
        <w:t>N/A</w:t>
      </w:r>
      <w:r w:rsidR="00A5339E">
        <w:t>.</w:t>
      </w:r>
    </w:p>
    <w:p w14:paraId="50F72DD3" w14:textId="4DDD20D3"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Privacy impact and data protection</w:t>
      </w:r>
      <w:r w:rsidRPr="00BC40F0">
        <w:rPr>
          <w:rStyle w:val="SubtleEmphasis"/>
          <w:b/>
          <w:bCs/>
          <w:i w:val="0"/>
          <w:iCs w:val="0"/>
          <w:lang w:val="en-US"/>
        </w:rPr>
        <w:br/>
      </w:r>
      <w:r w:rsidRPr="00BC40F0">
        <w:t>N/A</w:t>
      </w:r>
      <w:r w:rsidR="00A5339E">
        <w:t>.</w:t>
      </w:r>
    </w:p>
    <w:p w14:paraId="35A5CB33" w14:textId="715E6027" w:rsidR="00AB4C34" w:rsidRPr="00BC40F0" w:rsidRDefault="00AB4C34" w:rsidP="00AB4C34">
      <w:pPr>
        <w:pStyle w:val="ListParagraph"/>
        <w:numPr>
          <w:ilvl w:val="0"/>
          <w:numId w:val="7"/>
        </w:numPr>
        <w:rPr>
          <w:b/>
          <w:bCs/>
          <w:lang w:val="en-US"/>
        </w:rPr>
      </w:pPr>
      <w:r w:rsidRPr="00BC40F0">
        <w:rPr>
          <w:rStyle w:val="SubtleEmphasis"/>
          <w:b/>
          <w:bCs/>
          <w:i w:val="0"/>
          <w:iCs w:val="0"/>
          <w:lang w:val="en-US"/>
        </w:rPr>
        <w:t>Communications and engagement</w:t>
      </w:r>
      <w:r w:rsidRPr="00BC40F0">
        <w:rPr>
          <w:rStyle w:val="SubtleEmphasis"/>
          <w:b/>
          <w:bCs/>
          <w:i w:val="0"/>
          <w:iCs w:val="0"/>
          <w:lang w:val="en-US"/>
        </w:rPr>
        <w:br/>
      </w:r>
      <w:r w:rsidR="00A75994" w:rsidRPr="00BC40F0">
        <w:t>It has previously been agreed that this paper should be published.</w:t>
      </w:r>
    </w:p>
    <w:p w14:paraId="34712B4F" w14:textId="77777777" w:rsidR="00AB4C34" w:rsidRPr="00BC40F0" w:rsidRDefault="00AB4C34" w:rsidP="005277D3">
      <w:pPr>
        <w:pStyle w:val="Heading1"/>
      </w:pPr>
      <w:r w:rsidRPr="00BC40F0">
        <w:t xml:space="preserve">Conclusion and next steps </w:t>
      </w:r>
    </w:p>
    <w:p w14:paraId="2F1DBB7A" w14:textId="77777777" w:rsidR="00A75994" w:rsidRPr="00BC40F0" w:rsidRDefault="00A75994" w:rsidP="00A75994">
      <w:r w:rsidRPr="00BC40F0">
        <w:t xml:space="preserve">The Board is asked to note and comment on the report as necessary. </w:t>
      </w:r>
    </w:p>
    <w:p w14:paraId="6BE47207" w14:textId="77777777" w:rsidR="00AB4C34" w:rsidRPr="00BC40F0" w:rsidRDefault="00AB4C34" w:rsidP="005277D3">
      <w:pPr>
        <w:pStyle w:val="Heading1"/>
      </w:pPr>
      <w:r w:rsidRPr="00BC40F0">
        <w:t>Appendix and/or further reading links</w:t>
      </w:r>
    </w:p>
    <w:p w14:paraId="6DCD7A96" w14:textId="37412BF9" w:rsidR="00AB4C34" w:rsidRPr="00AB4C34" w:rsidRDefault="00AB4C34" w:rsidP="00AB4C34">
      <w:pPr>
        <w:rPr>
          <w:rStyle w:val="SubtleEmphasis"/>
          <w:i w:val="0"/>
          <w:iCs w:val="0"/>
        </w:rPr>
      </w:pPr>
      <w:r w:rsidRPr="00BC40F0">
        <w:t>N/A</w:t>
      </w:r>
      <w:r w:rsidR="00A5339E">
        <w:t>.</w:t>
      </w:r>
    </w:p>
    <w:sectPr w:rsidR="00AB4C34" w:rsidRPr="00AB4C34" w:rsidSect="00952E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C1F3" w14:textId="77777777" w:rsidR="00267B7A" w:rsidRDefault="00267B7A" w:rsidP="00CC679C">
      <w:r>
        <w:separator/>
      </w:r>
    </w:p>
  </w:endnote>
  <w:endnote w:type="continuationSeparator" w:id="0">
    <w:p w14:paraId="74088D91" w14:textId="77777777" w:rsidR="00267B7A" w:rsidRDefault="00267B7A" w:rsidP="00CC679C">
      <w:r>
        <w:continuationSeparator/>
      </w:r>
    </w:p>
  </w:endnote>
  <w:endnote w:type="continuationNotice" w:id="1">
    <w:p w14:paraId="3C269143" w14:textId="77777777" w:rsidR="00267B7A" w:rsidRDefault="00267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78DAEA77" w:rsidR="00432B96" w:rsidRPr="00042C78" w:rsidRDefault="00AB4C34" w:rsidP="00CC679C">
    <w:r w:rsidRPr="00042C78">
      <w:t xml:space="preserve">SLAB: Board </w:t>
    </w:r>
    <w:r w:rsidR="00F14DC9">
      <w:t>r</w:t>
    </w:r>
    <w:r w:rsidRPr="00042C78">
      <w:t>eport</w:t>
    </w:r>
    <w:r w:rsidR="008004A3">
      <w:t xml:space="preserve"> </w:t>
    </w:r>
    <w:r w:rsidR="001B3B69">
      <w:t xml:space="preserve">– </w:t>
    </w:r>
    <w:r w:rsidR="001B3B69" w:rsidRPr="003C49C1">
      <w:rPr>
        <w:lang w:val="en-US"/>
      </w:rPr>
      <w:t xml:space="preserve">Administration Resources Finance </w:t>
    </w:r>
    <w:r w:rsidR="001B3B69">
      <w:rPr>
        <w:lang w:val="en-US"/>
      </w:rPr>
      <w:t>March 2025</w:t>
    </w:r>
    <w:r w:rsidRPr="00042C78">
      <w:tab/>
      <w:t xml:space="preserve">                                </w:t>
    </w:r>
    <w:r w:rsidR="008F7C78" w:rsidRPr="00042C78">
      <w:tab/>
    </w:r>
    <w:r w:rsidR="001B3B69">
      <w:t xml:space="preserve">      </w:t>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01D2" w14:textId="531872A7" w:rsidR="00D50227" w:rsidRDefault="00137B44" w:rsidP="00137B44">
    <w:pPr>
      <w:pStyle w:val="Footer"/>
    </w:pPr>
    <w:r w:rsidRPr="00042C78">
      <w:t xml:space="preserve">SLAB: Board </w:t>
    </w:r>
    <w:r>
      <w:t>r</w:t>
    </w:r>
    <w:r w:rsidRPr="00042C78">
      <w:t>eport</w:t>
    </w:r>
    <w:r>
      <w:t xml:space="preserve"> – </w:t>
    </w:r>
    <w:r w:rsidRPr="003C49C1">
      <w:rPr>
        <w:lang w:val="en-US"/>
      </w:rPr>
      <w:t xml:space="preserve">Administration Resources Finance </w:t>
    </w:r>
    <w:r>
      <w:rPr>
        <w:lang w:val="en-US"/>
      </w:rPr>
      <w:t>March 2025</w:t>
    </w:r>
    <w:r>
      <w:t xml:space="preserve"> </w:t>
    </w:r>
    <w:sdt>
      <w:sdtPr>
        <w:id w:val="309830359"/>
        <w:docPartObj>
          <w:docPartGallery w:val="Page Numbers (Bottom of Page)"/>
          <w:docPartUnique/>
        </w:docPartObj>
      </w:sdtPr>
      <w:sdtEndPr>
        <w:rPr>
          <w:noProof/>
        </w:rPr>
      </w:sdtEndPr>
      <w:sdtContent>
        <w:r>
          <w:tab/>
        </w:r>
        <w:r>
          <w:tab/>
        </w:r>
        <w:r>
          <w:tab/>
        </w:r>
        <w:r w:rsidR="00D50227">
          <w:fldChar w:fldCharType="begin"/>
        </w:r>
        <w:r w:rsidR="00D50227">
          <w:instrText xml:space="preserve"> PAGE   \* MERGEFORMAT </w:instrText>
        </w:r>
        <w:r w:rsidR="00D50227">
          <w:fldChar w:fldCharType="separate"/>
        </w:r>
        <w:r w:rsidR="00D50227">
          <w:rPr>
            <w:noProof/>
          </w:rPr>
          <w:t>2</w:t>
        </w:r>
        <w:r w:rsidR="00D5022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8457" w14:textId="77777777" w:rsidR="00267B7A" w:rsidRDefault="00267B7A" w:rsidP="00CC679C">
      <w:r>
        <w:separator/>
      </w:r>
    </w:p>
  </w:footnote>
  <w:footnote w:type="continuationSeparator" w:id="0">
    <w:p w14:paraId="44C40216" w14:textId="77777777" w:rsidR="00267B7A" w:rsidRDefault="00267B7A" w:rsidP="00CC679C">
      <w:r>
        <w:continuationSeparator/>
      </w:r>
    </w:p>
  </w:footnote>
  <w:footnote w:type="continuationNotice" w:id="1">
    <w:p w14:paraId="06DC4092" w14:textId="77777777" w:rsidR="00267B7A" w:rsidRDefault="00267B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42C78"/>
    <w:rsid w:val="000D6ABF"/>
    <w:rsid w:val="000F272F"/>
    <w:rsid w:val="0010099E"/>
    <w:rsid w:val="00110451"/>
    <w:rsid w:val="00114434"/>
    <w:rsid w:val="00137B44"/>
    <w:rsid w:val="001806A5"/>
    <w:rsid w:val="001B3B69"/>
    <w:rsid w:val="001B4A0E"/>
    <w:rsid w:val="001E1C0C"/>
    <w:rsid w:val="00253BA6"/>
    <w:rsid w:val="00255951"/>
    <w:rsid w:val="00267B7A"/>
    <w:rsid w:val="00285DBB"/>
    <w:rsid w:val="002A0BFF"/>
    <w:rsid w:val="002C7DC0"/>
    <w:rsid w:val="003046AA"/>
    <w:rsid w:val="00323C61"/>
    <w:rsid w:val="00334C39"/>
    <w:rsid w:val="00363D37"/>
    <w:rsid w:val="00394E3D"/>
    <w:rsid w:val="003D0910"/>
    <w:rsid w:val="003D19C9"/>
    <w:rsid w:val="003E3E67"/>
    <w:rsid w:val="003E6122"/>
    <w:rsid w:val="00413111"/>
    <w:rsid w:val="004173BE"/>
    <w:rsid w:val="0043291B"/>
    <w:rsid w:val="00432B96"/>
    <w:rsid w:val="00450343"/>
    <w:rsid w:val="00450AC2"/>
    <w:rsid w:val="00465771"/>
    <w:rsid w:val="00477B40"/>
    <w:rsid w:val="00495BA1"/>
    <w:rsid w:val="004C3818"/>
    <w:rsid w:val="004E4FED"/>
    <w:rsid w:val="00503C9C"/>
    <w:rsid w:val="005277D3"/>
    <w:rsid w:val="00575DA6"/>
    <w:rsid w:val="005B0DEE"/>
    <w:rsid w:val="005F5C0E"/>
    <w:rsid w:val="00647D80"/>
    <w:rsid w:val="0065276B"/>
    <w:rsid w:val="006623B7"/>
    <w:rsid w:val="0066359E"/>
    <w:rsid w:val="006A1794"/>
    <w:rsid w:val="006A3099"/>
    <w:rsid w:val="006A645B"/>
    <w:rsid w:val="006B33ED"/>
    <w:rsid w:val="006F4385"/>
    <w:rsid w:val="0071469E"/>
    <w:rsid w:val="00740439"/>
    <w:rsid w:val="00747C90"/>
    <w:rsid w:val="00782742"/>
    <w:rsid w:val="00783A77"/>
    <w:rsid w:val="0079569E"/>
    <w:rsid w:val="008004A3"/>
    <w:rsid w:val="008031B1"/>
    <w:rsid w:val="00821617"/>
    <w:rsid w:val="008272A4"/>
    <w:rsid w:val="00850D7D"/>
    <w:rsid w:val="0085360F"/>
    <w:rsid w:val="008675EB"/>
    <w:rsid w:val="008708F9"/>
    <w:rsid w:val="008A0F0A"/>
    <w:rsid w:val="008A478D"/>
    <w:rsid w:val="008D5832"/>
    <w:rsid w:val="008F7C78"/>
    <w:rsid w:val="009219F9"/>
    <w:rsid w:val="00952EBA"/>
    <w:rsid w:val="009D0693"/>
    <w:rsid w:val="00A1488A"/>
    <w:rsid w:val="00A16CB9"/>
    <w:rsid w:val="00A345E5"/>
    <w:rsid w:val="00A5339E"/>
    <w:rsid w:val="00A75994"/>
    <w:rsid w:val="00A82E64"/>
    <w:rsid w:val="00A90BF3"/>
    <w:rsid w:val="00AA420A"/>
    <w:rsid w:val="00AB4C34"/>
    <w:rsid w:val="00AE7185"/>
    <w:rsid w:val="00B2602F"/>
    <w:rsid w:val="00B51286"/>
    <w:rsid w:val="00B526EE"/>
    <w:rsid w:val="00BB45B4"/>
    <w:rsid w:val="00BC40F0"/>
    <w:rsid w:val="00BD2768"/>
    <w:rsid w:val="00BE473B"/>
    <w:rsid w:val="00BE650B"/>
    <w:rsid w:val="00BF2DDC"/>
    <w:rsid w:val="00C054ED"/>
    <w:rsid w:val="00C35113"/>
    <w:rsid w:val="00CC679C"/>
    <w:rsid w:val="00CE3497"/>
    <w:rsid w:val="00D10A8E"/>
    <w:rsid w:val="00D16A3E"/>
    <w:rsid w:val="00D16CC0"/>
    <w:rsid w:val="00D2350C"/>
    <w:rsid w:val="00D330C3"/>
    <w:rsid w:val="00D35FED"/>
    <w:rsid w:val="00D50227"/>
    <w:rsid w:val="00DA3D91"/>
    <w:rsid w:val="00DB012E"/>
    <w:rsid w:val="00DE2B66"/>
    <w:rsid w:val="00DF1442"/>
    <w:rsid w:val="00E14DDA"/>
    <w:rsid w:val="00E426A5"/>
    <w:rsid w:val="00E45D36"/>
    <w:rsid w:val="00E66212"/>
    <w:rsid w:val="00EC0191"/>
    <w:rsid w:val="00EE608E"/>
    <w:rsid w:val="00EF5325"/>
    <w:rsid w:val="00F14DC9"/>
    <w:rsid w:val="00F6081D"/>
    <w:rsid w:val="00FA704A"/>
    <w:rsid w:val="00FC3E36"/>
    <w:rsid w:val="00FC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E0CC4252-46A2-46E1-B338-69460963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styleId="BodyText">
    <w:name w:val="Body Text"/>
    <w:basedOn w:val="Normal"/>
    <w:link w:val="BodyTextChar"/>
    <w:uiPriority w:val="99"/>
    <w:rsid w:val="00495BA1"/>
    <w:pPr>
      <w:spacing w:after="120" w:line="240" w:lineRule="auto"/>
      <w:ind w:left="567"/>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495BA1"/>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1B4A0E"/>
    <w:rPr>
      <w:sz w:val="16"/>
      <w:szCs w:val="16"/>
    </w:rPr>
  </w:style>
  <w:style w:type="paragraph" w:styleId="CommentText">
    <w:name w:val="annotation text"/>
    <w:basedOn w:val="Normal"/>
    <w:link w:val="CommentTextChar"/>
    <w:uiPriority w:val="99"/>
    <w:unhideWhenUsed/>
    <w:rsid w:val="001B4A0E"/>
    <w:pPr>
      <w:spacing w:line="240" w:lineRule="auto"/>
    </w:pPr>
    <w:rPr>
      <w:sz w:val="20"/>
      <w:szCs w:val="20"/>
    </w:rPr>
  </w:style>
  <w:style w:type="character" w:customStyle="1" w:styleId="CommentTextChar">
    <w:name w:val="Comment Text Char"/>
    <w:basedOn w:val="DefaultParagraphFont"/>
    <w:link w:val="CommentText"/>
    <w:uiPriority w:val="99"/>
    <w:rsid w:val="001B4A0E"/>
    <w:rPr>
      <w:sz w:val="20"/>
      <w:szCs w:val="20"/>
    </w:rPr>
  </w:style>
  <w:style w:type="paragraph" w:styleId="CommentSubject">
    <w:name w:val="annotation subject"/>
    <w:basedOn w:val="CommentText"/>
    <w:next w:val="CommentText"/>
    <w:link w:val="CommentSubjectChar"/>
    <w:uiPriority w:val="99"/>
    <w:semiHidden/>
    <w:unhideWhenUsed/>
    <w:rsid w:val="001B4A0E"/>
    <w:rPr>
      <w:b/>
      <w:bCs/>
    </w:rPr>
  </w:style>
  <w:style w:type="character" w:customStyle="1" w:styleId="CommentSubjectChar">
    <w:name w:val="Comment Subject Char"/>
    <w:basedOn w:val="CommentTextChar"/>
    <w:link w:val="CommentSubject"/>
    <w:uiPriority w:val="99"/>
    <w:semiHidden/>
    <w:rsid w:val="001B4A0E"/>
    <w:rPr>
      <w:b/>
      <w:bCs/>
      <w:sz w:val="20"/>
      <w:szCs w:val="20"/>
    </w:rPr>
  </w:style>
  <w:style w:type="character" w:styleId="Mention">
    <w:name w:val="Mention"/>
    <w:basedOn w:val="DefaultParagraphFont"/>
    <w:uiPriority w:val="99"/>
    <w:unhideWhenUsed/>
    <w:rsid w:val="001B4A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37774">
      <w:bodyDiv w:val="1"/>
      <w:marLeft w:val="0"/>
      <w:marRight w:val="0"/>
      <w:marTop w:val="0"/>
      <w:marBottom w:val="0"/>
      <w:divBdr>
        <w:top w:val="none" w:sz="0" w:space="0" w:color="auto"/>
        <w:left w:val="none" w:sz="0" w:space="0" w:color="auto"/>
        <w:bottom w:val="none" w:sz="0" w:space="0" w:color="auto"/>
        <w:right w:val="none" w:sz="0" w:space="0" w:color="auto"/>
      </w:divBdr>
    </w:div>
    <w:div w:id="1326591110">
      <w:bodyDiv w:val="1"/>
      <w:marLeft w:val="0"/>
      <w:marRight w:val="0"/>
      <w:marTop w:val="0"/>
      <w:marBottom w:val="0"/>
      <w:divBdr>
        <w:top w:val="none" w:sz="0" w:space="0" w:color="auto"/>
        <w:left w:val="none" w:sz="0" w:space="0" w:color="auto"/>
        <w:bottom w:val="none" w:sz="0" w:space="0" w:color="auto"/>
        <w:right w:val="none" w:sz="0" w:space="0" w:color="auto"/>
      </w:divBdr>
    </w:div>
    <w:div w:id="1477798064">
      <w:bodyDiv w:val="1"/>
      <w:marLeft w:val="0"/>
      <w:marRight w:val="0"/>
      <w:marTop w:val="0"/>
      <w:marBottom w:val="0"/>
      <w:divBdr>
        <w:top w:val="none" w:sz="0" w:space="0" w:color="auto"/>
        <w:left w:val="none" w:sz="0" w:space="0" w:color="auto"/>
        <w:bottom w:val="none" w:sz="0" w:space="0" w:color="auto"/>
        <w:right w:val="none" w:sz="0" w:space="0" w:color="auto"/>
      </w:divBdr>
    </w:div>
    <w:div w:id="1787650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4-25%20Resources%20Report\10.%20Jan%202024\1.%20Jan%20ADMIN%20Actuals%20&amp;%20Budg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DEE6-450D-8A7A-9426ADE98C44}"/>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DEE6-450D-8A7A-9426ADE98C44}"/>
              </c:ext>
            </c:extLst>
          </c:dPt>
          <c:val>
            <c:numRef>
              <c:f>'Workings for Dashboard'!$B$14:$B$15</c:f>
              <c:numCache>
                <c:formatCode>0.0%</c:formatCode>
                <c:ptCount val="2"/>
                <c:pt idx="0">
                  <c:v>0.82999717183951272</c:v>
                </c:pt>
                <c:pt idx="1">
                  <c:v>0.17000282816048728</c:v>
                </c:pt>
              </c:numCache>
            </c:numRef>
          </c:val>
          <c:extLst>
            <c:ext xmlns:c16="http://schemas.microsoft.com/office/drawing/2014/chart" uri="{C3380CC4-5D6E-409C-BE32-E72D297353CC}">
              <c16:uniqueId val="{00000004-DEE6-450D-8A7A-9426ADE98C44}"/>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4BCF-4D39-A30A-884043F13224}"/>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4BCF-4D39-A30A-884043F13224}"/>
              </c:ext>
            </c:extLst>
          </c:dPt>
          <c:val>
            <c:numRef>
              <c:f>'Workings for Dashboard'!$C$14:$C$15</c:f>
              <c:numCache>
                <c:formatCode>0.0%</c:formatCode>
                <c:ptCount val="2"/>
                <c:pt idx="0">
                  <c:v>0.83324728761676337</c:v>
                </c:pt>
                <c:pt idx="1">
                  <c:v>0.16675271238323663</c:v>
                </c:pt>
              </c:numCache>
            </c:numRef>
          </c:val>
          <c:extLst>
            <c:ext xmlns:c16="http://schemas.microsoft.com/office/drawing/2014/chart" uri="{C3380CC4-5D6E-409C-BE32-E72D297353CC}">
              <c16:uniqueId val="{00000004-4BCF-4D39-A30A-884043F13224}"/>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5178-4F50-8B32-0F9766E0D976}"/>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5178-4F50-8B32-0F9766E0D976}"/>
              </c:ext>
            </c:extLst>
          </c:dPt>
          <c:val>
            <c:numRef>
              <c:f>'Workings for Dashboard'!$F$14:$F$15</c:f>
              <c:numCache>
                <c:formatCode>0.0%</c:formatCode>
                <c:ptCount val="2"/>
                <c:pt idx="0">
                  <c:v>0.9452948943208731</c:v>
                </c:pt>
                <c:pt idx="1">
                  <c:v>5.4705105679126897E-2</c:v>
                </c:pt>
              </c:numCache>
            </c:numRef>
          </c:val>
          <c:extLst>
            <c:ext xmlns:c16="http://schemas.microsoft.com/office/drawing/2014/chart" uri="{C3380CC4-5D6E-409C-BE32-E72D297353CC}">
              <c16:uniqueId val="{00000004-5178-4F50-8B32-0F9766E0D976}"/>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Capital</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05FB-4CC8-8824-2DFD5D8BC747}"/>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05FB-4CC8-8824-2DFD5D8BC747}"/>
              </c:ext>
            </c:extLst>
          </c:dPt>
          <c:val>
            <c:numRef>
              <c:f>'Workings for Dashboard'!$E$14:$E$15</c:f>
              <c:numCache>
                <c:formatCode>0.0%</c:formatCode>
                <c:ptCount val="2"/>
                <c:pt idx="0">
                  <c:v>0.58439490000000005</c:v>
                </c:pt>
                <c:pt idx="1">
                  <c:v>0.41560509999999995</c:v>
                </c:pt>
              </c:numCache>
            </c:numRef>
          </c:val>
          <c:extLst>
            <c:ext xmlns:c16="http://schemas.microsoft.com/office/drawing/2014/chart" uri="{C3380CC4-5D6E-409C-BE32-E72D297353CC}">
              <c16:uniqueId val="{00000004-05FB-4CC8-8824-2DFD5D8BC747}"/>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Income</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DB5-4282-B959-E7CF4346AA54}"/>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6DB5-4282-B959-E7CF4346AA54}"/>
              </c:ext>
            </c:extLst>
          </c:dPt>
          <c:val>
            <c:numRef>
              <c:f>'Workings for Dashboard'!$D$14:$D$15</c:f>
              <c:numCache>
                <c:formatCode>0.0%</c:formatCode>
                <c:ptCount val="2"/>
                <c:pt idx="0">
                  <c:v>0.76049385755302901</c:v>
                </c:pt>
                <c:pt idx="1">
                  <c:v>0.23950614244697099</c:v>
                </c:pt>
              </c:numCache>
            </c:numRef>
          </c:val>
          <c:extLst>
            <c:ext xmlns:c16="http://schemas.microsoft.com/office/drawing/2014/chart" uri="{C3380CC4-5D6E-409C-BE32-E72D297353CC}">
              <c16:uniqueId val="{00000004-6DB5-4282-B959-E7CF4346AA54}"/>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'Workings for Dashboard'!$B$21</c:f>
              <c:strCache>
                <c:ptCount val="1"/>
                <c:pt idx="0">
                  <c:v>Budget YTD £k</c:v>
                </c:pt>
              </c:strCache>
            </c:strRef>
          </c:tx>
          <c:spPr>
            <a:solidFill>
              <a:schemeClr val="accent1"/>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Dashboard'!$B$22:$B$28</c:f>
              <c:numCache>
                <c:formatCode>#,##0_ ;[Red]\-#,##0\ </c:formatCode>
                <c:ptCount val="7"/>
                <c:pt idx="0">
                  <c:v>423.83451199999996</c:v>
                </c:pt>
                <c:pt idx="1">
                  <c:v>5685.1070220000011</c:v>
                </c:pt>
                <c:pt idx="2">
                  <c:v>3560.1688119999985</c:v>
                </c:pt>
                <c:pt idx="3">
                  <c:v>878.80657599999984</c:v>
                </c:pt>
                <c:pt idx="4">
                  <c:v>225.42889400000001</c:v>
                </c:pt>
                <c:pt idx="5">
                  <c:v>0</c:v>
                </c:pt>
                <c:pt idx="6">
                  <c:v>2185.538</c:v>
                </c:pt>
              </c:numCache>
            </c:numRef>
          </c:val>
          <c:extLst>
            <c:ext xmlns:c16="http://schemas.microsoft.com/office/drawing/2014/chart" uri="{C3380CC4-5D6E-409C-BE32-E72D297353CC}">
              <c16:uniqueId val="{00000000-8CF6-42C5-95B4-29DF684D013A}"/>
            </c:ext>
          </c:extLst>
        </c:ser>
        <c:ser>
          <c:idx val="1"/>
          <c:order val="1"/>
          <c:tx>
            <c:strRef>
              <c:f>'Workings for Dashboard'!$C$21</c:f>
              <c:strCache>
                <c:ptCount val="1"/>
                <c:pt idx="0">
                  <c:v>Actual YTD Spend £k</c:v>
                </c:pt>
              </c:strCache>
            </c:strRef>
          </c:tx>
          <c:spPr>
            <a:solidFill>
              <a:schemeClr val="accent2"/>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Dashboard'!$C$22:$C$28</c:f>
              <c:numCache>
                <c:formatCode>#,##0_ ;[Red]\-#,##0\ </c:formatCode>
                <c:ptCount val="7"/>
                <c:pt idx="0">
                  <c:v>421.13908000000004</c:v>
                </c:pt>
                <c:pt idx="1">
                  <c:v>5675.6724500000009</c:v>
                </c:pt>
                <c:pt idx="2">
                  <c:v>3553.1737199999998</c:v>
                </c:pt>
                <c:pt idx="3">
                  <c:v>878.15464000000009</c:v>
                </c:pt>
                <c:pt idx="4">
                  <c:v>225.76163999999997</c:v>
                </c:pt>
                <c:pt idx="5">
                  <c:v>0</c:v>
                </c:pt>
                <c:pt idx="6">
                  <c:v>2159.9992400000001</c:v>
                </c:pt>
              </c:numCache>
            </c:numRef>
          </c:val>
          <c:extLst>
            <c:ext xmlns:c16="http://schemas.microsoft.com/office/drawing/2014/chart" uri="{C3380CC4-5D6E-409C-BE32-E72D297353CC}">
              <c16:uniqueId val="{00000001-8CF6-42C5-95B4-29DF684D013A}"/>
            </c:ext>
          </c:extLst>
        </c:ser>
        <c:dLbls>
          <c:showLegendKey val="0"/>
          <c:showVal val="0"/>
          <c:showCatName val="0"/>
          <c:showSerName val="0"/>
          <c:showPercent val="0"/>
          <c:showBubbleSize val="0"/>
        </c:dLbls>
        <c:gapWidth val="150"/>
        <c:shape val="box"/>
        <c:axId val="1122231424"/>
        <c:axId val="1122228544"/>
        <c:axId val="0"/>
      </c:bar3DChart>
      <c:catAx>
        <c:axId val="1122231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122228544"/>
        <c:crosses val="autoZero"/>
        <c:auto val="1"/>
        <c:lblAlgn val="ctr"/>
        <c:lblOffset val="100"/>
        <c:noMultiLvlLbl val="0"/>
      </c:catAx>
      <c:valAx>
        <c:axId val="1122228544"/>
        <c:scaling>
          <c:orientation val="minMax"/>
        </c:scaling>
        <c:delete val="0"/>
        <c:axPos val="l"/>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1222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latin typeface="Trebuchet MS" panose="020B0603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0.30875</cdr:x>
      <cdr:y>0.49096</cdr:y>
    </cdr:from>
    <cdr:to>
      <cdr:x>0.64787</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302" y="773939"/>
          <a:ext cx="529729"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83%</a:t>
          </a:r>
        </a:p>
      </cdr:txBody>
    </cdr:sp>
  </cdr:relSizeAnchor>
</c:userShapes>
</file>

<file path=word/drawings/drawing2.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83%</a:t>
          </a:r>
        </a:p>
      </cdr:txBody>
    </cdr:sp>
  </cdr:relSizeAnchor>
</c:userShapes>
</file>

<file path=word/drawings/drawing3.xml><?xml version="1.0" encoding="utf-8"?>
<c:userShapes xmlns:c="http://schemas.openxmlformats.org/drawingml/2006/chart">
  <cdr:relSizeAnchor xmlns:cdr="http://schemas.openxmlformats.org/drawingml/2006/chartDrawing">
    <cdr:from>
      <cdr:x>0.37629</cdr:x>
      <cdr:y>0.50453</cdr:y>
    </cdr:from>
    <cdr:to>
      <cdr:x>0.69072</cdr:x>
      <cdr:y>0.6858</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695325" y="795338"/>
          <a:ext cx="5810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baseline="0">
              <a:latin typeface="Aptos" panose="020B0004020202020204" pitchFamily="34" charset="0"/>
            </a:rPr>
            <a:t>94%</a:t>
          </a:r>
        </a:p>
      </cdr:txBody>
    </cdr:sp>
  </cdr:relSizeAnchor>
</c:userShapes>
</file>

<file path=word/drawings/drawing4.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58%</a:t>
          </a:r>
        </a:p>
      </cdr:txBody>
    </cdr:sp>
  </cdr:relSizeAnchor>
</c:userShapes>
</file>

<file path=word/drawings/drawing5.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latin typeface="Aptos" panose="020B0004020202020204" pitchFamily="34" charset="0"/>
          </a:endParaRPr>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76%</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285DBB"/>
    <w:rsid w:val="002C7DC0"/>
    <w:rsid w:val="003D19C9"/>
    <w:rsid w:val="003E3E67"/>
    <w:rsid w:val="0043291B"/>
    <w:rsid w:val="0066359E"/>
    <w:rsid w:val="006A3099"/>
    <w:rsid w:val="0071469E"/>
    <w:rsid w:val="007F0A7D"/>
    <w:rsid w:val="00BE650B"/>
    <w:rsid w:val="00BF6626"/>
    <w:rsid w:val="00C054ED"/>
    <w:rsid w:val="00F5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ddc97c0f-92d3-40cc-8a88-afbef9d2f083"/>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77c8e73-1a92-43ae-87b4-1041e4b5416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0AFD274-D32B-442A-8F37-CF8D369DD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Resources Finance Report March 2025</dc:title>
  <dc:subject>Board Report</dc:subject>
  <dc:creator>Scottish Legal Aid Board</dc:creator>
  <cp:keywords/>
  <dc:description/>
  <cp:lastModifiedBy>Lindsay Corr</cp:lastModifiedBy>
  <cp:revision>2</cp:revision>
  <dcterms:created xsi:type="dcterms:W3CDTF">2025-08-12T09:01:00Z</dcterms:created>
  <dcterms:modified xsi:type="dcterms:W3CDTF">2025-08-12T09:01:00Z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