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2296" w14:textId="77777777" w:rsidR="00B2602F" w:rsidRPr="005277D3" w:rsidRDefault="009D0693" w:rsidP="00CC679C">
      <w:pPr>
        <w:pStyle w:val="Title"/>
      </w:pPr>
      <w:r>
        <w:rPr>
          <w:noProof/>
          <w:lang w:val="en-US"/>
        </w:rPr>
        <w:drawing>
          <wp:inline distT="0" distB="0" distL="0" distR="0" wp14:anchorId="7EE4B071" wp14:editId="2651EB3E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450AC2" w:rsidRPr="005277D3">
        <w:t>Board report</w:t>
      </w:r>
    </w:p>
    <w:p w14:paraId="6032D49E" w14:textId="038FBB1A" w:rsidR="00450AC2" w:rsidRPr="00AB4C34" w:rsidRDefault="000F272F" w:rsidP="00CC679C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2FBA7DAB" wp14:editId="2073E24A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58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9.3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2KE4pdwAAAAHAQAADwAAAGRy&#10;cy9kb3ducmV2LnhtbEyPwU7DMAyG70h7h8iTuCCWgmDrStNpQuPAAdDGHiBrvLbQOFWSdt3b44kD&#10;HP391u/P+Wq0rRjQh8aRgrtZAgKpdKahSsH+8+U2BRGiJqNbR6jgjAFWxeQq15lxJ9risIuV4BIK&#10;mVZQx9hlUoayRqvDzHVInB2dtzry6CtpvD5xuW3lfZLMpdUN8YVad/hcY/m9662CTfox3PhF/7B5&#10;te/rc3xLv7pjqdT1dFw/gYg4xr9luOizOhTsdHA9mSBaBfxIZJouQFzS5HHJ5PBLZJHL//7FDwA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DYoTil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C3315D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18BCEA35" wp14:editId="2271A502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724650" cy="0"/>
                <wp:effectExtent l="0" t="0" r="0" b="0"/>
                <wp:wrapNone/>
                <wp:docPr id="971420388" name="Straight Arrow Connector 971420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397B" id="Straight Arrow Connector 971420388" o:spid="_x0000_s1026" type="#_x0000_t32" alt="&quot;&quot;" style="position:absolute;margin-left:0;margin-top:53.8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QxGpkdwAAAAJAQAADwAAAGRy&#10;cy9kb3ducmV2LnhtbEyPwU7DMBBE70j8g7VIXBC1QdCGEKeqUDlwoIjCB7jxNgnE68h20vTv2UpI&#10;cNw3o9mZYjm5TowYYutJw81MgUCqvG2p1vD58XydgYjJkDWdJ9RwxAjL8vysMLn1B3rHcZtqwSEU&#10;c6OhSanPpYxVg87Eme+RWNv74EziM9TSBnPgcNfJW6Xm0pmW+ENjenxqsPreDk7DOnsbr8JiuFu/&#10;uM3qmF6zr35faX15Ma0eQSSc0p8ZTvW5OpTcaecHslF0GnhIYqoWcxAnWd0/MNr9IlkW8v+C8gc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DEamR3AAAAAk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450AC2">
        <w:rPr>
          <w:lang w:val="en-US"/>
        </w:rPr>
        <w:br/>
      </w:r>
      <w:r w:rsidR="69D59E89" w:rsidRPr="006F4385">
        <w:rPr>
          <w:rStyle w:val="Strong"/>
          <w:lang w:val="en-US"/>
        </w:rPr>
        <w:t xml:space="preserve">AGENDA ITEM: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4A5C2D56" w:rsidRPr="64538036">
        <w:rPr>
          <w:rStyle w:val="Strong"/>
          <w:lang w:val="en-US"/>
        </w:rPr>
        <w:t>08</w:t>
      </w:r>
      <w:r w:rsidR="00AB4C34">
        <w:rPr>
          <w:rStyle w:val="Strong"/>
          <w:lang w:val="en-US"/>
        </w:rPr>
        <w:br/>
      </w:r>
      <w:r w:rsidR="69D59E89" w:rsidRPr="006F4385">
        <w:rPr>
          <w:rStyle w:val="Strong"/>
          <w:lang w:val="en-US"/>
        </w:rPr>
        <w:t xml:space="preserve">REPORT NUMBER: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69D59E89" w:rsidRPr="006F4385">
        <w:rPr>
          <w:rStyle w:val="Strong"/>
          <w:lang w:val="en-US"/>
        </w:rPr>
        <w:t>SLAB</w:t>
      </w:r>
      <w:r w:rsidR="1C2B9E97">
        <w:rPr>
          <w:rStyle w:val="Strong"/>
          <w:lang w:val="en-US"/>
        </w:rPr>
        <w:t xml:space="preserve"> </w:t>
      </w:r>
      <w:r w:rsidR="69D59E89" w:rsidRPr="006F4385">
        <w:rPr>
          <w:rStyle w:val="Strong"/>
          <w:lang w:val="en-US"/>
        </w:rPr>
        <w:t>/</w:t>
      </w:r>
      <w:r w:rsidR="1C2B9E97">
        <w:rPr>
          <w:rStyle w:val="Strong"/>
          <w:lang w:val="en-US"/>
        </w:rPr>
        <w:t xml:space="preserve"> </w:t>
      </w:r>
      <w:r w:rsidR="56F6CA0D">
        <w:rPr>
          <w:rStyle w:val="Strong"/>
          <w:lang w:val="en-US"/>
        </w:rPr>
        <w:t>202</w:t>
      </w:r>
      <w:r w:rsidR="58385CFA">
        <w:rPr>
          <w:rStyle w:val="Strong"/>
          <w:lang w:val="en-US"/>
        </w:rPr>
        <w:t>5</w:t>
      </w:r>
      <w:r w:rsidR="1C2B9E97">
        <w:rPr>
          <w:rStyle w:val="Strong"/>
          <w:lang w:val="en-US"/>
        </w:rPr>
        <w:t xml:space="preserve"> </w:t>
      </w:r>
      <w:r w:rsidR="1C2B9E97" w:rsidRPr="006F4385">
        <w:rPr>
          <w:rStyle w:val="Strong"/>
          <w:lang w:val="en-US"/>
        </w:rPr>
        <w:t xml:space="preserve">/ </w:t>
      </w:r>
      <w:r w:rsidR="00817090">
        <w:rPr>
          <w:rStyle w:val="Strong"/>
          <w:lang w:val="en-US"/>
        </w:rPr>
        <w:t>16</w:t>
      </w:r>
    </w:p>
    <w:p w14:paraId="1913A29E" w14:textId="77777777" w:rsidR="00F14DC9" w:rsidRPr="00821617" w:rsidRDefault="00F14DC9" w:rsidP="000F272F">
      <w:pPr>
        <w:rPr>
          <w:rStyle w:val="Strong"/>
          <w:b w:val="0"/>
          <w:bCs w:val="0"/>
          <w:lang w:val="en-US"/>
        </w:rPr>
      </w:pPr>
      <w:r w:rsidRPr="005277D3">
        <w:rPr>
          <w:rStyle w:val="Strong"/>
          <w:rFonts w:asciiTheme="majorHAnsi" w:hAnsiTheme="majorHAnsi"/>
          <w:bCs w:val="0"/>
          <w:color w:val="174DA3"/>
          <w:sz w:val="40"/>
        </w:rPr>
        <w:t>Report details</w:t>
      </w:r>
    </w:p>
    <w:p w14:paraId="21524C7C" w14:textId="627D248D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Report to:</w:t>
      </w:r>
      <w:r w:rsidRPr="00D35FED">
        <w:rPr>
          <w:rStyle w:val="Strong"/>
        </w:rPr>
        <w:tab/>
      </w:r>
      <w:r w:rsidRPr="00D35FED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34070625"/>
          <w:lock w:val="sdtLocked"/>
          <w:placeholder>
            <w:docPart w:val="31A5267F9D8B45EEB79F0DDF5CF0CBB2"/>
          </w:placeholder>
          <w15:color w:val="000000"/>
          <w:comboBox>
            <w:listItem w:value="Choose an item."/>
            <w:listItem w:displayText="The Board" w:value="The Board"/>
            <w:listItem w:displayText="Legal Assistance Policy Committee" w:value="Legal Assistance Policy Committee"/>
            <w:listItem w:displayText="Remuneration and Appointments Committee" w:value="Remuneration and Appointments Committee"/>
            <w:listItem w:displayText="Audit Committee" w:value="Audit Committee"/>
            <w:listItem w:displayText="Section 31 Committee" w:value="Section 31 Committee"/>
            <w:listItem w:displayText="Review Committee" w:value="Review Committee"/>
          </w:comboBox>
        </w:sdtPr>
        <w:sdtEndPr/>
        <w:sdtContent>
          <w:r w:rsidR="004E4FED">
            <w:rPr>
              <w:lang w:val="en-US"/>
            </w:rPr>
            <w:t>The Board</w:t>
          </w:r>
        </w:sdtContent>
      </w:sdt>
    </w:p>
    <w:p w14:paraId="6D4CF6A7" w14:textId="393F0319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Meeting date:</w:t>
      </w:r>
      <w:r w:rsidR="00D35FED">
        <w:rPr>
          <w:lang w:val="en-US"/>
        </w:rPr>
        <w:tab/>
      </w:r>
      <w:r w:rsidR="00D35FED">
        <w:rPr>
          <w:lang w:val="en-US"/>
        </w:rPr>
        <w:tab/>
      </w:r>
      <w:r w:rsidR="000F3597">
        <w:rPr>
          <w:lang w:val="en-US"/>
        </w:rPr>
        <w:t>26</w:t>
      </w:r>
      <w:r w:rsidR="00D2350C">
        <w:rPr>
          <w:lang w:val="en-US"/>
        </w:rPr>
        <w:t xml:space="preserve"> M</w:t>
      </w:r>
      <w:r w:rsidR="000F3597">
        <w:rPr>
          <w:lang w:val="en-US"/>
        </w:rPr>
        <w:t>ay</w:t>
      </w:r>
      <w:r w:rsidR="00D2350C">
        <w:rPr>
          <w:lang w:val="en-US"/>
        </w:rPr>
        <w:t xml:space="preserve"> 2025</w:t>
      </w:r>
    </w:p>
    <w:p w14:paraId="3C9F5B0E" w14:textId="12D25E29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title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r w:rsidR="00515DE6" w:rsidRPr="00515DE6">
        <w:t>Administration Resources Finance Report</w:t>
      </w:r>
    </w:p>
    <w:p w14:paraId="487501A0" w14:textId="166D3FC1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category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sdt>
        <w:sdtPr>
          <w:rPr>
            <w:lang w:val="en-US"/>
          </w:rPr>
          <w:id w:val="833499362"/>
          <w:placeholder>
            <w:docPart w:val="BC0454778CF0490597D1CB385A9EEDA4"/>
          </w:placeholder>
          <w15:color w:val="000000"/>
          <w:comboBox>
            <w:listItem w:value="Choose an item."/>
            <w:listItem w:displayText="For information" w:value="For information"/>
            <w:listItem w:displayText="For decision" w:value="For decision"/>
            <w:listItem w:displayText="For discussion" w:value="For discussion"/>
          </w:comboBox>
        </w:sdtPr>
        <w:sdtEndPr/>
        <w:sdtContent>
          <w:r w:rsidR="004E4FED">
            <w:rPr>
              <w:lang w:val="en-US"/>
            </w:rPr>
            <w:t>For information</w:t>
          </w:r>
        </w:sdtContent>
      </w:sdt>
    </w:p>
    <w:p w14:paraId="4BCC3349" w14:textId="6B92E79C" w:rsidR="00450AC2" w:rsidRPr="00D35FED" w:rsidRDefault="006F4385" w:rsidP="00CC679C">
      <w:pPr>
        <w:rPr>
          <w:rStyle w:val="Strong"/>
        </w:rPr>
      </w:pPr>
      <w:r w:rsidRPr="00D35FED">
        <w:rPr>
          <w:rStyle w:val="Strong"/>
          <w:lang w:val="en-US"/>
        </w:rPr>
        <w:t>Issue status: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-134107502"/>
          <w:placeholder>
            <w:docPart w:val="B09FA00904994700B122DEF12B84F9BE"/>
          </w:placeholder>
          <w15:color w:val="000000"/>
          <w:comboBox>
            <w:listItem w:value="Choose an item."/>
            <w:listItem w:displayText="Business as usual" w:value="Business as usual"/>
            <w:listItem w:displayText="Project business" w:value="Project business"/>
            <w:listItem w:displayText="Directorate project" w:value="Directorate project"/>
          </w:comboBox>
        </w:sdtPr>
        <w:sdtEndPr/>
        <w:sdtContent>
          <w:r w:rsidR="004E4FED">
            <w:rPr>
              <w:lang w:val="en-US"/>
            </w:rPr>
            <w:t>Business as usual</w:t>
          </w:r>
        </w:sdtContent>
      </w:sdt>
    </w:p>
    <w:p w14:paraId="73D86164" w14:textId="0689C668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Written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4E4FED">
        <w:rPr>
          <w:lang w:val="en-US"/>
        </w:rPr>
        <w:t>Audrey Crawford</w:t>
      </w:r>
    </w:p>
    <w:p w14:paraId="4F1D2C6B" w14:textId="20FDA855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Director responsible:</w:t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412276126"/>
          <w:placeholder>
            <w:docPart w:val="F544C7BD0D34457ABE26A5956E6205A6"/>
          </w:placeholder>
          <w15:color w:val="000000"/>
          <w:comboBox>
            <w:listItem w:value="Choose an item."/>
            <w:listItem w:displayText="Colin Lancaster" w:value="Colin Lancaster"/>
            <w:listItem w:displayText="Ian Dickson" w:value="Ian Dickson"/>
            <w:listItem w:displayText="Adam Ford" w:value="Adam Ford"/>
            <w:listItem w:displayText="Marie-Louise Fox" w:value="Marie-Louise Fox"/>
            <w:listItem w:displayText="Carolyn McLeod" w:value="Carolyn McLeod"/>
            <w:listItem w:displayText="Linda Ross" w:value="Linda Ross"/>
          </w:comboBox>
        </w:sdtPr>
        <w:sdtEndPr/>
        <w:sdtContent>
          <w:r w:rsidR="004E4FED">
            <w:rPr>
              <w:lang w:val="en-US"/>
            </w:rPr>
            <w:t>Linda Ross</w:t>
          </w:r>
        </w:sdtContent>
      </w:sdt>
    </w:p>
    <w:p w14:paraId="2D3DDEB6" w14:textId="79509773" w:rsidR="006F4385" w:rsidRPr="00D35FED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Presented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4E4FED">
        <w:rPr>
          <w:lang w:val="en-US"/>
        </w:rPr>
        <w:t>Linda Ross</w:t>
      </w:r>
    </w:p>
    <w:p w14:paraId="3995BDCA" w14:textId="63B263FC" w:rsidR="006F4385" w:rsidRPr="00D35FED" w:rsidRDefault="006F4385" w:rsidP="00CC679C">
      <w:pPr>
        <w:rPr>
          <w:rStyle w:val="Strong"/>
          <w:b w:val="0"/>
          <w:bCs w:val="0"/>
        </w:rPr>
      </w:pPr>
      <w:r w:rsidRPr="00D35FED">
        <w:rPr>
          <w:rStyle w:val="Strong"/>
          <w:lang w:val="en-US"/>
        </w:rPr>
        <w:t>Contact details: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4E4FED">
        <w:rPr>
          <w:lang w:val="en-US"/>
        </w:rPr>
        <w:t>crawfordau@slab.org.uk</w:t>
      </w:r>
    </w:p>
    <w:p w14:paraId="409EC7C6" w14:textId="6C2B7F2A" w:rsidR="00A16CB9" w:rsidRPr="00F14DC9" w:rsidRDefault="00A16CB9" w:rsidP="000F272F">
      <w:pPr>
        <w:rPr>
          <w:rStyle w:val="Strong"/>
          <w:b w:val="0"/>
          <w:bCs w:val="0"/>
          <w:lang w:val="en-US"/>
        </w:rPr>
      </w:pPr>
      <w:r w:rsidRPr="00A16CB9">
        <w:rPr>
          <w:rStyle w:val="Strong"/>
        </w:rPr>
        <w:t>Delivery of Strategic Objectives</w:t>
      </w:r>
      <w:r w:rsidR="00A75994">
        <w:rPr>
          <w:rStyle w:val="Strong"/>
        </w:rPr>
        <w:t>:</w:t>
      </w:r>
      <w:r>
        <w:rPr>
          <w:rStyle w:val="Strong"/>
        </w:rPr>
        <w:br/>
      </w:r>
      <w:sdt>
        <w:sdtPr>
          <w:rPr>
            <w:lang w:val="en-US"/>
          </w:rPr>
          <w:id w:val="-1025477534"/>
          <w:placeholder>
            <w:docPart w:val="1CA18BC18242434285BA060792021EF8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4E4FED" w:rsidRPr="004E2EED">
            <w:rPr>
              <w:lang w:val="en-US"/>
            </w:rPr>
            <w:t>1 – Administration: Our timely, clear, and consistent decisions on legal aid applications and accounts deliver a positive customer experience.</w:t>
          </w:r>
        </w:sdtContent>
      </w:sdt>
      <w:r w:rsidR="00F14DC9" w:rsidRPr="004E2EED">
        <w:rPr>
          <w:lang w:val="en-US"/>
        </w:rPr>
        <w:tab/>
      </w:r>
    </w:p>
    <w:p w14:paraId="2662C528" w14:textId="021AD1A6" w:rsidR="00CC679C" w:rsidRDefault="00CC679C" w:rsidP="00CC679C">
      <w:r w:rsidRPr="00CC679C">
        <w:rPr>
          <w:rStyle w:val="Strong"/>
          <w:lang w:val="en-US"/>
        </w:rPr>
        <w:t>Link to Board or Committee remit</w:t>
      </w:r>
      <w:r w:rsidRPr="00CC679C">
        <w:rPr>
          <w:rStyle w:val="Strong"/>
        </w:rPr>
        <w:t>:</w:t>
      </w:r>
      <w:r>
        <w:rPr>
          <w:lang w:val="en-US"/>
        </w:rPr>
        <w:tab/>
      </w:r>
      <w:r w:rsidR="00821617">
        <w:rPr>
          <w:lang w:val="en-US"/>
        </w:rPr>
        <w:br/>
      </w:r>
      <w:r w:rsidR="00EE608E" w:rsidRPr="00010111">
        <w:t>This paper is linked to the Board’s role in monitoring the financial position of SLAB expenditure.</w:t>
      </w:r>
    </w:p>
    <w:p w14:paraId="16BA9B0E" w14:textId="77777777" w:rsidR="00EE608E" w:rsidRDefault="00CC679C" w:rsidP="00EE608E">
      <w:r w:rsidRPr="00CC679C">
        <w:rPr>
          <w:rStyle w:val="Strong"/>
        </w:rPr>
        <w:t>Link to Risk Management: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EE608E">
        <w:t>Our work to monitor administrative expenditure enables us to mitigate corporate risk 6 with awareness of pressures and ensuring planned changes are reflected.</w:t>
      </w:r>
    </w:p>
    <w:p w14:paraId="0FDB2648" w14:textId="5D1CC1EB" w:rsidR="00EE608E" w:rsidRDefault="00EE608E" w:rsidP="00EE608E">
      <w:r w:rsidRPr="004E2EED">
        <w:rPr>
          <w:b/>
          <w:bCs/>
        </w:rPr>
        <w:t>Risk 6:</w:t>
      </w:r>
      <w:r>
        <w:t xml:space="preserve"> If we fail to appropriately respond/plan to unplanned reductions in SLAB's administration funding then we may be unable to meet the needs of customers and/or prioritise our resources to ensure effective decision</w:t>
      </w:r>
      <w:r w:rsidR="00EA5BEA">
        <w:t>-</w:t>
      </w:r>
      <w:r>
        <w:t>making.</w:t>
      </w:r>
      <w:r w:rsidRPr="00D35FED">
        <w:t xml:space="preserve"> </w:t>
      </w:r>
    </w:p>
    <w:p w14:paraId="44E4CB7F" w14:textId="64D71CB8" w:rsidR="00CC679C" w:rsidRDefault="00CC679C" w:rsidP="00CC679C">
      <w:pPr>
        <w:rPr>
          <w:rStyle w:val="Strong"/>
        </w:rPr>
      </w:pPr>
      <w:r w:rsidRPr="00CC679C">
        <w:rPr>
          <w:rStyle w:val="Strong"/>
        </w:rPr>
        <w:t>Publication of the paper: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EE608E" w:rsidRPr="00010111">
        <w:t>The Board has previously agreed that this paper should be published as a matter of routine. It will be published on our website in due course.</w:t>
      </w:r>
      <w:r w:rsidRPr="00CC679C">
        <w:rPr>
          <w:rStyle w:val="Strong"/>
        </w:rPr>
        <w:tab/>
      </w:r>
    </w:p>
    <w:p w14:paraId="185FA806" w14:textId="7F7CE231" w:rsidR="00CC679C" w:rsidRPr="00AB4C34" w:rsidRDefault="00CC679C" w:rsidP="00CC679C">
      <w:pPr>
        <w:rPr>
          <w:b/>
          <w:bCs/>
        </w:rPr>
      </w:pPr>
      <w:r>
        <w:rPr>
          <w:rStyle w:val="Strong"/>
        </w:rPr>
        <w:t>Executive Summary:</w:t>
      </w:r>
      <w:r w:rsidR="00AB4C34">
        <w:rPr>
          <w:rStyle w:val="Strong"/>
        </w:rPr>
        <w:tab/>
      </w:r>
      <w:r w:rsidR="00AB4C34">
        <w:rPr>
          <w:rStyle w:val="Strong"/>
        </w:rPr>
        <w:tab/>
      </w:r>
      <w:r w:rsidR="00AB4C34">
        <w:rPr>
          <w:rStyle w:val="Strong"/>
        </w:rPr>
        <w:tab/>
      </w:r>
      <w:r w:rsidR="00F14DC9">
        <w:rPr>
          <w:rStyle w:val="Strong"/>
        </w:rPr>
        <w:br/>
      </w:r>
      <w:r w:rsidR="00EE608E" w:rsidRPr="00521048">
        <w:t>Expenditure for the period ended 31</w:t>
      </w:r>
      <w:r w:rsidR="00952EBA" w:rsidRPr="00521048">
        <w:t xml:space="preserve"> </w:t>
      </w:r>
      <w:r w:rsidR="000F3597" w:rsidRPr="00521048">
        <w:t>March</w:t>
      </w:r>
      <w:r w:rsidR="00D2350C" w:rsidRPr="00521048">
        <w:t xml:space="preserve"> 2025</w:t>
      </w:r>
      <w:r w:rsidR="00EE608E" w:rsidRPr="00521048">
        <w:t xml:space="preserve"> was £</w:t>
      </w:r>
      <w:r w:rsidR="00D2350C" w:rsidRPr="00521048">
        <w:t>1</w:t>
      </w:r>
      <w:r w:rsidR="00521048" w:rsidRPr="00521048">
        <w:t>5.03</w:t>
      </w:r>
      <w:r w:rsidR="00EE608E" w:rsidRPr="00521048">
        <w:t>m compared to a budget profile of £</w:t>
      </w:r>
      <w:r w:rsidR="00D2350C" w:rsidRPr="00521048">
        <w:t>1</w:t>
      </w:r>
      <w:r w:rsidR="00521048" w:rsidRPr="00521048">
        <w:t>5.17</w:t>
      </w:r>
      <w:r w:rsidR="00EE608E" w:rsidRPr="00521048">
        <w:t>m.</w:t>
      </w:r>
    </w:p>
    <w:p w14:paraId="28BD9C56" w14:textId="503A6C09" w:rsidR="00CC679C" w:rsidRPr="00042C78" w:rsidRDefault="00CC679C" w:rsidP="00EA5BEA">
      <w:pPr>
        <w:rPr>
          <w:rStyle w:val="Strong"/>
          <w:rFonts w:asciiTheme="majorHAnsi" w:hAnsiTheme="majorHAnsi"/>
          <w:b w:val="0"/>
          <w:bCs w:val="0"/>
          <w:color w:val="174DA3"/>
          <w:sz w:val="40"/>
        </w:rPr>
      </w:pPr>
      <w:r w:rsidRPr="00CC679C">
        <w:rPr>
          <w:rStyle w:val="Strong"/>
        </w:rPr>
        <w:lastRenderedPageBreak/>
        <w:t>Previous Consideration</w:t>
      </w:r>
      <w:r w:rsidR="00A75994">
        <w:rPr>
          <w:rStyle w:val="Strong"/>
        </w:rPr>
        <w:t>:</w:t>
      </w:r>
      <w:r w:rsidRPr="00CC679C">
        <w:rPr>
          <w:rStyle w:val="Strong"/>
        </w:rPr>
        <w:t xml:space="preserve"> </w:t>
      </w:r>
      <w:r w:rsidRPr="00CC679C">
        <w:rPr>
          <w:rStyle w:val="Strong"/>
        </w:rPr>
        <w:br/>
        <w:t>Meeting:</w:t>
      </w:r>
      <w:r w:rsidRPr="00CC679C">
        <w:tab/>
      </w:r>
      <w:r w:rsidR="000F3597">
        <w:t>17 March 2025</w:t>
      </w:r>
      <w:r w:rsidR="00EA5BEA">
        <w:t>.</w:t>
      </w:r>
      <w:r w:rsidRPr="00CC679C">
        <w:rPr>
          <w:rStyle w:val="Strong"/>
        </w:rPr>
        <w:br/>
        <w:t xml:space="preserve">Details: </w:t>
      </w:r>
      <w:r w:rsidRPr="00CC679C">
        <w:tab/>
      </w:r>
      <w:r w:rsidR="00EE608E">
        <w:t xml:space="preserve">The </w:t>
      </w:r>
      <w:r w:rsidR="00EA5BEA">
        <w:t>p</w:t>
      </w:r>
      <w:r w:rsidR="00EE608E">
        <w:t xml:space="preserve">revious report showed expenditure and resources to the end of </w:t>
      </w:r>
      <w:r w:rsidR="000F3597">
        <w:t>January</w:t>
      </w:r>
      <w:r w:rsidR="00EE608E">
        <w:t xml:space="preserve"> 202</w:t>
      </w:r>
      <w:r w:rsidR="000F3597">
        <w:t>5</w:t>
      </w:r>
      <w:r w:rsidR="00EE608E">
        <w:t>.</w:t>
      </w:r>
    </w:p>
    <w:p w14:paraId="0D2364E3" w14:textId="77777777" w:rsidR="00F14DC9" w:rsidRDefault="00F14DC9" w:rsidP="00521048">
      <w:pPr>
        <w:pStyle w:val="Heading1"/>
        <w:spacing w:before="0"/>
      </w:pPr>
      <w:r>
        <w:t>Report</w:t>
      </w:r>
    </w:p>
    <w:p w14:paraId="21E2238C" w14:textId="7DD4A4C8" w:rsidR="00AB4C34" w:rsidRDefault="00A75994" w:rsidP="00A75994">
      <w:pPr>
        <w:pStyle w:val="Heading2"/>
      </w:pPr>
      <w:r>
        <w:t>Funding</w:t>
      </w:r>
    </w:p>
    <w:p w14:paraId="6214B2FE" w14:textId="0CE7E7DC" w:rsidR="00A75994" w:rsidRPr="00DE2B66" w:rsidRDefault="00A75994" w:rsidP="00A75994">
      <w:r w:rsidRPr="00DE2B66">
        <w:t>The core funding we receive</w:t>
      </w:r>
      <w:r w:rsidR="001B0FB1">
        <w:t>d</w:t>
      </w:r>
      <w:r w:rsidRPr="00DE2B66">
        <w:t xml:space="preserve"> from Scottish Government </w:t>
      </w:r>
      <w:r w:rsidR="001B0FB1">
        <w:t>was</w:t>
      </w:r>
      <w:r w:rsidRPr="00DE2B66">
        <w:t xml:space="preserve"> £15,150k. Core funding includes £100k for capital which cannot be transferred to staff or running costs. </w:t>
      </w:r>
    </w:p>
    <w:p w14:paraId="4F23A426" w14:textId="45BC9FFD" w:rsidR="00A75994" w:rsidRPr="00DE2B66" w:rsidRDefault="00A75994" w:rsidP="00A75994">
      <w:r w:rsidRPr="00DE2B66">
        <w:t xml:space="preserve">The pension pressure figure is the cost of pensions over and above our core funding which </w:t>
      </w:r>
      <w:r w:rsidR="001B0FB1">
        <w:t>is</w:t>
      </w:r>
      <w:r w:rsidRPr="00DE2B66">
        <w:t xml:space="preserve"> borne by </w:t>
      </w:r>
      <w:r w:rsidR="00407752" w:rsidRPr="00DE2B66">
        <w:t>Scottish Government</w:t>
      </w:r>
      <w:r w:rsidR="00407752">
        <w:t xml:space="preserve"> (SG)</w:t>
      </w:r>
      <w:r w:rsidRPr="00DE2B66">
        <w:t xml:space="preserve">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1951"/>
        <w:gridCol w:w="1813"/>
      </w:tblGrid>
      <w:tr w:rsidR="00A75994" w:rsidRPr="00DE2B66" w14:paraId="1D9A83EA" w14:textId="77777777" w:rsidTr="006477D1">
        <w:trPr>
          <w:trHeight w:hRule="exact" w:val="746"/>
        </w:trPr>
        <w:tc>
          <w:tcPr>
            <w:tcW w:w="3200" w:type="pct"/>
            <w:tcBorders>
              <w:bottom w:val="single" w:sz="4" w:space="0" w:color="auto"/>
            </w:tcBorders>
          </w:tcPr>
          <w:p w14:paraId="255D1289" w14:textId="77777777" w:rsidR="00A75994" w:rsidRPr="00DE2B66" w:rsidRDefault="00A75994" w:rsidP="00A75994">
            <w:pPr>
              <w:rPr>
                <w:b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7E9CC53E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2023-24</w:t>
            </w:r>
          </w:p>
          <w:p w14:paraId="5F47D38F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Actual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14:paraId="618BEE7D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2024-25</w:t>
            </w:r>
          </w:p>
          <w:p w14:paraId="50490D92" w14:textId="7D19ACFA" w:rsidR="00A75994" w:rsidRPr="00DE2B66" w:rsidRDefault="001B0FB1" w:rsidP="00A75994">
            <w:pPr>
              <w:jc w:val="right"/>
              <w:rPr>
                <w:b/>
              </w:rPr>
            </w:pPr>
            <w:r>
              <w:rPr>
                <w:b/>
              </w:rPr>
              <w:t>A</w:t>
            </w:r>
            <w:r w:rsidR="008A5A68">
              <w:rPr>
                <w:b/>
              </w:rPr>
              <w:t>vailable</w:t>
            </w:r>
          </w:p>
        </w:tc>
      </w:tr>
      <w:tr w:rsidR="00A75994" w:rsidRPr="00DE2B66" w14:paraId="7F20795A" w14:textId="77777777" w:rsidTr="006477D1">
        <w:trPr>
          <w:trHeight w:hRule="exact" w:val="332"/>
        </w:trPr>
        <w:tc>
          <w:tcPr>
            <w:tcW w:w="3200" w:type="pct"/>
            <w:tcBorders>
              <w:bottom w:val="nil"/>
            </w:tcBorders>
          </w:tcPr>
          <w:p w14:paraId="4BC374BC" w14:textId="77777777" w:rsidR="00A75994" w:rsidRPr="00DE2B66" w:rsidRDefault="00A75994" w:rsidP="00A75994"/>
        </w:tc>
        <w:tc>
          <w:tcPr>
            <w:tcW w:w="933" w:type="pct"/>
            <w:tcBorders>
              <w:bottom w:val="nil"/>
            </w:tcBorders>
          </w:tcPr>
          <w:p w14:paraId="24622A23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£k</w:t>
            </w:r>
          </w:p>
        </w:tc>
        <w:tc>
          <w:tcPr>
            <w:tcW w:w="867" w:type="pct"/>
            <w:tcBorders>
              <w:bottom w:val="nil"/>
            </w:tcBorders>
          </w:tcPr>
          <w:p w14:paraId="64F75262" w14:textId="77777777" w:rsidR="00A75994" w:rsidRPr="00DE2B66" w:rsidRDefault="00A75994" w:rsidP="00A75994">
            <w:pPr>
              <w:jc w:val="right"/>
            </w:pPr>
            <w:r w:rsidRPr="00DE2B66">
              <w:rPr>
                <w:b/>
              </w:rPr>
              <w:t>£k</w:t>
            </w:r>
          </w:p>
        </w:tc>
      </w:tr>
      <w:tr w:rsidR="00A75994" w:rsidRPr="00DE2B66" w14:paraId="43D495D0" w14:textId="77777777" w:rsidTr="006477D1">
        <w:trPr>
          <w:trHeight w:hRule="exact" w:val="328"/>
        </w:trPr>
        <w:tc>
          <w:tcPr>
            <w:tcW w:w="3200" w:type="pct"/>
            <w:tcBorders>
              <w:top w:val="nil"/>
              <w:bottom w:val="nil"/>
            </w:tcBorders>
            <w:vAlign w:val="center"/>
          </w:tcPr>
          <w:p w14:paraId="1BDC6649" w14:textId="77777777" w:rsidR="00A75994" w:rsidRPr="00DE2B66" w:rsidRDefault="00A75994" w:rsidP="00A75994">
            <w:r w:rsidRPr="00DE2B66">
              <w:t>Core SG Funding (Actual/draft SG budget)</w:t>
            </w:r>
          </w:p>
        </w:tc>
        <w:tc>
          <w:tcPr>
            <w:tcW w:w="933" w:type="pct"/>
            <w:tcBorders>
              <w:top w:val="nil"/>
              <w:bottom w:val="nil"/>
            </w:tcBorders>
            <w:vAlign w:val="center"/>
          </w:tcPr>
          <w:p w14:paraId="714CCA45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14,750</w:t>
            </w:r>
          </w:p>
        </w:tc>
        <w:tc>
          <w:tcPr>
            <w:tcW w:w="867" w:type="pct"/>
            <w:tcBorders>
              <w:top w:val="nil"/>
              <w:bottom w:val="nil"/>
            </w:tcBorders>
            <w:vAlign w:val="center"/>
          </w:tcPr>
          <w:p w14:paraId="29F8AB69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15,150</w:t>
            </w:r>
          </w:p>
        </w:tc>
      </w:tr>
      <w:tr w:rsidR="00A75994" w:rsidRPr="00DE2B66" w14:paraId="0DEF7AEF" w14:textId="77777777" w:rsidTr="006477D1">
        <w:trPr>
          <w:trHeight w:hRule="exact" w:val="332"/>
        </w:trPr>
        <w:tc>
          <w:tcPr>
            <w:tcW w:w="3200" w:type="pct"/>
            <w:tcBorders>
              <w:top w:val="nil"/>
              <w:bottom w:val="nil"/>
            </w:tcBorders>
            <w:vAlign w:val="center"/>
          </w:tcPr>
          <w:p w14:paraId="4D842F05" w14:textId="77777777" w:rsidR="00A75994" w:rsidRPr="00DE2B66" w:rsidRDefault="00A75994" w:rsidP="00A75994">
            <w:r w:rsidRPr="00DE2B66">
              <w:t>Non cash funding for Depreciation</w:t>
            </w:r>
          </w:p>
        </w:tc>
        <w:tc>
          <w:tcPr>
            <w:tcW w:w="933" w:type="pct"/>
            <w:tcBorders>
              <w:top w:val="nil"/>
              <w:bottom w:val="nil"/>
            </w:tcBorders>
            <w:vAlign w:val="center"/>
          </w:tcPr>
          <w:p w14:paraId="630CA037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(550)</w:t>
            </w:r>
          </w:p>
        </w:tc>
        <w:tc>
          <w:tcPr>
            <w:tcW w:w="867" w:type="pct"/>
            <w:tcBorders>
              <w:top w:val="nil"/>
              <w:bottom w:val="nil"/>
            </w:tcBorders>
            <w:vAlign w:val="center"/>
          </w:tcPr>
          <w:p w14:paraId="766B502B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(550)</w:t>
            </w:r>
          </w:p>
        </w:tc>
      </w:tr>
      <w:tr w:rsidR="00A75994" w:rsidRPr="00DE2B66" w14:paraId="6B781B4A" w14:textId="77777777" w:rsidTr="006477D1">
        <w:trPr>
          <w:trHeight w:hRule="exact" w:val="332"/>
        </w:trPr>
        <w:tc>
          <w:tcPr>
            <w:tcW w:w="3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BD94C" w14:textId="77777777" w:rsidR="00A75994" w:rsidRPr="00DE2B66" w:rsidRDefault="00A75994" w:rsidP="00A75994">
            <w:r w:rsidRPr="00DE2B66">
              <w:t>Retained superannuation receipts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C1478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250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A33F5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250</w:t>
            </w:r>
          </w:p>
        </w:tc>
      </w:tr>
      <w:tr w:rsidR="00A75994" w:rsidRPr="00DE2B66" w14:paraId="622BB3A5" w14:textId="77777777" w:rsidTr="006477D1">
        <w:trPr>
          <w:trHeight w:hRule="exact" w:val="332"/>
        </w:trPr>
        <w:tc>
          <w:tcPr>
            <w:tcW w:w="3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BC530" w14:textId="77777777" w:rsidR="00A75994" w:rsidRPr="00DE2B66" w:rsidRDefault="00A75994" w:rsidP="00A75994">
            <w:r w:rsidRPr="00DE2B66">
              <w:t xml:space="preserve">Additional funding for Grant Funding/ SWRC 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8C470" w14:textId="77777777" w:rsidR="00A75994" w:rsidRPr="00DE2B66" w:rsidRDefault="00A75994" w:rsidP="00A75994">
            <w:pPr>
              <w:jc w:val="right"/>
              <w:rPr>
                <w:b/>
                <w:vertAlign w:val="superscript"/>
              </w:rPr>
            </w:pPr>
            <w:r w:rsidRPr="00DE2B66">
              <w:rPr>
                <w:b/>
              </w:rPr>
              <w:t>20</w:t>
            </w:r>
            <w:r w:rsidRPr="00DE2B66">
              <w:rPr>
                <w:b/>
                <w:vertAlign w:val="superscript"/>
              </w:rPr>
              <w:t>1</w:t>
            </w:r>
          </w:p>
          <w:p w14:paraId="20E4DC39" w14:textId="77777777" w:rsidR="00A75994" w:rsidRPr="00DE2B66" w:rsidRDefault="00A75994" w:rsidP="00A75994">
            <w:pPr>
              <w:jc w:val="right"/>
              <w:rPr>
                <w:b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140E4" w14:textId="77777777" w:rsidR="00A75994" w:rsidRPr="00DE2B66" w:rsidRDefault="00A75994" w:rsidP="00A75994">
            <w:pPr>
              <w:jc w:val="right"/>
              <w:rPr>
                <w:b/>
                <w:vertAlign w:val="superscript"/>
              </w:rPr>
            </w:pPr>
            <w:r w:rsidRPr="00DE2B66">
              <w:rPr>
                <w:b/>
              </w:rPr>
              <w:t>20</w:t>
            </w:r>
            <w:r w:rsidRPr="00DE2B66">
              <w:rPr>
                <w:b/>
                <w:vertAlign w:val="superscript"/>
              </w:rPr>
              <w:t>1</w:t>
            </w:r>
          </w:p>
          <w:p w14:paraId="0A831790" w14:textId="77777777" w:rsidR="00A75994" w:rsidRPr="00DE2B66" w:rsidRDefault="00A75994" w:rsidP="00A75994">
            <w:pPr>
              <w:jc w:val="right"/>
              <w:rPr>
                <w:b/>
              </w:rPr>
            </w:pPr>
          </w:p>
        </w:tc>
      </w:tr>
      <w:tr w:rsidR="00A75994" w:rsidRPr="00DE2B66" w14:paraId="5610C5B6" w14:textId="77777777" w:rsidTr="006477D1">
        <w:trPr>
          <w:trHeight w:hRule="exact" w:val="332"/>
        </w:trPr>
        <w:tc>
          <w:tcPr>
            <w:tcW w:w="3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7B3F5" w14:textId="77777777" w:rsidR="00A75994" w:rsidRPr="00DE2B66" w:rsidRDefault="00A75994" w:rsidP="00A75994">
            <w:r w:rsidRPr="00DE2B66">
              <w:t>Pension Pressure (additional funding from SG)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F90DF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460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5B72B" w14:textId="77777777" w:rsidR="00A75994" w:rsidRPr="00DE2B66" w:rsidRDefault="00A75994" w:rsidP="00A75994">
            <w:pPr>
              <w:jc w:val="right"/>
              <w:rPr>
                <w:b/>
              </w:rPr>
            </w:pPr>
            <w:r w:rsidRPr="00DE2B66">
              <w:rPr>
                <w:b/>
              </w:rPr>
              <w:t>590</w:t>
            </w:r>
          </w:p>
        </w:tc>
      </w:tr>
      <w:tr w:rsidR="00A75994" w:rsidRPr="00DE2B66" w14:paraId="7B576557" w14:textId="77777777" w:rsidTr="00407752">
        <w:trPr>
          <w:trHeight w:hRule="exact" w:val="405"/>
        </w:trPr>
        <w:tc>
          <w:tcPr>
            <w:tcW w:w="3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2FF"/>
            <w:vAlign w:val="center"/>
          </w:tcPr>
          <w:p w14:paraId="5C7DAFD5" w14:textId="77777777" w:rsidR="00A75994" w:rsidRPr="00DE2B66" w:rsidRDefault="00A75994" w:rsidP="00A75994">
            <w:pPr>
              <w:rPr>
                <w:b/>
                <w:bCs/>
              </w:rPr>
            </w:pPr>
            <w:r w:rsidRPr="00DE2B66">
              <w:rPr>
                <w:b/>
                <w:bCs/>
              </w:rPr>
              <w:t>Total available funding for the year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2FF"/>
            <w:vAlign w:val="center"/>
          </w:tcPr>
          <w:p w14:paraId="5CCF5A9D" w14:textId="77777777" w:rsidR="00A75994" w:rsidRPr="00DE2B66" w:rsidRDefault="00A75994" w:rsidP="00A75994">
            <w:pPr>
              <w:jc w:val="right"/>
              <w:rPr>
                <w:b/>
                <w:bCs/>
              </w:rPr>
            </w:pPr>
            <w:r w:rsidRPr="00DE2B66">
              <w:rPr>
                <w:b/>
                <w:bCs/>
              </w:rPr>
              <w:t>14,930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2D2FF"/>
            <w:vAlign w:val="center"/>
          </w:tcPr>
          <w:p w14:paraId="19D429E1" w14:textId="77777777" w:rsidR="00A75994" w:rsidRPr="00DE2B66" w:rsidRDefault="00A75994" w:rsidP="00A75994">
            <w:pPr>
              <w:jc w:val="right"/>
              <w:rPr>
                <w:b/>
                <w:bCs/>
              </w:rPr>
            </w:pPr>
            <w:r w:rsidRPr="00DE2B66">
              <w:rPr>
                <w:b/>
                <w:bCs/>
              </w:rPr>
              <w:t>15,460</w:t>
            </w:r>
          </w:p>
        </w:tc>
      </w:tr>
    </w:tbl>
    <w:p w14:paraId="62D7BB2E" w14:textId="77777777" w:rsidR="00A75994" w:rsidRPr="00407752" w:rsidRDefault="00A75994" w:rsidP="00A75994">
      <w:pPr>
        <w:rPr>
          <w:sz w:val="28"/>
          <w:szCs w:val="28"/>
          <w:vertAlign w:val="superscript"/>
        </w:rPr>
      </w:pPr>
      <w:r w:rsidRPr="00407752">
        <w:rPr>
          <w:sz w:val="28"/>
          <w:szCs w:val="28"/>
          <w:vertAlign w:val="superscript"/>
        </w:rPr>
        <w:t>1 Admin fee - £20k from Justice for SWRC</w:t>
      </w:r>
    </w:p>
    <w:p w14:paraId="7E6F136E" w14:textId="77777777" w:rsidR="00A75994" w:rsidRPr="00DE2B66" w:rsidRDefault="00A75994" w:rsidP="00A75994"/>
    <w:p w14:paraId="793CEB70" w14:textId="77777777" w:rsidR="00D10A8E" w:rsidRPr="00D2350C" w:rsidRDefault="00D10A8E">
      <w:pPr>
        <w:rPr>
          <w:rStyle w:val="Heading1Char"/>
          <w:highlight w:val="yellow"/>
        </w:rPr>
        <w:sectPr w:rsidR="00D10A8E" w:rsidRPr="00D2350C" w:rsidSect="00114434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73E4C2" w14:textId="77777777" w:rsidR="00DE2B66" w:rsidRPr="00DE2B66" w:rsidRDefault="00DE2B66" w:rsidP="00D10A8E">
      <w:pPr>
        <w:pStyle w:val="Heading2"/>
      </w:pPr>
    </w:p>
    <w:p w14:paraId="0D1F5581" w14:textId="680906D7" w:rsidR="00D10A8E" w:rsidRDefault="00D10A8E" w:rsidP="00D10A8E">
      <w:pPr>
        <w:pStyle w:val="Heading2"/>
      </w:pPr>
      <w:r w:rsidRPr="00DE2B66">
        <w:t xml:space="preserve">SLAB Admin Monthly Resource Report </w:t>
      </w:r>
      <w:r w:rsidR="001B0FB1">
        <w:t>for the year ending March 2025</w:t>
      </w:r>
      <w:r w:rsidRPr="00DE2B66">
        <w:t xml:space="preserve"> </w:t>
      </w:r>
    </w:p>
    <w:p w14:paraId="1E84E4BC" w14:textId="77777777" w:rsidR="00DE2B66" w:rsidRDefault="00DE2B66" w:rsidP="00DE2B66"/>
    <w:tbl>
      <w:tblPr>
        <w:tblW w:w="13467" w:type="dxa"/>
        <w:tblLook w:val="04A0" w:firstRow="1" w:lastRow="0" w:firstColumn="1" w:lastColumn="0" w:noHBand="0" w:noVBand="1"/>
      </w:tblPr>
      <w:tblGrid>
        <w:gridCol w:w="1456"/>
        <w:gridCol w:w="1805"/>
        <w:gridCol w:w="1842"/>
        <w:gridCol w:w="331"/>
        <w:gridCol w:w="1676"/>
        <w:gridCol w:w="2671"/>
        <w:gridCol w:w="1843"/>
        <w:gridCol w:w="1843"/>
      </w:tblGrid>
      <w:tr w:rsidR="002C6931" w:rsidRPr="00DE2B66" w14:paraId="2FF7FDE5" w14:textId="77777777" w:rsidTr="00921DDA">
        <w:trPr>
          <w:trHeight w:val="115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32F1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en-GB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F1973" w14:textId="77777777" w:rsidR="002C6931" w:rsidRPr="00DE2B66" w:rsidRDefault="002C6931" w:rsidP="00DE2B6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Annual Budget £k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018B6" w14:textId="77777777" w:rsidR="002C6931" w:rsidRPr="00DE2B66" w:rsidRDefault="002C6931" w:rsidP="00DE2B6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Actual Spend £k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BFFB" w14:textId="77777777" w:rsidR="002C6931" w:rsidRPr="00DE2B66" w:rsidRDefault="002C6931" w:rsidP="00DE2B6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D10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4A03A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39A80" w14:textId="77777777" w:rsidR="002C6931" w:rsidRPr="00DE2B66" w:rsidRDefault="002C6931" w:rsidP="00DE2B6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Annual Budget £k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E2CC3" w14:textId="77777777" w:rsidR="002C6931" w:rsidRPr="00DE2B66" w:rsidRDefault="002C6931" w:rsidP="00DE2B6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Actual Spend £k</w:t>
            </w:r>
          </w:p>
        </w:tc>
      </w:tr>
      <w:tr w:rsidR="002C6931" w:rsidRPr="00DE2B66" w14:paraId="025F45A1" w14:textId="77777777" w:rsidTr="00921DDA">
        <w:trPr>
          <w:trHeight w:val="36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17DA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Staff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E1FB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11,136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4794" w14:textId="104392AE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11,112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DA19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C920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9482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Corporate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2ECB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507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9C62" w14:textId="2334DA7E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504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2C6931" w:rsidRPr="00DE2B66" w14:paraId="7FBF841B" w14:textId="77777777" w:rsidTr="00921DDA">
        <w:trPr>
          <w:trHeight w:val="36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E5DE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Running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27DB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2,766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BB7F" w14:textId="6A3B59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2,</w:t>
            </w: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663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E727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B236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A2F3" w14:textId="5947647B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Corp</w:t>
            </w:r>
            <w:r w:rsidR="001B5FDC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orate</w:t>
            </w: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 xml:space="preserve"> Se</w:t>
            </w:r>
            <w:r w:rsidR="001B5FDC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r</w:t>
            </w: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v</w:t>
            </w:r>
            <w:r w:rsidR="001B5FDC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ices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1C3F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6,741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012A" w14:textId="2126006C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6,684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2C6931" w:rsidRPr="00DE2B66" w14:paraId="0F312B54" w14:textId="77777777" w:rsidTr="00921DDA">
        <w:trPr>
          <w:trHeight w:val="36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0B3F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Income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7171" w14:textId="77777777" w:rsidR="002C6931" w:rsidRPr="00407752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C00000"/>
                <w:kern w:val="0"/>
                <w:szCs w:val="24"/>
                <w:lang w:eastAsia="en-GB"/>
                <w14:ligatures w14:val="none"/>
              </w:rPr>
            </w:pPr>
            <w:r w:rsidRPr="00407752">
              <w:rPr>
                <w:rFonts w:ascii="Aptos" w:eastAsia="Times New Roman" w:hAnsi="Aptos" w:cs="Calibri"/>
                <w:color w:val="C00000"/>
                <w:kern w:val="0"/>
                <w:szCs w:val="24"/>
                <w:lang w:eastAsia="en-GB"/>
                <w14:ligatures w14:val="none"/>
              </w:rPr>
              <w:t xml:space="preserve">-1,121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B1C6" w14:textId="20E8942D" w:rsidR="002C6931" w:rsidRPr="00407752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C00000"/>
                <w:kern w:val="0"/>
                <w:szCs w:val="24"/>
                <w:lang w:eastAsia="en-GB"/>
                <w14:ligatures w14:val="none"/>
              </w:rPr>
            </w:pPr>
            <w:r w:rsidRPr="00407752">
              <w:rPr>
                <w:rFonts w:ascii="Aptos" w:eastAsia="Times New Roman" w:hAnsi="Aptos" w:cs="Calibri"/>
                <w:color w:val="C00000"/>
                <w:kern w:val="0"/>
                <w:szCs w:val="24"/>
                <w:lang w:eastAsia="en-GB"/>
                <w14:ligatures w14:val="none"/>
              </w:rPr>
              <w:t xml:space="preserve">-1,139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DBD5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7197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8764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Operations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9DA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4,298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7102" w14:textId="5BF6876E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4,273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2C6931" w:rsidRPr="00DE2B66" w14:paraId="1EE401BE" w14:textId="77777777" w:rsidTr="00921DDA">
        <w:trPr>
          <w:trHeight w:val="36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E192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Capital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6C1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0F33" w14:textId="3B10F11A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105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145C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EF81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F8CA" w14:textId="662EDBD3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Strat</w:t>
            </w:r>
            <w:r w:rsidR="001B5FDC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egic</w:t>
            </w: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 xml:space="preserve"> Dev</w:t>
            </w:r>
            <w:r w:rsidR="001B5FDC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elopment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774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1,050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9BFE" w14:textId="6BECB760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1,045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2C6931" w:rsidRPr="00DE2B66" w14:paraId="1EC19B02" w14:textId="77777777" w:rsidTr="00921DDA">
        <w:trPr>
          <w:trHeight w:val="36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9EC8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Pension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2071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2,285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7B53" w14:textId="0CD487E6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2,</w:t>
            </w: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285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DCDD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E3D4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1D0" w14:textId="1FC27A72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Legal Serv</w:t>
            </w:r>
            <w:r w:rsidR="001B5FDC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ices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A26F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284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0F59" w14:textId="2093A5DB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2</w:t>
            </w: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70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2C6931" w:rsidRPr="00DE2B66" w14:paraId="73D5ED95" w14:textId="77777777" w:rsidTr="00921DDA">
        <w:trPr>
          <w:trHeight w:val="37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4EC2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1057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 xml:space="preserve">15,166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5A55B" w14:textId="4E6E5A2D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1</w:t>
            </w:r>
            <w:r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5,025</w:t>
            </w: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8666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D7F0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E6C7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 xml:space="preserve">Vacancy Gap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6344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618C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0 </w:t>
            </w:r>
          </w:p>
        </w:tc>
      </w:tr>
      <w:tr w:rsidR="002C6931" w:rsidRPr="00DE2B66" w14:paraId="05E78E39" w14:textId="77777777" w:rsidTr="00921DDA">
        <w:trPr>
          <w:trHeight w:val="37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5008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3A1D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6A71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26DA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CB4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87C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kern w:val="0"/>
                <w:szCs w:val="24"/>
                <w:lang w:eastAsia="en-GB"/>
                <w14:ligatures w14:val="none"/>
              </w:rPr>
              <w:t>Pension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2086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2,285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0416" w14:textId="7993E48D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2,</w:t>
            </w:r>
            <w:r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>285</w:t>
            </w:r>
            <w:r w:rsidRPr="00DE2B66"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2C6931" w:rsidRPr="00DE2B66" w14:paraId="7D07AE3F" w14:textId="77777777" w:rsidTr="00921DDA">
        <w:trPr>
          <w:trHeight w:val="37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C619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7910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555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3266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48B3" w14:textId="77777777" w:rsidR="002C6931" w:rsidRPr="00DE2B66" w:rsidRDefault="002C6931" w:rsidP="00DE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C61C" w14:textId="77777777" w:rsidR="002C6931" w:rsidRPr="00DE2B66" w:rsidRDefault="002C6931" w:rsidP="00DE2B6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AD3CC" w14:textId="77777777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 xml:space="preserve">15,166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D1BFE" w14:textId="0584F783" w:rsidR="002C6931" w:rsidRPr="00DE2B66" w:rsidRDefault="002C6931" w:rsidP="00DE2B6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</w:pP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1</w:t>
            </w:r>
            <w:r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>5,025</w:t>
            </w:r>
            <w:r w:rsidRPr="00DE2B66">
              <w:rPr>
                <w:rFonts w:ascii="Aptos" w:eastAsia="Times New Roman" w:hAnsi="Aptos" w:cs="Calibri"/>
                <w:b/>
                <w:bCs/>
                <w:kern w:val="0"/>
                <w:szCs w:val="24"/>
                <w:lang w:eastAsia="en-GB"/>
                <w14:ligatures w14:val="none"/>
              </w:rPr>
              <w:t xml:space="preserve"> </w:t>
            </w:r>
          </w:p>
        </w:tc>
      </w:tr>
    </w:tbl>
    <w:p w14:paraId="3C3AFCE6" w14:textId="77777777" w:rsidR="00DE2B66" w:rsidRPr="00DE2B66" w:rsidRDefault="00DE2B66" w:rsidP="00DE2B66"/>
    <w:p w14:paraId="10DEB48D" w14:textId="6E9F6384" w:rsidR="000D6ABF" w:rsidRDefault="000D6ABF" w:rsidP="000D6ABF">
      <w:pPr>
        <w:pStyle w:val="Heading2"/>
        <w:rPr>
          <w:rFonts w:eastAsia="Times New Roman"/>
          <w:lang w:eastAsia="en-GB"/>
        </w:rPr>
      </w:pPr>
      <w:r w:rsidRPr="00DE2B66">
        <w:rPr>
          <w:rFonts w:eastAsia="Times New Roman"/>
          <w:lang w:eastAsia="en-GB"/>
        </w:rPr>
        <w:t xml:space="preserve">Budget Utilisation </w:t>
      </w:r>
    </w:p>
    <w:tbl>
      <w:tblPr>
        <w:tblW w:w="15398" w:type="dxa"/>
        <w:tblLook w:val="04A0" w:firstRow="1" w:lastRow="0" w:firstColumn="1" w:lastColumn="0" w:noHBand="0" w:noVBand="1"/>
      </w:tblPr>
      <w:tblGrid>
        <w:gridCol w:w="1175"/>
        <w:gridCol w:w="1432"/>
        <w:gridCol w:w="1511"/>
        <w:gridCol w:w="1274"/>
        <w:gridCol w:w="1174"/>
        <w:gridCol w:w="1650"/>
        <w:gridCol w:w="1511"/>
        <w:gridCol w:w="1234"/>
        <w:gridCol w:w="1174"/>
        <w:gridCol w:w="1353"/>
        <w:gridCol w:w="955"/>
        <w:gridCol w:w="955"/>
      </w:tblGrid>
      <w:tr w:rsidR="00BC40F0" w:rsidRPr="00BC40F0" w14:paraId="7BAE1E3D" w14:textId="77777777" w:rsidTr="00BC40F0">
        <w:trPr>
          <w:trHeight w:val="36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F97" w14:textId="77777777" w:rsidR="00BC40F0" w:rsidRPr="00BC40F0" w:rsidRDefault="00BC40F0" w:rsidP="00BC40F0">
            <w:pPr>
              <w:rPr>
                <w:rFonts w:ascii="Calibri" w:hAnsi="Calibri" w:cs="Calibri"/>
                <w:noProof/>
                <w:color w:val="000000"/>
                <w:sz w:val="22"/>
                <w:highlight w:val="yellow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6F7F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4B75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85B1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CE5C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9164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6772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4A24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3D17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787D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4B25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AE7A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</w:tr>
      <w:tr w:rsidR="00BC40F0" w:rsidRPr="00BC40F0" w14:paraId="030AF234" w14:textId="77777777" w:rsidTr="00BC40F0">
        <w:trPr>
          <w:trHeight w:val="36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289" w14:textId="4074EC03" w:rsidR="00BC40F0" w:rsidRPr="00BC40F0" w:rsidRDefault="00BC40F0" w:rsidP="00BC40F0">
            <w:pPr>
              <w:rPr>
                <w:rFonts w:ascii="Calibri" w:hAnsi="Calibri" w:cs="Calibri"/>
                <w:noProof/>
                <w:color w:val="000000"/>
                <w:sz w:val="22"/>
                <w:highlight w:val="yellow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5832" w14:textId="608F0F99" w:rsidR="00BC40F0" w:rsidRPr="00BC40F0" w:rsidRDefault="006464AB" w:rsidP="00BC40F0">
            <w:pPr>
              <w:rPr>
                <w:sz w:val="20"/>
                <w:highlight w:val="yellow"/>
                <w:lang w:eastAsia="en-GB"/>
              </w:rPr>
            </w:pPr>
            <w:r w:rsidRPr="00AD3C44">
              <w:rPr>
                <w:rFonts w:ascii="Calibri" w:hAnsi="Calibri" w:cs="Calibri"/>
                <w:noProof/>
                <w:color w:val="000000"/>
                <w:sz w:val="22"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79F96CB1" wp14:editId="68E305FF">
                  <wp:simplePos x="0" y="0"/>
                  <wp:positionH relativeFrom="column">
                    <wp:posOffset>-763905</wp:posOffset>
                  </wp:positionH>
                  <wp:positionV relativeFrom="paragraph">
                    <wp:posOffset>-76200</wp:posOffset>
                  </wp:positionV>
                  <wp:extent cx="1733550" cy="1590675"/>
                  <wp:effectExtent l="0" t="0" r="0" b="9525"/>
                  <wp:wrapNone/>
                  <wp:docPr id="2" name="Chart 6" descr="Staff 100%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6CC02C-041A-4BE6-86E4-541FD0179276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5B9F" w14:textId="394EC085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93FD" w14:textId="1D3C8E9A" w:rsidR="00BC40F0" w:rsidRPr="00BC40F0" w:rsidRDefault="006464AB" w:rsidP="00BC40F0">
            <w:pPr>
              <w:rPr>
                <w:sz w:val="20"/>
                <w:highlight w:val="yellow"/>
                <w:lang w:eastAsia="en-GB"/>
              </w:rPr>
            </w:pPr>
            <w:r w:rsidRPr="00AD3C44">
              <w:rPr>
                <w:rFonts w:ascii="Calibri" w:hAnsi="Calibri" w:cs="Calibri"/>
                <w:noProof/>
                <w:color w:val="000000"/>
                <w:sz w:val="22"/>
                <w:lang w:eastAsia="en-GB"/>
              </w:rPr>
              <w:drawing>
                <wp:anchor distT="0" distB="0" distL="114300" distR="114300" simplePos="0" relativeHeight="251658243" behindDoc="0" locked="0" layoutInCell="1" allowOverlap="1" wp14:anchorId="34E02365" wp14:editId="455A04AF">
                  <wp:simplePos x="0" y="0"/>
                  <wp:positionH relativeFrom="column">
                    <wp:posOffset>-916305</wp:posOffset>
                  </wp:positionH>
                  <wp:positionV relativeFrom="paragraph">
                    <wp:posOffset>-57150</wp:posOffset>
                  </wp:positionV>
                  <wp:extent cx="1885950" cy="1590675"/>
                  <wp:effectExtent l="0" t="0" r="0" b="9525"/>
                  <wp:wrapNone/>
                  <wp:docPr id="3" name="Chart 5" descr="Running costs 96%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AB3D5C-B4C0-491E-A28C-A9ABBDD5FF4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37B7" w14:textId="26B95A84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230D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6CB6" w14:textId="61025014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446D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0049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BF92" w14:textId="0E2DE955" w:rsidR="00BC40F0" w:rsidRPr="00BC40F0" w:rsidRDefault="006464AB" w:rsidP="00BC40F0">
            <w:pPr>
              <w:rPr>
                <w:sz w:val="20"/>
                <w:highlight w:val="yellow"/>
                <w:lang w:eastAsia="en-GB"/>
              </w:rPr>
            </w:pPr>
            <w:r w:rsidRPr="00AD3C44">
              <w:rPr>
                <w:rFonts w:ascii="Calibri" w:hAnsi="Calibri" w:cs="Calibri"/>
                <w:noProof/>
                <w:color w:val="000000"/>
                <w:sz w:val="22"/>
                <w:lang w:eastAsia="en-GB"/>
              </w:rPr>
              <w:drawing>
                <wp:anchor distT="0" distB="0" distL="114300" distR="114300" simplePos="0" relativeHeight="251658246" behindDoc="0" locked="0" layoutInCell="1" allowOverlap="1" wp14:anchorId="4EC6CFCD" wp14:editId="2AE9D1DC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-1270</wp:posOffset>
                  </wp:positionV>
                  <wp:extent cx="2133600" cy="1600200"/>
                  <wp:effectExtent l="0" t="0" r="0" b="0"/>
                  <wp:wrapNone/>
                  <wp:docPr id="6" name="Chart 4" descr="Pension costs 100%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EC5BA5-039F-4354-8E01-19ACD73339D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0FB7" w14:textId="3EF31308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CADB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</w:tr>
      <w:tr w:rsidR="00BC40F0" w:rsidRPr="00BC40F0" w14:paraId="70AA7DB7" w14:textId="77777777" w:rsidTr="00BC40F0">
        <w:trPr>
          <w:trHeight w:val="36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62AC" w14:textId="77777777" w:rsidR="00BC40F0" w:rsidRPr="00BC40F0" w:rsidRDefault="00BC40F0" w:rsidP="00BC40F0">
            <w:pPr>
              <w:rPr>
                <w:rFonts w:ascii="Calibri" w:hAnsi="Calibri" w:cs="Calibri"/>
                <w:noProof/>
                <w:color w:val="000000"/>
                <w:sz w:val="22"/>
                <w:highlight w:val="yellow"/>
                <w:lang w:eastAsia="en-GB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39A8" w14:textId="465CC9D8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8BFE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5E54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6D54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298A" w14:textId="2FD24CC0" w:rsidR="00BC40F0" w:rsidRPr="00BC40F0" w:rsidRDefault="006464AB" w:rsidP="00BC40F0">
            <w:pPr>
              <w:rPr>
                <w:sz w:val="20"/>
                <w:highlight w:val="yellow"/>
                <w:lang w:eastAsia="en-GB"/>
              </w:rPr>
            </w:pPr>
            <w:r w:rsidRPr="00AD3C44">
              <w:rPr>
                <w:rFonts w:ascii="Calibri" w:hAnsi="Calibri" w:cs="Calibri"/>
                <w:noProof/>
                <w:color w:val="000000"/>
                <w:sz w:val="22"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557DF8FF" wp14:editId="0746F58F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-252095</wp:posOffset>
                  </wp:positionV>
                  <wp:extent cx="1847850" cy="1590675"/>
                  <wp:effectExtent l="0" t="0" r="0" b="9525"/>
                  <wp:wrapNone/>
                  <wp:docPr id="5" name="Chart 2" descr="Income costs 102%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59F994-A40C-45B4-9354-6CEF2D81446F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5239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2C4D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466A" w14:textId="30C6F7B8" w:rsidR="00BC40F0" w:rsidRPr="00BC40F0" w:rsidRDefault="006464AB" w:rsidP="00BC40F0">
            <w:pPr>
              <w:rPr>
                <w:sz w:val="20"/>
                <w:highlight w:val="yellow"/>
                <w:lang w:eastAsia="en-GB"/>
              </w:rPr>
            </w:pPr>
            <w:r w:rsidRPr="00AD3C44">
              <w:rPr>
                <w:rFonts w:ascii="Calibri" w:hAnsi="Calibri" w:cs="Calibri"/>
                <w:noProof/>
                <w:color w:val="000000"/>
                <w:sz w:val="22"/>
                <w:lang w:eastAsia="en-GB"/>
              </w:rPr>
              <w:drawing>
                <wp:anchor distT="0" distB="0" distL="114300" distR="114300" simplePos="0" relativeHeight="251658245" behindDoc="0" locked="0" layoutInCell="1" allowOverlap="1" wp14:anchorId="31AE8158" wp14:editId="6D061580">
                  <wp:simplePos x="0" y="0"/>
                  <wp:positionH relativeFrom="column">
                    <wp:posOffset>-1609725</wp:posOffset>
                  </wp:positionH>
                  <wp:positionV relativeFrom="paragraph">
                    <wp:posOffset>-252095</wp:posOffset>
                  </wp:positionV>
                  <wp:extent cx="2200275" cy="1590675"/>
                  <wp:effectExtent l="0" t="0" r="9525" b="9525"/>
                  <wp:wrapNone/>
                  <wp:docPr id="8" name="Chart 3" descr="Capital costs 105%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F98DDF-32AB-41A2-B75A-8D18542104D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0C14" w14:textId="1CD3C4F9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1E41" w14:textId="2FEE45F9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7CEE" w14:textId="77777777" w:rsidR="00BC40F0" w:rsidRPr="00BC40F0" w:rsidRDefault="00BC40F0" w:rsidP="00BC40F0">
            <w:pPr>
              <w:rPr>
                <w:sz w:val="20"/>
                <w:highlight w:val="yellow"/>
                <w:lang w:eastAsia="en-GB"/>
              </w:rPr>
            </w:pPr>
          </w:p>
        </w:tc>
      </w:tr>
    </w:tbl>
    <w:p w14:paraId="1FA4BA33" w14:textId="77777777" w:rsidR="008A5A68" w:rsidRDefault="008A5A68" w:rsidP="00BC40F0">
      <w:pPr>
        <w:pStyle w:val="Heading2"/>
      </w:pPr>
    </w:p>
    <w:p w14:paraId="32C712EC" w14:textId="77777777" w:rsidR="008A5A68" w:rsidRDefault="008A5A68" w:rsidP="00BC40F0">
      <w:pPr>
        <w:pStyle w:val="Heading2"/>
      </w:pPr>
    </w:p>
    <w:p w14:paraId="68DDD0C5" w14:textId="77777777" w:rsidR="008A5A68" w:rsidRDefault="008A5A68" w:rsidP="00BC40F0">
      <w:pPr>
        <w:pStyle w:val="Heading2"/>
      </w:pPr>
    </w:p>
    <w:p w14:paraId="0FAEB3CA" w14:textId="77777777" w:rsidR="008A5A68" w:rsidRDefault="008A5A68">
      <w:pPr>
        <w:rPr>
          <w:rFonts w:asciiTheme="majorHAnsi" w:eastAsiaTheme="majorEastAsia" w:hAnsiTheme="majorHAnsi" w:cstheme="majorBidi"/>
          <w:b/>
          <w:sz w:val="32"/>
          <w:szCs w:val="26"/>
        </w:rPr>
      </w:pPr>
      <w:r>
        <w:br w:type="page"/>
      </w:r>
    </w:p>
    <w:p w14:paraId="03ACB7C0" w14:textId="209F05D0" w:rsidR="00D10A8E" w:rsidRPr="00BC40F0" w:rsidRDefault="00866430" w:rsidP="00BC40F0">
      <w:pPr>
        <w:pStyle w:val="Heading2"/>
        <w:rPr>
          <w:rStyle w:val="Heading1Char"/>
        </w:rPr>
      </w:pPr>
      <w:r>
        <w:lastRenderedPageBreak/>
        <w:t>S</w:t>
      </w:r>
      <w:r w:rsidR="00495BA1" w:rsidRPr="00BC40F0">
        <w:t>pend compared to budget</w:t>
      </w:r>
    </w:p>
    <w:tbl>
      <w:tblPr>
        <w:tblW w:w="16092" w:type="dxa"/>
        <w:tblLook w:val="04A0" w:firstRow="1" w:lastRow="0" w:firstColumn="1" w:lastColumn="0" w:noHBand="0" w:noVBand="1"/>
      </w:tblPr>
      <w:tblGrid>
        <w:gridCol w:w="1176"/>
        <w:gridCol w:w="1456"/>
        <w:gridCol w:w="1536"/>
        <w:gridCol w:w="1296"/>
        <w:gridCol w:w="1196"/>
        <w:gridCol w:w="1676"/>
        <w:gridCol w:w="1976"/>
        <w:gridCol w:w="1256"/>
        <w:gridCol w:w="1196"/>
        <w:gridCol w:w="1376"/>
        <w:gridCol w:w="976"/>
        <w:gridCol w:w="976"/>
      </w:tblGrid>
      <w:tr w:rsidR="008A5A68" w:rsidRPr="00AD3C44" w14:paraId="43B20530" w14:textId="77777777" w:rsidTr="006477D1">
        <w:trPr>
          <w:trHeight w:val="36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124D" w14:textId="77777777" w:rsidR="008A5A68" w:rsidRPr="00AD3C44" w:rsidRDefault="008A5A68" w:rsidP="006477D1">
            <w:pPr>
              <w:rPr>
                <w:rFonts w:ascii="Calibri" w:hAnsi="Calibri" w:cs="Calibri"/>
                <w:color w:val="000000"/>
                <w:sz w:val="22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A5A68" w:rsidRPr="00AD3C44" w14:paraId="3B9042B9" w14:textId="77777777" w:rsidTr="006477D1">
              <w:trPr>
                <w:trHeight w:val="36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1D409" w14:textId="77777777" w:rsidR="008A5A68" w:rsidRPr="00AD3C44" w:rsidRDefault="008A5A68" w:rsidP="006477D1">
                  <w:pPr>
                    <w:rPr>
                      <w:rFonts w:ascii="Calibri" w:hAnsi="Calibri" w:cs="Calibri"/>
                      <w:color w:val="000000"/>
                      <w:sz w:val="22"/>
                      <w:lang w:eastAsia="en-GB"/>
                    </w:rPr>
                  </w:pPr>
                </w:p>
              </w:tc>
            </w:tr>
          </w:tbl>
          <w:p w14:paraId="285C8ACD" w14:textId="77777777" w:rsidR="008A5A68" w:rsidRPr="00AD3C44" w:rsidRDefault="008A5A68" w:rsidP="006477D1">
            <w:pPr>
              <w:rPr>
                <w:rFonts w:ascii="Calibri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9AEA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BE93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F6C0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17E3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  <w:r w:rsidRPr="00AD3C44">
              <w:rPr>
                <w:rFonts w:ascii="Calibri" w:hAnsi="Calibri" w:cs="Calibri"/>
                <w:noProof/>
                <w:color w:val="000000"/>
                <w:sz w:val="22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F7DE45F" wp14:editId="27A0910A">
                  <wp:simplePos x="0" y="0"/>
                  <wp:positionH relativeFrom="column">
                    <wp:posOffset>-3565525</wp:posOffset>
                  </wp:positionH>
                  <wp:positionV relativeFrom="paragraph">
                    <wp:posOffset>172085</wp:posOffset>
                  </wp:positionV>
                  <wp:extent cx="8931275" cy="3412490"/>
                  <wp:effectExtent l="0" t="0" r="3175" b="16510"/>
                  <wp:wrapNone/>
                  <wp:docPr id="7" name="Chart 1" descr="A chart showing budget spend for the year to date against the budget for year to dat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6CA80C-DD84-482A-B708-306508A1FD7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E23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530F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1EB8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27D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9F5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F249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8BBF" w14:textId="77777777" w:rsidR="008A5A68" w:rsidRPr="00AD3C44" w:rsidRDefault="008A5A68" w:rsidP="006477D1">
            <w:pPr>
              <w:rPr>
                <w:sz w:val="20"/>
                <w:lang w:eastAsia="en-GB"/>
              </w:rPr>
            </w:pPr>
          </w:p>
        </w:tc>
      </w:tr>
    </w:tbl>
    <w:p w14:paraId="0D0766F3" w14:textId="474528B5" w:rsidR="00D10A8E" w:rsidRDefault="00D10A8E" w:rsidP="00AB4C34">
      <w:pPr>
        <w:rPr>
          <w:noProof/>
        </w:rPr>
      </w:pPr>
    </w:p>
    <w:p w14:paraId="58DAF072" w14:textId="77777777" w:rsidR="008A5A68" w:rsidRDefault="008A5A68" w:rsidP="00AB4C34">
      <w:pPr>
        <w:rPr>
          <w:noProof/>
        </w:rPr>
      </w:pPr>
    </w:p>
    <w:p w14:paraId="5E47699E" w14:textId="77777777" w:rsidR="008A5A68" w:rsidRDefault="008A5A68" w:rsidP="00AB4C34">
      <w:pPr>
        <w:rPr>
          <w:noProof/>
        </w:rPr>
      </w:pPr>
    </w:p>
    <w:p w14:paraId="7D879D74" w14:textId="77777777" w:rsidR="008A5A68" w:rsidRDefault="008A5A68" w:rsidP="00AB4C34">
      <w:pPr>
        <w:rPr>
          <w:noProof/>
        </w:rPr>
      </w:pPr>
    </w:p>
    <w:p w14:paraId="461C02DC" w14:textId="77777777" w:rsidR="008A5A68" w:rsidRDefault="008A5A68" w:rsidP="00AB4C34">
      <w:pPr>
        <w:rPr>
          <w:noProof/>
        </w:rPr>
      </w:pPr>
    </w:p>
    <w:p w14:paraId="7C97C8AD" w14:textId="77777777" w:rsidR="008A5A68" w:rsidRDefault="008A5A68" w:rsidP="00AB4C34">
      <w:pPr>
        <w:rPr>
          <w:noProof/>
        </w:rPr>
      </w:pPr>
    </w:p>
    <w:p w14:paraId="587FCD8A" w14:textId="77777777" w:rsidR="008A5A68" w:rsidRDefault="008A5A68" w:rsidP="00AB4C34">
      <w:pPr>
        <w:rPr>
          <w:noProof/>
        </w:rPr>
      </w:pPr>
    </w:p>
    <w:p w14:paraId="3E739015" w14:textId="77777777" w:rsidR="008A5A68" w:rsidRDefault="008A5A68" w:rsidP="00AB4C34">
      <w:pPr>
        <w:rPr>
          <w:noProof/>
        </w:rPr>
      </w:pPr>
    </w:p>
    <w:p w14:paraId="45C95AFE" w14:textId="77777777" w:rsidR="008A5A68" w:rsidRDefault="008A5A68" w:rsidP="00AB4C34">
      <w:pPr>
        <w:rPr>
          <w:noProof/>
        </w:rPr>
      </w:pPr>
    </w:p>
    <w:p w14:paraId="4A5E505E" w14:textId="77777777" w:rsidR="008A5A68" w:rsidRPr="00D2350C" w:rsidRDefault="008A5A68" w:rsidP="00AB4C34">
      <w:pPr>
        <w:rPr>
          <w:rStyle w:val="Heading1Char"/>
          <w:highlight w:val="yellow"/>
        </w:rPr>
      </w:pPr>
    </w:p>
    <w:p w14:paraId="0DC5CF6B" w14:textId="73BCB207" w:rsidR="00D10A8E" w:rsidRPr="00D50227" w:rsidRDefault="00495BA1" w:rsidP="00495BA1">
      <w:pPr>
        <w:pStyle w:val="Heading2"/>
        <w:rPr>
          <w:rStyle w:val="Heading1Char"/>
          <w:b/>
          <w:color w:val="auto"/>
          <w:sz w:val="32"/>
          <w:szCs w:val="26"/>
          <w:lang w:val="en-GB"/>
        </w:rPr>
      </w:pPr>
      <w:r w:rsidRPr="00D50227">
        <w:t xml:space="preserve">Analysis of spend </w:t>
      </w:r>
    </w:p>
    <w:p w14:paraId="6DE11D1E" w14:textId="15DD055F" w:rsidR="00D50227" w:rsidRPr="00D2350C" w:rsidRDefault="008A5A68" w:rsidP="00921DDA">
      <w:pPr>
        <w:pStyle w:val="BodyText"/>
        <w:spacing w:after="0" w:line="276" w:lineRule="auto"/>
        <w:ind w:left="0"/>
        <w:jc w:val="left"/>
        <w:rPr>
          <w:highlight w:val="yellow"/>
        </w:rPr>
        <w:sectPr w:rsidR="00D50227" w:rsidRPr="00D2350C" w:rsidSect="00D10A8E">
          <w:footerReference w:type="default" r:id="rId1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Hlk182916682"/>
      <w:r>
        <w:rPr>
          <w:rFonts w:ascii="Aptos" w:hAnsi="Aptos"/>
          <w:szCs w:val="24"/>
        </w:rPr>
        <w:t>Costs lines are largely in line with budget expectation. The exception being Running costs which exited slightly under budget</w:t>
      </w:r>
      <w:r w:rsidR="00521048">
        <w:rPr>
          <w:rFonts w:ascii="Aptos" w:hAnsi="Aptos"/>
          <w:szCs w:val="24"/>
        </w:rPr>
        <w:t xml:space="preserve"> due to some suppliers being unable to issue bills in time for the year end cut off</w:t>
      </w:r>
      <w:r>
        <w:rPr>
          <w:rFonts w:ascii="Aptos" w:hAnsi="Aptos"/>
          <w:szCs w:val="24"/>
        </w:rPr>
        <w:t>. The year end position is a small underspend of £141k (0.93%).</w:t>
      </w:r>
    </w:p>
    <w:p w14:paraId="45098740" w14:textId="0B47B3C5" w:rsidR="00495BA1" w:rsidRPr="00BC40F0" w:rsidRDefault="00952EBA" w:rsidP="00952EBA">
      <w:pPr>
        <w:pStyle w:val="Heading2"/>
      </w:pPr>
      <w:r w:rsidRPr="00BC40F0">
        <w:lastRenderedPageBreak/>
        <w:t>Invoice Turnaround Times</w:t>
      </w:r>
    </w:p>
    <w:p w14:paraId="1995D4CC" w14:textId="1719193B" w:rsidR="00BC40F0" w:rsidRPr="009F0091" w:rsidRDefault="00952EBA" w:rsidP="00921DDA">
      <w:pPr>
        <w:spacing w:before="240" w:after="240" w:line="276" w:lineRule="auto"/>
        <w:rPr>
          <w:rFonts w:ascii="Aptos" w:hAnsi="Aptos"/>
          <w:szCs w:val="24"/>
        </w:rPr>
      </w:pPr>
      <w:r w:rsidRPr="00BC40F0">
        <w:rPr>
          <w:rFonts w:ascii="Aptos" w:eastAsia="Times New Roman" w:hAnsi="Aptos" w:cs="Times New Roman"/>
          <w:kern w:val="0"/>
          <w:szCs w:val="24"/>
          <w14:ligatures w14:val="none"/>
        </w:rPr>
        <w:t xml:space="preserve">The table below shows invoice payment performance for both 10 and 30 days, the former being our operational target and the latter being our normal contractual payment term. </w:t>
      </w:r>
      <w:r w:rsidR="00BC40F0" w:rsidRPr="009F0091">
        <w:rPr>
          <w:rFonts w:ascii="Aptos" w:hAnsi="Aptos"/>
          <w:szCs w:val="24"/>
        </w:rPr>
        <w:t xml:space="preserve">Both </w:t>
      </w:r>
      <w:r w:rsidR="00866430">
        <w:rPr>
          <w:rFonts w:ascii="Aptos" w:hAnsi="Aptos"/>
          <w:szCs w:val="24"/>
        </w:rPr>
        <w:t>are</w:t>
      </w:r>
      <w:r w:rsidR="00BC40F0" w:rsidRPr="009F0091">
        <w:rPr>
          <w:rFonts w:ascii="Aptos" w:hAnsi="Aptos"/>
          <w:szCs w:val="24"/>
        </w:rPr>
        <w:t xml:space="preserve"> above the Scottish Government threshold of 95%. </w:t>
      </w:r>
    </w:p>
    <w:tbl>
      <w:tblPr>
        <w:tblW w:w="1018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98"/>
        <w:gridCol w:w="2007"/>
        <w:gridCol w:w="2007"/>
        <w:gridCol w:w="2009"/>
      </w:tblGrid>
      <w:tr w:rsidR="008A5A68" w:rsidRPr="0023125D" w14:paraId="0E3E7761" w14:textId="77777777" w:rsidTr="00921DDA">
        <w:trPr>
          <w:trHeight w:val="343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093F" w14:textId="77777777" w:rsidR="008A5A68" w:rsidRPr="00AD3C44" w:rsidRDefault="008A5A68" w:rsidP="006477D1">
            <w:pPr>
              <w:jc w:val="center"/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</w:pPr>
            <w:bookmarkStart w:id="1" w:name="_Hlk198136716"/>
            <w:r w:rsidRPr="00AD3C44"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  <w:t xml:space="preserve">            For the </w:t>
            </w:r>
            <w:r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  <w:t>Year</w:t>
            </w:r>
            <w:r w:rsidRPr="00AD3C44"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  <w:t xml:space="preserve"> to 31-Mar-25</w:t>
            </w:r>
          </w:p>
        </w:tc>
      </w:tr>
      <w:tr w:rsidR="008A5A68" w:rsidRPr="0023125D" w14:paraId="474A10A0" w14:textId="77777777" w:rsidTr="00921DDA">
        <w:trPr>
          <w:trHeight w:val="34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6E47" w14:textId="77777777" w:rsidR="008A5A68" w:rsidRPr="0023125D" w:rsidRDefault="008A5A68" w:rsidP="006477D1">
            <w:pPr>
              <w:rPr>
                <w:rFonts w:ascii="Aptos" w:hAnsi="Aptos"/>
                <w:b/>
                <w:bCs/>
                <w:color w:val="000000"/>
                <w:szCs w:val="24"/>
                <w:highlight w:val="yellow"/>
                <w:lang w:eastAsia="en-GB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4973" w14:textId="77777777" w:rsidR="008A5A68" w:rsidRPr="00AD3C44" w:rsidRDefault="008A5A68" w:rsidP="006477D1">
            <w:pPr>
              <w:jc w:val="center"/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</w:pPr>
            <w:r w:rsidRPr="00AD3C44">
              <w:rPr>
                <w:rFonts w:ascii="Aptos" w:hAnsi="Aptos"/>
                <w:b/>
                <w:bCs/>
                <w:szCs w:val="24"/>
              </w:rPr>
              <w:t>YTD % paid within 10 days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8855" w14:textId="77777777" w:rsidR="008A5A68" w:rsidRPr="00AD3C44" w:rsidRDefault="008A5A68" w:rsidP="006477D1">
            <w:pPr>
              <w:jc w:val="center"/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</w:pPr>
            <w:r w:rsidRPr="00AD3C44">
              <w:rPr>
                <w:rFonts w:ascii="Aptos" w:hAnsi="Aptos"/>
                <w:b/>
                <w:bCs/>
                <w:szCs w:val="24"/>
              </w:rPr>
              <w:t>YTD % paid within 30 days</w:t>
            </w:r>
          </w:p>
        </w:tc>
      </w:tr>
      <w:tr w:rsidR="008A5A68" w:rsidRPr="0023125D" w14:paraId="365EF359" w14:textId="77777777" w:rsidTr="00921DDA">
        <w:trPr>
          <w:trHeight w:val="39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BC1" w14:textId="77777777" w:rsidR="008A5A68" w:rsidRPr="0023125D" w:rsidRDefault="008A5A68" w:rsidP="006477D1">
            <w:pPr>
              <w:rPr>
                <w:rFonts w:ascii="Aptos" w:hAnsi="Aptos"/>
                <w:b/>
                <w:bCs/>
                <w:color w:val="000000"/>
                <w:szCs w:val="24"/>
                <w:highlight w:val="yellow"/>
                <w:lang w:eastAsia="en-GB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FEF5" w14:textId="77777777" w:rsidR="008A5A68" w:rsidRPr="00AD3C44" w:rsidRDefault="008A5A68" w:rsidP="006477D1">
            <w:pPr>
              <w:jc w:val="center"/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</w:pPr>
            <w:r w:rsidRPr="00AD3C44">
              <w:rPr>
                <w:rFonts w:ascii="Aptos" w:hAnsi="Aptos" w:cs="Calibri"/>
                <w:b/>
                <w:bCs/>
                <w:color w:val="2758A8"/>
                <w:szCs w:val="24"/>
              </w:rPr>
              <w:t>2024-2025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A997" w14:textId="77777777" w:rsidR="008A5A68" w:rsidRPr="00AD3C44" w:rsidRDefault="008A5A68" w:rsidP="006477D1">
            <w:pPr>
              <w:jc w:val="center"/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</w:pPr>
            <w:r w:rsidRPr="00AD3C44">
              <w:rPr>
                <w:rFonts w:ascii="Aptos" w:hAnsi="Aptos" w:cs="Calibri"/>
                <w:b/>
                <w:bCs/>
                <w:color w:val="000000"/>
                <w:szCs w:val="24"/>
              </w:rPr>
              <w:t>2023-2024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BC41" w14:textId="77777777" w:rsidR="008A5A68" w:rsidRPr="00AD3C44" w:rsidRDefault="008A5A68" w:rsidP="006477D1">
            <w:pPr>
              <w:jc w:val="center"/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</w:pPr>
            <w:r w:rsidRPr="00AD3C44">
              <w:rPr>
                <w:rFonts w:ascii="Aptos" w:hAnsi="Aptos" w:cs="Calibri"/>
                <w:b/>
                <w:bCs/>
                <w:color w:val="2758A8"/>
                <w:szCs w:val="24"/>
              </w:rPr>
              <w:t>2024-2025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DE83" w14:textId="77777777" w:rsidR="008A5A68" w:rsidRPr="00AD3C44" w:rsidRDefault="008A5A68" w:rsidP="006477D1">
            <w:pPr>
              <w:jc w:val="center"/>
              <w:rPr>
                <w:rFonts w:ascii="Aptos" w:hAnsi="Aptos"/>
                <w:b/>
                <w:bCs/>
                <w:color w:val="000000"/>
                <w:szCs w:val="24"/>
                <w:lang w:eastAsia="en-GB"/>
              </w:rPr>
            </w:pPr>
            <w:r w:rsidRPr="00AD3C44">
              <w:rPr>
                <w:rFonts w:ascii="Aptos" w:hAnsi="Aptos" w:cs="Calibri"/>
                <w:b/>
                <w:bCs/>
                <w:color w:val="000000"/>
                <w:szCs w:val="24"/>
              </w:rPr>
              <w:t>2023-2024</w:t>
            </w:r>
          </w:p>
        </w:tc>
      </w:tr>
      <w:tr w:rsidR="008A5A68" w:rsidRPr="0023125D" w14:paraId="127222CC" w14:textId="77777777" w:rsidTr="00921DDA">
        <w:trPr>
          <w:trHeight w:val="3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7A2A" w14:textId="77777777" w:rsidR="008A5A68" w:rsidRPr="0023125D" w:rsidRDefault="008A5A68" w:rsidP="006477D1">
            <w:pPr>
              <w:rPr>
                <w:rFonts w:ascii="Aptos" w:hAnsi="Aptos" w:cs="Calibri"/>
                <w:b/>
                <w:bCs/>
                <w:color w:val="000000"/>
                <w:szCs w:val="24"/>
                <w:lang w:eastAsia="en-GB"/>
              </w:rPr>
            </w:pPr>
            <w:r w:rsidRPr="0023125D">
              <w:rPr>
                <w:rFonts w:ascii="Aptos" w:hAnsi="Aptos" w:cs="Calibri"/>
                <w:b/>
                <w:bCs/>
                <w:color w:val="000000"/>
                <w:szCs w:val="24"/>
              </w:rPr>
              <w:t>Admin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9F7B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Cs w:val="24"/>
                <w:lang w:eastAsia="en-GB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99%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2634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98%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3764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100%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A809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100%</w:t>
            </w:r>
          </w:p>
        </w:tc>
      </w:tr>
      <w:tr w:rsidR="008A5A68" w:rsidRPr="0023125D" w14:paraId="0C6623F7" w14:textId="77777777" w:rsidTr="00921DDA">
        <w:trPr>
          <w:trHeight w:val="3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ACCF" w14:textId="77777777" w:rsidR="008A5A68" w:rsidRPr="0023125D" w:rsidRDefault="008A5A68" w:rsidP="006477D1">
            <w:pPr>
              <w:rPr>
                <w:rFonts w:ascii="Aptos" w:hAnsi="Aptos" w:cs="Calibri"/>
                <w:b/>
                <w:bCs/>
                <w:color w:val="000000"/>
                <w:szCs w:val="24"/>
              </w:rPr>
            </w:pPr>
            <w:r w:rsidRPr="0023125D">
              <w:rPr>
                <w:rFonts w:ascii="Aptos" w:hAnsi="Aptos" w:cs="Calibri"/>
                <w:b/>
                <w:bCs/>
                <w:color w:val="000000"/>
                <w:szCs w:val="24"/>
              </w:rPr>
              <w:t>Fund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6858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99%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9964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99%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4541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 w:val="22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100%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A3BC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color w:val="000000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100%</w:t>
            </w:r>
          </w:p>
        </w:tc>
      </w:tr>
      <w:tr w:rsidR="008A5A68" w:rsidRPr="008C3079" w14:paraId="0F6E3CC5" w14:textId="77777777" w:rsidTr="00921DDA">
        <w:trPr>
          <w:trHeight w:val="3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64D7" w14:textId="77777777" w:rsidR="008A5A68" w:rsidRPr="0023125D" w:rsidRDefault="008A5A68" w:rsidP="006477D1">
            <w:pPr>
              <w:rPr>
                <w:rFonts w:ascii="Aptos" w:hAnsi="Aptos" w:cs="Calibri"/>
                <w:b/>
                <w:bCs/>
                <w:color w:val="2758A8"/>
                <w:szCs w:val="24"/>
              </w:rPr>
            </w:pPr>
            <w:r w:rsidRPr="0023125D">
              <w:rPr>
                <w:rFonts w:ascii="Aptos" w:hAnsi="Aptos" w:cs="Calibri"/>
                <w:b/>
                <w:bCs/>
                <w:szCs w:val="24"/>
              </w:rPr>
              <w:t>Total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6918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b/>
                <w:bCs/>
                <w:color w:val="2758A8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99%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8128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b/>
                <w:bCs/>
                <w:color w:val="2758A8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99%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A14A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b/>
                <w:bCs/>
                <w:color w:val="2758A8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100%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71D7" w14:textId="77777777" w:rsidR="008A5A68" w:rsidRPr="00AD3C44" w:rsidRDefault="008A5A68" w:rsidP="006477D1">
            <w:pPr>
              <w:jc w:val="center"/>
              <w:rPr>
                <w:rFonts w:ascii="Aptos" w:hAnsi="Aptos" w:cs="Calibri"/>
                <w:b/>
                <w:bCs/>
                <w:color w:val="2758A8"/>
                <w:szCs w:val="24"/>
              </w:rPr>
            </w:pPr>
            <w:r w:rsidRPr="00AD3C44">
              <w:rPr>
                <w:rFonts w:ascii="Aptos" w:hAnsi="Aptos" w:cs="Calibri"/>
                <w:color w:val="000000"/>
                <w:sz w:val="22"/>
              </w:rPr>
              <w:t>100%</w:t>
            </w:r>
          </w:p>
        </w:tc>
      </w:tr>
    </w:tbl>
    <w:bookmarkEnd w:id="1"/>
    <w:bookmarkEnd w:id="0"/>
    <w:p w14:paraId="7B7A657B" w14:textId="506F2693" w:rsidR="00AB4C34" w:rsidRPr="00BC40F0" w:rsidRDefault="00921DDA" w:rsidP="00AB4C34">
      <w:pPr>
        <w:rPr>
          <w:rStyle w:val="SubtleEmphasis"/>
          <w:lang w:val="en-US"/>
        </w:rPr>
      </w:pPr>
      <w:r>
        <w:rPr>
          <w:rStyle w:val="Heading1Char"/>
        </w:rPr>
        <w:br/>
      </w:r>
      <w:r w:rsidR="00AB4C34" w:rsidRPr="00BC40F0">
        <w:rPr>
          <w:rStyle w:val="Heading1Char"/>
        </w:rPr>
        <w:t>Governance links</w:t>
      </w:r>
      <w:r w:rsidR="00AB4C34" w:rsidRPr="00BC40F0">
        <w:rPr>
          <w:rStyle w:val="Strong"/>
          <w:lang w:val="en-US"/>
        </w:rPr>
        <w:t xml:space="preserve"> </w:t>
      </w:r>
      <w:r w:rsidR="00AB4C34" w:rsidRPr="00BC40F0">
        <w:rPr>
          <w:rStyle w:val="Strong"/>
          <w:lang w:val="en-US"/>
        </w:rPr>
        <w:br/>
      </w:r>
      <w:r w:rsidR="00AB4C34" w:rsidRPr="00BC40F0">
        <w:rPr>
          <w:rStyle w:val="SubtleEmphasis"/>
          <w:lang w:val="en-US"/>
        </w:rPr>
        <w:t>Any relevant information linked to key heads of corporate governance.</w:t>
      </w:r>
    </w:p>
    <w:p w14:paraId="219425A8" w14:textId="5EB50725" w:rsidR="00AB4C34" w:rsidRPr="00BC40F0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C40F0">
        <w:rPr>
          <w:rStyle w:val="SubtleEmphasis"/>
          <w:b/>
          <w:bCs/>
          <w:i w:val="0"/>
          <w:iCs w:val="0"/>
          <w:lang w:val="en-US"/>
        </w:rPr>
        <w:t xml:space="preserve">Finance and resources </w:t>
      </w:r>
      <w:r w:rsidRPr="00BC40F0">
        <w:rPr>
          <w:rStyle w:val="SubtleEmphasis"/>
          <w:b/>
          <w:bCs/>
          <w:i w:val="0"/>
          <w:iCs w:val="0"/>
          <w:lang w:val="en-US"/>
        </w:rPr>
        <w:tab/>
      </w:r>
      <w:r w:rsidRPr="00BC40F0">
        <w:rPr>
          <w:rStyle w:val="SubtleEmphasis"/>
          <w:b/>
          <w:bCs/>
          <w:i w:val="0"/>
          <w:iCs w:val="0"/>
          <w:lang w:val="en-US"/>
        </w:rPr>
        <w:tab/>
      </w:r>
      <w:r w:rsidRPr="00BC40F0">
        <w:rPr>
          <w:rStyle w:val="SubtleEmphasis"/>
          <w:b/>
          <w:bCs/>
          <w:i w:val="0"/>
          <w:iCs w:val="0"/>
          <w:lang w:val="en-US"/>
        </w:rPr>
        <w:tab/>
      </w:r>
      <w:r w:rsidRPr="00BC40F0">
        <w:rPr>
          <w:rStyle w:val="SubtleEmphasis"/>
          <w:b/>
          <w:bCs/>
          <w:i w:val="0"/>
          <w:iCs w:val="0"/>
          <w:lang w:val="en-US"/>
        </w:rPr>
        <w:br/>
      </w:r>
      <w:r w:rsidR="00A75994" w:rsidRPr="00BC40F0">
        <w:t xml:space="preserve">Paper details Administration Finance and Resources to end of </w:t>
      </w:r>
      <w:r w:rsidR="00BC40F0" w:rsidRPr="00BC40F0">
        <w:t>January 2025</w:t>
      </w:r>
    </w:p>
    <w:p w14:paraId="4B756F2E" w14:textId="0D2DFA14" w:rsidR="00AB4C34" w:rsidRPr="00BC40F0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C40F0">
        <w:rPr>
          <w:rStyle w:val="SubtleEmphasis"/>
          <w:b/>
          <w:bCs/>
          <w:i w:val="0"/>
          <w:iCs w:val="0"/>
          <w:lang w:val="en-US"/>
        </w:rPr>
        <w:t>Risk</w:t>
      </w:r>
      <w:r w:rsidRPr="00BC40F0">
        <w:rPr>
          <w:rStyle w:val="SubtleEmphasis"/>
          <w:b/>
          <w:bCs/>
          <w:i w:val="0"/>
          <w:iCs w:val="0"/>
          <w:lang w:val="en-US"/>
        </w:rPr>
        <w:tab/>
      </w:r>
      <w:r w:rsidRPr="00BC40F0">
        <w:rPr>
          <w:rStyle w:val="SubtleEmphasis"/>
          <w:b/>
          <w:bCs/>
          <w:i w:val="0"/>
          <w:iCs w:val="0"/>
          <w:lang w:val="en-US"/>
        </w:rPr>
        <w:br/>
      </w:r>
      <w:r w:rsidR="00A75994" w:rsidRPr="00BC40F0">
        <w:t>Our work to monitor administrative expenditure enables us to mitigate corporate risk 6 with awareness of pressures and ensuring planned changes are reflected.</w:t>
      </w:r>
    </w:p>
    <w:p w14:paraId="733706AF" w14:textId="1AFE4D84" w:rsidR="00AB4C34" w:rsidRPr="00BC40F0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C40F0">
        <w:rPr>
          <w:rStyle w:val="SubtleEmphasis"/>
          <w:b/>
          <w:bCs/>
          <w:i w:val="0"/>
          <w:iCs w:val="0"/>
          <w:lang w:val="en-US"/>
        </w:rPr>
        <w:t>Legal and compliance</w:t>
      </w:r>
      <w:r w:rsidRPr="00BC40F0">
        <w:rPr>
          <w:rStyle w:val="SubtleEmphasis"/>
          <w:b/>
          <w:bCs/>
          <w:i w:val="0"/>
          <w:iCs w:val="0"/>
          <w:lang w:val="en-US"/>
        </w:rPr>
        <w:br/>
      </w:r>
      <w:r w:rsidRPr="00BC40F0">
        <w:t>N/A</w:t>
      </w:r>
      <w:r w:rsidR="00A6159F">
        <w:t>.</w:t>
      </w:r>
    </w:p>
    <w:p w14:paraId="210852A6" w14:textId="28F08AAF" w:rsidR="00AB4C34" w:rsidRPr="00BC40F0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C40F0">
        <w:rPr>
          <w:rStyle w:val="SubtleEmphasis"/>
          <w:b/>
          <w:bCs/>
          <w:i w:val="0"/>
          <w:iCs w:val="0"/>
          <w:lang w:val="en-US"/>
        </w:rPr>
        <w:t>Performance</w:t>
      </w:r>
      <w:r w:rsidRPr="00BC40F0">
        <w:rPr>
          <w:rStyle w:val="SubtleEmphasis"/>
          <w:b/>
          <w:bCs/>
          <w:i w:val="0"/>
          <w:iCs w:val="0"/>
          <w:lang w:val="en-US"/>
        </w:rPr>
        <w:br/>
      </w:r>
      <w:r w:rsidRPr="00BC40F0">
        <w:t>N/A</w:t>
      </w:r>
      <w:r w:rsidR="00A6159F">
        <w:t>.</w:t>
      </w:r>
    </w:p>
    <w:p w14:paraId="57577382" w14:textId="2F052B39" w:rsidR="00AB4C34" w:rsidRPr="00BC40F0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C40F0">
        <w:rPr>
          <w:rStyle w:val="SubtleEmphasis"/>
          <w:b/>
          <w:bCs/>
          <w:i w:val="0"/>
          <w:iCs w:val="0"/>
          <w:lang w:val="en-US"/>
        </w:rPr>
        <w:t>Equalities impact</w:t>
      </w:r>
      <w:r w:rsidRPr="00BC40F0">
        <w:rPr>
          <w:rStyle w:val="SubtleEmphasis"/>
          <w:b/>
          <w:bCs/>
          <w:i w:val="0"/>
          <w:iCs w:val="0"/>
          <w:lang w:val="en-US"/>
        </w:rPr>
        <w:br/>
      </w:r>
      <w:r w:rsidRPr="00BC40F0">
        <w:t>N/A</w:t>
      </w:r>
      <w:r w:rsidR="00A6159F">
        <w:t>.</w:t>
      </w:r>
    </w:p>
    <w:p w14:paraId="50F72DD3" w14:textId="745806C4" w:rsidR="00AB4C34" w:rsidRPr="00BC40F0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C40F0">
        <w:rPr>
          <w:rStyle w:val="SubtleEmphasis"/>
          <w:b/>
          <w:bCs/>
          <w:i w:val="0"/>
          <w:iCs w:val="0"/>
          <w:lang w:val="en-US"/>
        </w:rPr>
        <w:t>Privacy impact and data protection</w:t>
      </w:r>
      <w:r w:rsidRPr="00BC40F0">
        <w:rPr>
          <w:rStyle w:val="SubtleEmphasis"/>
          <w:b/>
          <w:bCs/>
          <w:i w:val="0"/>
          <w:iCs w:val="0"/>
          <w:lang w:val="en-US"/>
        </w:rPr>
        <w:br/>
      </w:r>
      <w:r w:rsidRPr="00BC40F0">
        <w:t>N/A</w:t>
      </w:r>
      <w:r w:rsidR="00A6159F">
        <w:t>.</w:t>
      </w:r>
    </w:p>
    <w:p w14:paraId="35A5CB33" w14:textId="715E6027" w:rsidR="00AB4C34" w:rsidRPr="00BC40F0" w:rsidRDefault="00AB4C34" w:rsidP="00AB4C34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BC40F0">
        <w:rPr>
          <w:rStyle w:val="SubtleEmphasis"/>
          <w:b/>
          <w:bCs/>
          <w:i w:val="0"/>
          <w:iCs w:val="0"/>
          <w:lang w:val="en-US"/>
        </w:rPr>
        <w:t>Communications and engagement</w:t>
      </w:r>
      <w:r w:rsidRPr="00BC40F0">
        <w:rPr>
          <w:rStyle w:val="SubtleEmphasis"/>
          <w:b/>
          <w:bCs/>
          <w:i w:val="0"/>
          <w:iCs w:val="0"/>
          <w:lang w:val="en-US"/>
        </w:rPr>
        <w:br/>
      </w:r>
      <w:r w:rsidR="00A75994" w:rsidRPr="00BC40F0">
        <w:t>It has previously been agreed that this paper should be published.</w:t>
      </w:r>
    </w:p>
    <w:p w14:paraId="34712B4F" w14:textId="77777777" w:rsidR="00AB4C34" w:rsidRPr="00BC40F0" w:rsidRDefault="00AB4C34" w:rsidP="005277D3">
      <w:pPr>
        <w:pStyle w:val="Heading1"/>
      </w:pPr>
      <w:r w:rsidRPr="00BC40F0">
        <w:t xml:space="preserve">Conclusion and next steps </w:t>
      </w:r>
    </w:p>
    <w:p w14:paraId="2F1DBB7A" w14:textId="77777777" w:rsidR="00A75994" w:rsidRPr="00BC40F0" w:rsidRDefault="00A75994" w:rsidP="00A75994">
      <w:r w:rsidRPr="00BC40F0">
        <w:t xml:space="preserve">The Board is asked to note and comment on the report as necessary. </w:t>
      </w:r>
    </w:p>
    <w:p w14:paraId="6BE47207" w14:textId="77777777" w:rsidR="00AB4C34" w:rsidRPr="00BC40F0" w:rsidRDefault="00AB4C34" w:rsidP="005277D3">
      <w:pPr>
        <w:pStyle w:val="Heading1"/>
      </w:pPr>
      <w:r w:rsidRPr="00BC40F0">
        <w:t>Appendix and/or further reading links</w:t>
      </w:r>
    </w:p>
    <w:p w14:paraId="6DCD7A96" w14:textId="70087DF8" w:rsidR="00AB4C34" w:rsidRPr="00AB4C34" w:rsidRDefault="00AB4C34" w:rsidP="00AB4C34">
      <w:pPr>
        <w:rPr>
          <w:rStyle w:val="SubtleEmphasis"/>
          <w:i w:val="0"/>
          <w:iCs w:val="0"/>
        </w:rPr>
      </w:pPr>
      <w:r w:rsidRPr="00BC40F0">
        <w:t>N/A</w:t>
      </w:r>
      <w:r w:rsidR="00A6159F">
        <w:t>.</w:t>
      </w:r>
    </w:p>
    <w:sectPr w:rsidR="00AB4C34" w:rsidRPr="00AB4C34" w:rsidSect="00952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8096" w14:textId="77777777" w:rsidR="003259C3" w:rsidRDefault="003259C3" w:rsidP="00CC679C">
      <w:r>
        <w:separator/>
      </w:r>
    </w:p>
  </w:endnote>
  <w:endnote w:type="continuationSeparator" w:id="0">
    <w:p w14:paraId="4C9B05AF" w14:textId="77777777" w:rsidR="003259C3" w:rsidRDefault="003259C3" w:rsidP="00CC679C">
      <w:r>
        <w:continuationSeparator/>
      </w:r>
    </w:p>
  </w:endnote>
  <w:endnote w:type="continuationNotice" w:id="1">
    <w:p w14:paraId="5CBCAC1E" w14:textId="77777777" w:rsidR="00B36947" w:rsidRDefault="00B36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498C" w14:textId="77777777" w:rsidR="00432B96" w:rsidRDefault="00432B96" w:rsidP="00CC679C">
    <w:pPr>
      <w:pStyle w:val="Footer"/>
    </w:pPr>
  </w:p>
  <w:p w14:paraId="62C94757" w14:textId="77777777" w:rsidR="00432B96" w:rsidRPr="00042C78" w:rsidRDefault="00AB4C34" w:rsidP="00CC679C">
    <w:r w:rsidRPr="00042C78">
      <w:t xml:space="preserve">SLAB: Board </w:t>
    </w:r>
    <w:r w:rsidR="00F14DC9">
      <w:t>r</w:t>
    </w:r>
    <w:r w:rsidRPr="00042C78">
      <w:t>eport</w:t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</w:r>
    <w:r w:rsidRPr="00042C78">
      <w:tab/>
      <w:t xml:space="preserve">                                </w:t>
    </w:r>
    <w:r w:rsidR="008F7C78" w:rsidRPr="00042C78">
      <w:tab/>
    </w:r>
    <w:r w:rsidR="008F7C78" w:rsidRPr="00042C78">
      <w:tab/>
    </w:r>
    <w:r w:rsidR="00432B96" w:rsidRPr="00042C78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 w:rsidRPr="00042C78">
          <w:fldChar w:fldCharType="begin"/>
        </w:r>
        <w:r w:rsidR="00432B96" w:rsidRPr="00042C78">
          <w:instrText xml:space="preserve"> PAGE   \* MERGEFORMAT </w:instrText>
        </w:r>
        <w:r w:rsidR="00432B96" w:rsidRPr="00042C78">
          <w:fldChar w:fldCharType="separate"/>
        </w:r>
        <w:r w:rsidR="00432B96" w:rsidRPr="00042C78">
          <w:rPr>
            <w:noProof/>
          </w:rPr>
          <w:t>2</w:t>
        </w:r>
        <w:r w:rsidR="00432B96" w:rsidRPr="00042C7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830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301D2" w14:textId="77777777" w:rsidR="00D50227" w:rsidRDefault="00D50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F296" w14:textId="77777777" w:rsidR="003259C3" w:rsidRDefault="003259C3" w:rsidP="00CC679C">
      <w:r>
        <w:separator/>
      </w:r>
    </w:p>
  </w:footnote>
  <w:footnote w:type="continuationSeparator" w:id="0">
    <w:p w14:paraId="265BA057" w14:textId="77777777" w:rsidR="003259C3" w:rsidRDefault="003259C3" w:rsidP="00CC679C">
      <w:r>
        <w:continuationSeparator/>
      </w:r>
    </w:p>
  </w:footnote>
  <w:footnote w:type="continuationNotice" w:id="1">
    <w:p w14:paraId="0AA58C4E" w14:textId="77777777" w:rsidR="00B36947" w:rsidRDefault="00B369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34C"/>
    <w:multiLevelType w:val="hybridMultilevel"/>
    <w:tmpl w:val="A5DC96E0"/>
    <w:lvl w:ilvl="0" w:tplc="9F78523A">
      <w:start w:val="1"/>
      <w:numFmt w:val="bullet"/>
      <w:pStyle w:val="ListParagraph"/>
      <w:lvlText w:val="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963B4"/>
    <w:multiLevelType w:val="hybridMultilevel"/>
    <w:tmpl w:val="85C08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66C"/>
    <w:multiLevelType w:val="hybridMultilevel"/>
    <w:tmpl w:val="C7C8E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E38F0"/>
    <w:multiLevelType w:val="hybridMultilevel"/>
    <w:tmpl w:val="FB50B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5"/>
  </w:num>
  <w:num w:numId="2" w16cid:durableId="2012100725">
    <w:abstractNumId w:val="0"/>
  </w:num>
  <w:num w:numId="3" w16cid:durableId="2097942416">
    <w:abstractNumId w:val="3"/>
  </w:num>
  <w:num w:numId="4" w16cid:durableId="135951669">
    <w:abstractNumId w:val="4"/>
  </w:num>
  <w:num w:numId="5" w16cid:durableId="1837988203">
    <w:abstractNumId w:val="6"/>
  </w:num>
  <w:num w:numId="6" w16cid:durableId="485516111">
    <w:abstractNumId w:val="1"/>
  </w:num>
  <w:num w:numId="7" w16cid:durableId="1688022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32"/>
    <w:rsid w:val="00042C78"/>
    <w:rsid w:val="0007676F"/>
    <w:rsid w:val="000D6ABF"/>
    <w:rsid w:val="000F272F"/>
    <w:rsid w:val="000F3597"/>
    <w:rsid w:val="001132CB"/>
    <w:rsid w:val="00114434"/>
    <w:rsid w:val="00135FB8"/>
    <w:rsid w:val="001806A5"/>
    <w:rsid w:val="001B0FB1"/>
    <w:rsid w:val="001B5FDC"/>
    <w:rsid w:val="001E1C0C"/>
    <w:rsid w:val="00201E77"/>
    <w:rsid w:val="00213C63"/>
    <w:rsid w:val="00255951"/>
    <w:rsid w:val="0028453D"/>
    <w:rsid w:val="002A0BFF"/>
    <w:rsid w:val="002C6931"/>
    <w:rsid w:val="002C7DC0"/>
    <w:rsid w:val="003046AA"/>
    <w:rsid w:val="00323C61"/>
    <w:rsid w:val="003259C3"/>
    <w:rsid w:val="003525F8"/>
    <w:rsid w:val="00363D37"/>
    <w:rsid w:val="003853A7"/>
    <w:rsid w:val="003D0910"/>
    <w:rsid w:val="003E3E67"/>
    <w:rsid w:val="003E6122"/>
    <w:rsid w:val="00407752"/>
    <w:rsid w:val="0043291B"/>
    <w:rsid w:val="00432B96"/>
    <w:rsid w:val="00450AC2"/>
    <w:rsid w:val="00463591"/>
    <w:rsid w:val="00477B40"/>
    <w:rsid w:val="00495BA1"/>
    <w:rsid w:val="004A6F52"/>
    <w:rsid w:val="004D186D"/>
    <w:rsid w:val="004E2EED"/>
    <w:rsid w:val="004E4FED"/>
    <w:rsid w:val="00515DE6"/>
    <w:rsid w:val="00521048"/>
    <w:rsid w:val="00522B9B"/>
    <w:rsid w:val="005277D3"/>
    <w:rsid w:val="00575DA6"/>
    <w:rsid w:val="005B0DEE"/>
    <w:rsid w:val="006464AB"/>
    <w:rsid w:val="006477D1"/>
    <w:rsid w:val="00647D80"/>
    <w:rsid w:val="0065276B"/>
    <w:rsid w:val="006A1794"/>
    <w:rsid w:val="006A645B"/>
    <w:rsid w:val="006F4385"/>
    <w:rsid w:val="00740439"/>
    <w:rsid w:val="00782742"/>
    <w:rsid w:val="00783A77"/>
    <w:rsid w:val="008031B1"/>
    <w:rsid w:val="00817090"/>
    <w:rsid w:val="00821617"/>
    <w:rsid w:val="00850D7D"/>
    <w:rsid w:val="0085360F"/>
    <w:rsid w:val="00866430"/>
    <w:rsid w:val="008749E0"/>
    <w:rsid w:val="008A1452"/>
    <w:rsid w:val="008A478D"/>
    <w:rsid w:val="008A5A68"/>
    <w:rsid w:val="008D5832"/>
    <w:rsid w:val="008F7C78"/>
    <w:rsid w:val="009219F9"/>
    <w:rsid w:val="00921DDA"/>
    <w:rsid w:val="00952EBA"/>
    <w:rsid w:val="00993305"/>
    <w:rsid w:val="009D0693"/>
    <w:rsid w:val="00A1488A"/>
    <w:rsid w:val="00A16CB9"/>
    <w:rsid w:val="00A375EC"/>
    <w:rsid w:val="00A526C9"/>
    <w:rsid w:val="00A6159F"/>
    <w:rsid w:val="00A75994"/>
    <w:rsid w:val="00A82E64"/>
    <w:rsid w:val="00A90BF3"/>
    <w:rsid w:val="00AB428A"/>
    <w:rsid w:val="00AB4C34"/>
    <w:rsid w:val="00AE7185"/>
    <w:rsid w:val="00B2602F"/>
    <w:rsid w:val="00B36947"/>
    <w:rsid w:val="00B60330"/>
    <w:rsid w:val="00BA5728"/>
    <w:rsid w:val="00BB45B4"/>
    <w:rsid w:val="00BC40F0"/>
    <w:rsid w:val="00BD2768"/>
    <w:rsid w:val="00BD34BA"/>
    <w:rsid w:val="00BE473B"/>
    <w:rsid w:val="00BF2DDC"/>
    <w:rsid w:val="00C054ED"/>
    <w:rsid w:val="00C35113"/>
    <w:rsid w:val="00CC679C"/>
    <w:rsid w:val="00CE092B"/>
    <w:rsid w:val="00D00770"/>
    <w:rsid w:val="00D10A8E"/>
    <w:rsid w:val="00D10ABD"/>
    <w:rsid w:val="00D16A3E"/>
    <w:rsid w:val="00D16CC0"/>
    <w:rsid w:val="00D2350C"/>
    <w:rsid w:val="00D330C3"/>
    <w:rsid w:val="00D35FED"/>
    <w:rsid w:val="00D50227"/>
    <w:rsid w:val="00DA1D75"/>
    <w:rsid w:val="00DB012E"/>
    <w:rsid w:val="00DB6415"/>
    <w:rsid w:val="00DD2223"/>
    <w:rsid w:val="00DE2B66"/>
    <w:rsid w:val="00E14DDA"/>
    <w:rsid w:val="00E835AD"/>
    <w:rsid w:val="00E86456"/>
    <w:rsid w:val="00EA5BEA"/>
    <w:rsid w:val="00EC0191"/>
    <w:rsid w:val="00ED4696"/>
    <w:rsid w:val="00EE608E"/>
    <w:rsid w:val="00EF4E16"/>
    <w:rsid w:val="00F01B1E"/>
    <w:rsid w:val="00F14DC9"/>
    <w:rsid w:val="00F519DB"/>
    <w:rsid w:val="00F6081D"/>
    <w:rsid w:val="00FA704A"/>
    <w:rsid w:val="00FC3E36"/>
    <w:rsid w:val="00FC45B5"/>
    <w:rsid w:val="08E7142A"/>
    <w:rsid w:val="1C2B9E97"/>
    <w:rsid w:val="223FF7F2"/>
    <w:rsid w:val="246BA3B9"/>
    <w:rsid w:val="2B7C99D2"/>
    <w:rsid w:val="4A5C2D56"/>
    <w:rsid w:val="56F6CA0D"/>
    <w:rsid w:val="58385CFA"/>
    <w:rsid w:val="64538036"/>
    <w:rsid w:val="69D59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7181"/>
  <w15:chartTrackingRefBased/>
  <w15:docId w15:val="{42DBC491-2EAF-4F47-95D4-900D2A2F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C78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C78"/>
    <w:rPr>
      <w:rFonts w:eastAsiaTheme="majorEastAsia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450AC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450AC2"/>
    <w:rPr>
      <w:color w:val="808080"/>
    </w:rPr>
  </w:style>
  <w:style w:type="paragraph" w:styleId="BodyText">
    <w:name w:val="Body Text"/>
    <w:basedOn w:val="Normal"/>
    <w:link w:val="BodyTextChar"/>
    <w:uiPriority w:val="99"/>
    <w:rsid w:val="00495BA1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95BA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3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94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369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hart" Target="charts/chart5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cifssata.slab.local\Common\Common\Corporate%20Services\Finance\01%20Accounting%20&amp;%20Budgeting\Exec%20Team%20&amp;%20Board%20Reports\01%20Resource%20Reports\2024-25%20Resources%20Report\12.%20Mar%202024\1.%20Mar%20ADMIN%20Actuals%20&amp;%20Budget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latin typeface="Aptos" panose="020B0004020202020204" pitchFamily="34" charset="0"/>
              </a:rPr>
              <a:t>Staff</a:t>
            </a:r>
          </a:p>
        </c:rich>
      </c:tx>
      <c:layout>
        <c:manualLayout>
          <c:xMode val="edge"/>
          <c:yMode val="edge"/>
          <c:x val="0.40749971470957441"/>
          <c:y val="6.20155038759689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68-4812-83C1-F0AD55C1D07C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68-4812-83C1-F0AD55C1D07C}"/>
              </c:ext>
            </c:extLst>
          </c:dPt>
          <c:val>
            <c:numRef>
              <c:f>'Workings for Dashboard'!$B$14:$B$15</c:f>
              <c:numCache>
                <c:formatCode>0.0%</c:formatCode>
                <c:ptCount val="2"/>
                <c:pt idx="0">
                  <c:v>0.99776104895352835</c:v>
                </c:pt>
                <c:pt idx="1">
                  <c:v>2.2389510464716489E-3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68-4812-83C1-F0AD55C1D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latin typeface="Aptos" panose="020B0004020202020204" pitchFamily="34" charset="0"/>
              </a:rPr>
              <a:t>Running</a:t>
            </a:r>
          </a:p>
        </c:rich>
      </c:tx>
      <c:layout>
        <c:manualLayout>
          <c:xMode val="edge"/>
          <c:yMode val="edge"/>
          <c:x val="0.34393197856255991"/>
          <c:y val="4.8780487804878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34-4498-A0F8-F73FBC265AA5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34-4498-A0F8-F73FBC265AA5}"/>
              </c:ext>
            </c:extLst>
          </c:dPt>
          <c:val>
            <c:numRef>
              <c:f>'Workings for Dashboard'!$C$14:$C$15</c:f>
              <c:numCache>
                <c:formatCode>0.0%</c:formatCode>
                <c:ptCount val="2"/>
                <c:pt idx="0">
                  <c:v>0.96263508004673792</c:v>
                </c:pt>
                <c:pt idx="1">
                  <c:v>3.7364919953262077E-2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34-4498-A0F8-F73FBC265A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latin typeface="Aptos" panose="020B0004020202020204" pitchFamily="34" charset="0"/>
              </a:rPr>
              <a:t>Pension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24-4E91-94D8-0B05F33471C9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24-4E91-94D8-0B05F33471C9}"/>
              </c:ext>
            </c:extLst>
          </c:dPt>
          <c:val>
            <c:numRef>
              <c:f>'Workings for Dashboard'!$F$14:$F$15</c:f>
              <c:numCache>
                <c:formatCode>0.0%</c:formatCode>
                <c:ptCount val="2"/>
                <c:pt idx="0">
                  <c:v>1.0000318730793409</c:v>
                </c:pt>
                <c:pt idx="1">
                  <c:v>-3.1873079340938304E-5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24-4E91-94D8-0B05F33471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latin typeface="Aptos" panose="020B0004020202020204" pitchFamily="34" charset="0"/>
              </a:rPr>
              <a:t>Income</a:t>
            </a:r>
          </a:p>
        </c:rich>
      </c:tx>
      <c:layout>
        <c:manualLayout>
          <c:xMode val="edge"/>
          <c:yMode val="edge"/>
          <c:x val="0.34393197856255991"/>
          <c:y val="4.8780487804878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59-4D06-B884-B4EB3E719981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59-4D06-B884-B4EB3E719981}"/>
              </c:ext>
            </c:extLst>
          </c:dPt>
          <c:val>
            <c:numRef>
              <c:f>'Workings for Dashboard'!$D$14:$D$15</c:f>
              <c:numCache>
                <c:formatCode>General</c:formatCode>
                <c:ptCount val="2"/>
                <c:pt idx="0" formatCode="0.0%">
                  <c:v>1.0158603840935911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59-4D06-B884-B4EB3E7199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latin typeface="Aptos" panose="020B0004020202020204" pitchFamily="34" charset="0"/>
              </a:rPr>
              <a:t>Capital</a:t>
            </a:r>
          </a:p>
        </c:rich>
      </c:tx>
      <c:layout>
        <c:manualLayout>
          <c:xMode val="edge"/>
          <c:yMode val="edge"/>
          <c:x val="0.34393197856255991"/>
          <c:y val="4.8780487804878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8B-4A07-8CC3-54996747035A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88B-4A07-8CC3-54996747035A}"/>
              </c:ext>
            </c:extLst>
          </c:dPt>
          <c:val>
            <c:numRef>
              <c:f>'Workings for Dashboard'!$E$14:$E$15</c:f>
              <c:numCache>
                <c:formatCode>General</c:formatCode>
                <c:ptCount val="2"/>
                <c:pt idx="0" formatCode="0.0%">
                  <c:v>1.0457441000000001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8B-4A07-8CC3-5499674703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'Workings for Dashboard'!$B$21</c:f>
              <c:strCache>
                <c:ptCount val="1"/>
                <c:pt idx="0">
                  <c:v>Budget YTD £k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'Workings for Dashboard'!$A$22:$A$28</c:f>
              <c:strCache>
                <c:ptCount val="7"/>
                <c:pt idx="0">
                  <c:v>Corporate</c:v>
                </c:pt>
                <c:pt idx="1">
                  <c:v>Corp Sev</c:v>
                </c:pt>
                <c:pt idx="2">
                  <c:v>Operations</c:v>
                </c:pt>
                <c:pt idx="3">
                  <c:v>Strat Dev</c:v>
                </c:pt>
                <c:pt idx="4">
                  <c:v>Legal Serv</c:v>
                </c:pt>
                <c:pt idx="5">
                  <c:v>Vacancy Gap </c:v>
                </c:pt>
                <c:pt idx="6">
                  <c:v>Pension</c:v>
                </c:pt>
              </c:strCache>
            </c:strRef>
          </c:cat>
          <c:val>
            <c:numRef>
              <c:f>'Workings for Dashboard'!$B$22:$B$28</c:f>
              <c:numCache>
                <c:formatCode>#,##0_ ;[Red]\-#,##0\ </c:formatCode>
                <c:ptCount val="7"/>
                <c:pt idx="0">
                  <c:v>507.45592600000003</c:v>
                </c:pt>
                <c:pt idx="1">
                  <c:v>6740.8496380000015</c:v>
                </c:pt>
                <c:pt idx="2">
                  <c:v>4298.4275560000005</c:v>
                </c:pt>
                <c:pt idx="3">
                  <c:v>1050.436704</c:v>
                </c:pt>
                <c:pt idx="4">
                  <c:v>284.25856200000004</c:v>
                </c:pt>
                <c:pt idx="5">
                  <c:v>0</c:v>
                </c:pt>
                <c:pt idx="6">
                  <c:v>2285.0004300000001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09-4E02-907E-5C7E84060435}"/>
            </c:ext>
          </c:extLst>
        </c:ser>
        <c:ser>
          <c:idx val="1"/>
          <c:order val="1"/>
          <c:tx>
            <c:strRef>
              <c:f>'Workings for Dashboard'!$C$21</c:f>
              <c:strCache>
                <c:ptCount val="1"/>
                <c:pt idx="0">
                  <c:v>Actual YTD Spend £k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'Workings for Dashboard'!$A$22:$A$28</c:f>
              <c:strCache>
                <c:ptCount val="7"/>
                <c:pt idx="0">
                  <c:v>Corporate</c:v>
                </c:pt>
                <c:pt idx="1">
                  <c:v>Corp Sev</c:v>
                </c:pt>
                <c:pt idx="2">
                  <c:v>Operations</c:v>
                </c:pt>
                <c:pt idx="3">
                  <c:v>Strat Dev</c:v>
                </c:pt>
                <c:pt idx="4">
                  <c:v>Legal Serv</c:v>
                </c:pt>
                <c:pt idx="5">
                  <c:v>Vacancy Gap </c:v>
                </c:pt>
                <c:pt idx="6">
                  <c:v>Pension</c:v>
                </c:pt>
              </c:strCache>
            </c:strRef>
          </c:cat>
          <c:val>
            <c:numRef>
              <c:f>'Workings for Dashboard'!$C$22:$C$28</c:f>
              <c:numCache>
                <c:formatCode>#,##0_ ;[Red]\-#,##0\ </c:formatCode>
                <c:ptCount val="7"/>
                <c:pt idx="0">
                  <c:v>504.28020999999995</c:v>
                </c:pt>
                <c:pt idx="1">
                  <c:v>6647.9598999999989</c:v>
                </c:pt>
                <c:pt idx="2">
                  <c:v>4272.6916500000007</c:v>
                </c:pt>
                <c:pt idx="3">
                  <c:v>1045.4789299999998</c:v>
                </c:pt>
                <c:pt idx="4">
                  <c:v>269.52116000000001</c:v>
                </c:pt>
                <c:pt idx="5">
                  <c:v>0</c:v>
                </c:pt>
                <c:pt idx="6">
                  <c:v>2285.0732599999997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09-4E02-907E-5C7E840604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2231424"/>
        <c:axId val="1122228544"/>
        <c:axId val="0"/>
      </c:bar3DChart>
      <c:catAx>
        <c:axId val="112223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en-US"/>
          </a:p>
        </c:txPr>
        <c:crossAx val="1122228544"/>
        <c:crosses val="autoZero"/>
        <c:auto val="1"/>
        <c:lblAlgn val="ctr"/>
        <c:lblOffset val="100"/>
        <c:noMultiLvlLbl val="0"/>
      </c:catAx>
      <c:valAx>
        <c:axId val="1122228544"/>
        <c:scaling>
          <c:orientation val="minMax"/>
          <c:max val="7000"/>
        </c:scaling>
        <c:delete val="0"/>
        <c:axPos val="l"/>
        <c:numFmt formatCode="#,##0_ ;[Red]\-#,##0\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en-US"/>
          </a:p>
        </c:txPr>
        <c:crossAx val="112223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aseline="0">
          <a:latin typeface="Trebuchet MS" panose="020B0603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0.30875</cdr:x>
      <cdr:y>0.49096</cdr:y>
    </cdr:from>
    <cdr:to>
      <cdr:x>0.73933</cdr:x>
      <cdr:y>0.73054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91A2E3B4-0520-2C44-CE2A-489A0F31E103}"/>
            </a:ext>
          </a:extLst>
        </cdr:cNvPr>
        <cdr:cNvSpPr txBox="1"/>
      </cdr:nvSpPr>
      <cdr:spPr>
        <a:xfrm xmlns:a="http://schemas.openxmlformats.org/drawingml/2006/main">
          <a:off x="482298" y="773943"/>
          <a:ext cx="672608" cy="3776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GB" sz="1200" b="1">
              <a:latin typeface="Aptos" panose="020B0004020202020204" pitchFamily="34" charset="0"/>
            </a:rPr>
            <a:t>100%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0.48108</cdr:x>
      <cdr:y>0.43195</cdr:y>
    </cdr:from>
    <cdr:to>
      <cdr:x>1</cdr:x>
      <cdr:y>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7ABD4A0-4D43-9F10-2A1C-46E28F388E98}"/>
            </a:ext>
          </a:extLst>
        </cdr:cNvPr>
        <cdr:cNvSpPr txBox="1"/>
      </cdr:nvSpPr>
      <cdr:spPr>
        <a:xfrm xmlns:a="http://schemas.openxmlformats.org/drawingml/2006/main">
          <a:off x="866775" y="8953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0.41081</cdr:x>
      <cdr:y>0.4142</cdr:y>
    </cdr:from>
    <cdr:to>
      <cdr:x>0.62703</cdr:x>
      <cdr:y>0.69231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A4B113F2-FA5A-4CEE-5DDE-1C6D9CD024FE}"/>
            </a:ext>
          </a:extLst>
        </cdr:cNvPr>
        <cdr:cNvSpPr txBox="1"/>
      </cdr:nvSpPr>
      <cdr:spPr>
        <a:xfrm xmlns:a="http://schemas.openxmlformats.org/drawingml/2006/main">
          <a:off x="723900" y="666750"/>
          <a:ext cx="381000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0.37838</cdr:x>
      <cdr:y>0.51479</cdr:y>
    </cdr:from>
    <cdr:to>
      <cdr:x>0.63784</cdr:x>
      <cdr:y>0.72189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D0B5E82C-D081-4123-F313-EAC2463D0063}"/>
            </a:ext>
          </a:extLst>
        </cdr:cNvPr>
        <cdr:cNvSpPr txBox="1"/>
      </cdr:nvSpPr>
      <cdr:spPr>
        <a:xfrm xmlns:a="http://schemas.openxmlformats.org/drawingml/2006/main">
          <a:off x="666751" y="828675"/>
          <a:ext cx="4572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GB" sz="1100" b="1">
              <a:latin typeface="Aptos" panose="020B0004020202020204" pitchFamily="34" charset="0"/>
            </a:rPr>
            <a:t>96%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0.37629</cdr:x>
      <cdr:y>0.50453</cdr:y>
    </cdr:from>
    <cdr:to>
      <cdr:x>0.69072</cdr:x>
      <cdr:y>0.6858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A51E21EF-E2AA-09E8-01E8-C48D1395D1A8}"/>
            </a:ext>
          </a:extLst>
        </cdr:cNvPr>
        <cdr:cNvSpPr txBox="1"/>
      </cdr:nvSpPr>
      <cdr:spPr>
        <a:xfrm xmlns:a="http://schemas.openxmlformats.org/drawingml/2006/main">
          <a:off x="695325" y="795338"/>
          <a:ext cx="5810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1100" b="1" baseline="0">
              <a:latin typeface="Aptos" panose="020B0004020202020204" pitchFamily="34" charset="0"/>
            </a:rPr>
            <a:t>100%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0.48108</cdr:x>
      <cdr:y>0.43195</cdr:y>
    </cdr:from>
    <cdr:to>
      <cdr:x>1</cdr:x>
      <cdr:y>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7ABD4A0-4D43-9F10-2A1C-46E28F388E98}"/>
            </a:ext>
          </a:extLst>
        </cdr:cNvPr>
        <cdr:cNvSpPr txBox="1"/>
      </cdr:nvSpPr>
      <cdr:spPr>
        <a:xfrm xmlns:a="http://schemas.openxmlformats.org/drawingml/2006/main">
          <a:off x="866775" y="8953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GB" sz="1100">
            <a:latin typeface="Aptos" panose="020B0004020202020204" pitchFamily="34" charset="0"/>
          </a:endParaRPr>
        </a:p>
      </cdr:txBody>
    </cdr:sp>
  </cdr:relSizeAnchor>
  <cdr:relSizeAnchor xmlns:cdr="http://schemas.openxmlformats.org/drawingml/2006/chartDrawing">
    <cdr:from>
      <cdr:x>0.41081</cdr:x>
      <cdr:y>0.4142</cdr:y>
    </cdr:from>
    <cdr:to>
      <cdr:x>0.62703</cdr:x>
      <cdr:y>0.69231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A4B113F2-FA5A-4CEE-5DDE-1C6D9CD024FE}"/>
            </a:ext>
          </a:extLst>
        </cdr:cNvPr>
        <cdr:cNvSpPr txBox="1"/>
      </cdr:nvSpPr>
      <cdr:spPr>
        <a:xfrm xmlns:a="http://schemas.openxmlformats.org/drawingml/2006/main">
          <a:off x="723900" y="666750"/>
          <a:ext cx="381000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0.37838</cdr:x>
      <cdr:y>0.51479</cdr:y>
    </cdr:from>
    <cdr:to>
      <cdr:x>0.68831</cdr:x>
      <cdr:y>0.72189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D0B5E82C-D081-4123-F313-EAC2463D0063}"/>
            </a:ext>
          </a:extLst>
        </cdr:cNvPr>
        <cdr:cNvSpPr txBox="1"/>
      </cdr:nvSpPr>
      <cdr:spPr>
        <a:xfrm xmlns:a="http://schemas.openxmlformats.org/drawingml/2006/main">
          <a:off x="693783" y="810282"/>
          <a:ext cx="568280" cy="3259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GB" sz="1100" b="1">
              <a:latin typeface="Aptos" panose="020B0004020202020204" pitchFamily="34" charset="0"/>
            </a:rPr>
            <a:t>102%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0.48108</cdr:x>
      <cdr:y>0.43195</cdr:y>
    </cdr:from>
    <cdr:to>
      <cdr:x>1</cdr:x>
      <cdr:y>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7ABD4A0-4D43-9F10-2A1C-46E28F388E98}"/>
            </a:ext>
          </a:extLst>
        </cdr:cNvPr>
        <cdr:cNvSpPr txBox="1"/>
      </cdr:nvSpPr>
      <cdr:spPr>
        <a:xfrm xmlns:a="http://schemas.openxmlformats.org/drawingml/2006/main">
          <a:off x="866775" y="8953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0.41081</cdr:x>
      <cdr:y>0.4142</cdr:y>
    </cdr:from>
    <cdr:to>
      <cdr:x>0.62703</cdr:x>
      <cdr:y>0.69231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A4B113F2-FA5A-4CEE-5DDE-1C6D9CD024FE}"/>
            </a:ext>
          </a:extLst>
        </cdr:cNvPr>
        <cdr:cNvSpPr txBox="1"/>
      </cdr:nvSpPr>
      <cdr:spPr>
        <a:xfrm xmlns:a="http://schemas.openxmlformats.org/drawingml/2006/main">
          <a:off x="723900" y="666750"/>
          <a:ext cx="381000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0.37838</cdr:x>
      <cdr:y>0.51479</cdr:y>
    </cdr:from>
    <cdr:to>
      <cdr:x>0.63784</cdr:x>
      <cdr:y>0.72189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D0B5E82C-D081-4123-F313-EAC2463D0063}"/>
            </a:ext>
          </a:extLst>
        </cdr:cNvPr>
        <cdr:cNvSpPr txBox="1"/>
      </cdr:nvSpPr>
      <cdr:spPr>
        <a:xfrm xmlns:a="http://schemas.openxmlformats.org/drawingml/2006/main">
          <a:off x="666751" y="828675"/>
          <a:ext cx="4572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GB" sz="1100" b="1">
              <a:latin typeface="Aptos" panose="020B0004020202020204" pitchFamily="34" charset="0"/>
            </a:rPr>
            <a:t>105%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5267F9D8B45EEB79F0DDF5CF0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ECBB-4C9B-4F5A-A8E6-2E9BF4344B8E}"/>
      </w:docPartPr>
      <w:docPartBody>
        <w:p w:rsidR="00F519DB" w:rsidRDefault="00F519DB">
          <w:pPr>
            <w:pStyle w:val="31A5267F9D8B45EEB79F0DDF5CF0CBB2"/>
          </w:pPr>
          <w:r w:rsidRPr="00042C78">
            <w:rPr>
              <w:rStyle w:val="PlaceholderText"/>
              <w:b/>
              <w:color w:val="A02B93" w:themeColor="accent5"/>
            </w:rPr>
            <w:t>Choose an item.</w:t>
          </w:r>
        </w:p>
      </w:docPartBody>
    </w:docPart>
    <w:docPart>
      <w:docPartPr>
        <w:name w:val="BC0454778CF0490597D1CB385A9E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1056-9EDE-485C-B184-BF47FAA8A158}"/>
      </w:docPartPr>
      <w:docPartBody>
        <w:p w:rsidR="00F519DB" w:rsidRDefault="00F519DB">
          <w:pPr>
            <w:pStyle w:val="BC0454778CF0490597D1CB385A9EEDA4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B09FA00904994700B122DEF12B84F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4DA7-ED67-4BD7-A13D-D65F9B70D878}"/>
      </w:docPartPr>
      <w:docPartBody>
        <w:p w:rsidR="00F519DB" w:rsidRDefault="00F519DB">
          <w:pPr>
            <w:pStyle w:val="B09FA00904994700B122DEF12B84F9BE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F544C7BD0D34457ABE26A5956E620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6B77C-4F60-4AC9-BF28-874C88CEF7B4}"/>
      </w:docPartPr>
      <w:docPartBody>
        <w:p w:rsidR="00F519DB" w:rsidRDefault="00F519DB">
          <w:pPr>
            <w:pStyle w:val="F544C7BD0D34457ABE26A5956E6205A6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1CA18BC18242434285BA06079202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EE4E-2B26-4B27-BEF2-D116E03B3EAD}"/>
      </w:docPartPr>
      <w:docPartBody>
        <w:p w:rsidR="00F519DB" w:rsidRDefault="00F519DB">
          <w:pPr>
            <w:pStyle w:val="1CA18BC18242434285BA060792021EF8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DB"/>
    <w:rsid w:val="0006693C"/>
    <w:rsid w:val="0007676F"/>
    <w:rsid w:val="000C1719"/>
    <w:rsid w:val="00213C63"/>
    <w:rsid w:val="002C7DC0"/>
    <w:rsid w:val="003525F8"/>
    <w:rsid w:val="003E3E67"/>
    <w:rsid w:val="0043291B"/>
    <w:rsid w:val="00463591"/>
    <w:rsid w:val="004D186D"/>
    <w:rsid w:val="00A526C9"/>
    <w:rsid w:val="00BD34BA"/>
    <w:rsid w:val="00C054ED"/>
    <w:rsid w:val="00CA4A61"/>
    <w:rsid w:val="00F5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A5267F9D8B45EEB79F0DDF5CF0CBB2">
    <w:name w:val="31A5267F9D8B45EEB79F0DDF5CF0CBB2"/>
  </w:style>
  <w:style w:type="paragraph" w:customStyle="1" w:styleId="BC0454778CF0490597D1CB385A9EEDA4">
    <w:name w:val="BC0454778CF0490597D1CB385A9EEDA4"/>
  </w:style>
  <w:style w:type="paragraph" w:customStyle="1" w:styleId="B09FA00904994700B122DEF12B84F9BE">
    <w:name w:val="B09FA00904994700B122DEF12B84F9BE"/>
  </w:style>
  <w:style w:type="paragraph" w:customStyle="1" w:styleId="F544C7BD0D34457ABE26A5956E6205A6">
    <w:name w:val="F544C7BD0D34457ABE26A5956E6205A6"/>
  </w:style>
  <w:style w:type="paragraph" w:customStyle="1" w:styleId="1CA18BC18242434285BA060792021EF8">
    <w:name w:val="1CA18BC18242434285BA060792021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7c8e73-1a92-43ae-87b4-1041e4b5416f">
      <UserInfo>
        <DisplayName/>
        <AccountId xsi:nil="true"/>
        <AccountType/>
      </UserInfo>
    </SharedWithUsers>
    <Retention xmlns="ddc97c0f-92d3-40cc-8a88-afbef9d2f0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96E21-D89F-4687-B80D-7F169E8B0DD4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f77c8e73-1a92-43ae-87b4-1041e4b5416f"/>
    <ds:schemaRef ds:uri="http://purl.org/dc/terms/"/>
    <ds:schemaRef ds:uri="ddc97c0f-92d3-40cc-8a88-afbef9d2f083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788A7E-18B7-47C9-A91E-663761643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Administration Resources Finance Report May 2025</dc:title>
  <dc:subject>Board papers</dc:subject>
  <dc:creator>Scottish Legal Aid Board</dc:creator>
  <cp:keywords/>
  <dc:description/>
  <cp:lastModifiedBy>Lindsay Corr</cp:lastModifiedBy>
  <cp:revision>2</cp:revision>
  <dcterms:created xsi:type="dcterms:W3CDTF">2025-08-12T15:10:00Z</dcterms:created>
  <dcterms:modified xsi:type="dcterms:W3CDTF">2025-08-12T15:10:00Z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6925100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