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52F2ED12" w:rsidR="00B2602F" w:rsidRPr="005277D3" w:rsidRDefault="009D0693" w:rsidP="00CC679C">
      <w:pPr>
        <w:pStyle w:val="Title"/>
      </w:pPr>
      <w:r>
        <w:rPr>
          <w:noProof/>
          <w:lang w:val="en-US"/>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736FA427" w14:textId="2C93FA32"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56CF6CB4" wp14:editId="006FCD8F">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AB49F9"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52C42E4C" wp14:editId="2DE70296">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D5D3E6"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795BDE77" w:rsidRPr="1A14AB1A">
        <w:rPr>
          <w:rStyle w:val="Strong"/>
          <w:lang w:val="en-US"/>
        </w:rPr>
        <w:t>10</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8316DC">
        <w:rPr>
          <w:rStyle w:val="Strong"/>
          <w:lang w:val="en-US"/>
        </w:rPr>
        <w:t>/</w:t>
      </w:r>
      <w:r w:rsidR="00624879">
        <w:rPr>
          <w:rStyle w:val="Strong"/>
          <w:lang w:val="en-US"/>
        </w:rPr>
        <w:t>202</w:t>
      </w:r>
      <w:r w:rsidR="00805790">
        <w:rPr>
          <w:rStyle w:val="Strong"/>
          <w:lang w:val="en-US"/>
        </w:rPr>
        <w:t>5/</w:t>
      </w:r>
      <w:r w:rsidR="4ABF41B3">
        <w:rPr>
          <w:rStyle w:val="Strong"/>
          <w:lang w:val="en-US"/>
        </w:rPr>
        <w:t>18</w:t>
      </w:r>
    </w:p>
    <w:p w14:paraId="23B43D0F" w14:textId="46D18B01"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55D69D58" w14:textId="08441205"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A41903E8379543329647291877D14497"/>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23398F">
            <w:rPr>
              <w:lang w:val="en-US"/>
            </w:rPr>
            <w:t>The Board</w:t>
          </w:r>
        </w:sdtContent>
      </w:sdt>
    </w:p>
    <w:p w14:paraId="255F11C3" w14:textId="586506BA"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805790">
        <w:t>26 May 2025</w:t>
      </w:r>
    </w:p>
    <w:p w14:paraId="4B3922AE" w14:textId="611147A6"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624879">
        <w:t xml:space="preserve">Complaints Update </w:t>
      </w:r>
      <w:r w:rsidR="00CD19F5">
        <w:t>–</w:t>
      </w:r>
      <w:r w:rsidR="00624879">
        <w:t xml:space="preserve"> </w:t>
      </w:r>
      <w:r w:rsidR="00CD19F5">
        <w:t>Q</w:t>
      </w:r>
      <w:r w:rsidR="00805790">
        <w:t>3</w:t>
      </w:r>
      <w:r w:rsidR="007E5BAF">
        <w:t xml:space="preserve"> </w:t>
      </w:r>
      <w:r w:rsidR="00CD19F5">
        <w:t>&amp;</w:t>
      </w:r>
      <w:r w:rsidR="007E5BAF">
        <w:t xml:space="preserve"> Q</w:t>
      </w:r>
      <w:r w:rsidR="00805790">
        <w:t>4</w:t>
      </w:r>
      <w:r w:rsidR="00CD19F5">
        <w:t xml:space="preserve"> 2024-25</w:t>
      </w:r>
    </w:p>
    <w:p w14:paraId="69F459EE" w14:textId="44FC10AC"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C84CC7ED5A9D4111B94218E752547B5E"/>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23398F">
            <w:rPr>
              <w:lang w:val="en-US"/>
            </w:rPr>
            <w:t>For information</w:t>
          </w:r>
        </w:sdtContent>
      </w:sdt>
    </w:p>
    <w:p w14:paraId="6C9372C0" w14:textId="66C4E45F"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8F569BF096E4A30BB0C42E42B17AC01"/>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23398F">
            <w:rPr>
              <w:lang w:val="en-US"/>
            </w:rPr>
            <w:t>Business as usual</w:t>
          </w:r>
        </w:sdtContent>
      </w:sdt>
    </w:p>
    <w:p w14:paraId="4D767592" w14:textId="6C2D66BD"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23398F">
        <w:rPr>
          <w:lang w:val="en-US"/>
        </w:rPr>
        <w:t>Stuart Drummond</w:t>
      </w:r>
    </w:p>
    <w:p w14:paraId="5489422C" w14:textId="73B53247"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FD79FEA7BB074DB8A574B16CDB58D5A4"/>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23398F">
            <w:rPr>
              <w:lang w:val="en-US"/>
            </w:rPr>
            <w:t>Colin Lancaster</w:t>
          </w:r>
        </w:sdtContent>
      </w:sdt>
    </w:p>
    <w:p w14:paraId="30BC6D8C" w14:textId="5DD4B4DD"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23398F">
        <w:rPr>
          <w:lang w:val="en-US"/>
        </w:rPr>
        <w:t>Andrew McIntosh</w:t>
      </w:r>
    </w:p>
    <w:p w14:paraId="6294ABBF" w14:textId="6468A0A8" w:rsidR="006662A7" w:rsidRPr="008A0398" w:rsidRDefault="006F4385" w:rsidP="008A0398">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23398F">
        <w:rPr>
          <w:lang w:val="en-US"/>
        </w:rPr>
        <w:t>drummondst@slab.org.uk</w:t>
      </w:r>
    </w:p>
    <w:p w14:paraId="63D30736" w14:textId="6B5CCF96" w:rsidR="006662A7" w:rsidRDefault="00A16CB9" w:rsidP="006662A7">
      <w:pPr>
        <w:spacing w:after="0"/>
        <w:rPr>
          <w:lang w:val="en-US"/>
        </w:rPr>
      </w:pPr>
      <w:r w:rsidRPr="00A16CB9">
        <w:rPr>
          <w:rStyle w:val="Strong"/>
        </w:rPr>
        <w:t>Delivery of Strategic Objectives</w:t>
      </w:r>
      <w:r>
        <w:rPr>
          <w:rStyle w:val="Strong"/>
        </w:rPr>
        <w:br/>
      </w:r>
      <w:sdt>
        <w:sdtPr>
          <w:rPr>
            <w:lang w:val="en-US"/>
          </w:rPr>
          <w:id w:val="-1025477534"/>
          <w:placeholder>
            <w:docPart w:val="DCFEE3CBE30E4D8FB7FFC702090E9AD3"/>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23398F" w:rsidRPr="008316DC">
            <w:rPr>
              <w:lang w:val="en-US"/>
            </w:rPr>
            <w:t>1 – Administration: Our timely, clear, and consistent decisions on legal aid applications and accounts deliver a positive customer experience.</w:t>
          </w:r>
        </w:sdtContent>
      </w:sdt>
      <w:r w:rsidR="00F14DC9" w:rsidRPr="008316DC">
        <w:rPr>
          <w:lang w:val="en-US"/>
        </w:rPr>
        <w:tab/>
      </w:r>
    </w:p>
    <w:p w14:paraId="4E5CC02B" w14:textId="2B93E55E" w:rsidR="00CC679C" w:rsidRDefault="00F14DC9" w:rsidP="006662A7">
      <w:pPr>
        <w:spacing w:after="0"/>
      </w:pPr>
      <w:r>
        <w:rPr>
          <w:lang w:val="en-US"/>
        </w:rPr>
        <w:br/>
      </w:r>
      <w:r w:rsidR="00CC679C" w:rsidRPr="00CC679C">
        <w:rPr>
          <w:rStyle w:val="Strong"/>
          <w:lang w:val="en-US"/>
        </w:rPr>
        <w:t>Link to Board or Committee remit</w:t>
      </w:r>
      <w:r w:rsidR="00CC679C" w:rsidRPr="00CC679C">
        <w:rPr>
          <w:rStyle w:val="Strong"/>
        </w:rPr>
        <w:t>:</w:t>
      </w:r>
      <w:r w:rsidR="00CC679C">
        <w:rPr>
          <w:lang w:val="en-US"/>
        </w:rPr>
        <w:tab/>
      </w:r>
      <w:r w:rsidR="00821617">
        <w:rPr>
          <w:lang w:val="en-US"/>
        </w:rPr>
        <w:br/>
      </w:r>
      <w:r w:rsidR="0023398F" w:rsidRPr="0023398F">
        <w:t xml:space="preserve">This paper is linked to the Board’s function of overseeing performance. </w:t>
      </w:r>
    </w:p>
    <w:p w14:paraId="7518F221" w14:textId="77777777" w:rsidR="006662A7" w:rsidRPr="008316DC" w:rsidRDefault="006662A7" w:rsidP="006662A7">
      <w:pPr>
        <w:spacing w:after="0"/>
        <w:rPr>
          <w:b/>
          <w:bCs/>
          <w:lang w:val="en-US"/>
        </w:rPr>
      </w:pPr>
    </w:p>
    <w:p w14:paraId="541BE101" w14:textId="69A3F9BF" w:rsidR="00CC679C" w:rsidRDefault="00CC679C" w:rsidP="006662A7">
      <w:pPr>
        <w:spacing w:after="0"/>
      </w:pPr>
      <w:r w:rsidRPr="00CC679C">
        <w:rPr>
          <w:rStyle w:val="Strong"/>
        </w:rPr>
        <w:t>Link to Risk Management:</w:t>
      </w:r>
      <w:r>
        <w:rPr>
          <w:rStyle w:val="Strong"/>
        </w:rPr>
        <w:tab/>
      </w:r>
      <w:r>
        <w:rPr>
          <w:rStyle w:val="Strong"/>
        </w:rPr>
        <w:tab/>
      </w:r>
      <w:r>
        <w:rPr>
          <w:rStyle w:val="Strong"/>
        </w:rPr>
        <w:tab/>
      </w:r>
      <w:r w:rsidR="00821617">
        <w:rPr>
          <w:rStyle w:val="Strong"/>
        </w:rPr>
        <w:br/>
      </w:r>
      <w:r w:rsidR="0023398F" w:rsidRPr="0023398F">
        <w:t>Complaints are an important way in which we can assess our service.</w:t>
      </w:r>
      <w:r w:rsidR="008316DC">
        <w:t xml:space="preserve"> Action taken in the </w:t>
      </w:r>
      <w:r w:rsidR="00D87ED2">
        <w:t xml:space="preserve">case </w:t>
      </w:r>
      <w:r w:rsidR="0023398F" w:rsidRPr="0023398F">
        <w:t>of upheld complaints is a key control for several risks that we face.</w:t>
      </w:r>
    </w:p>
    <w:p w14:paraId="7FF6A14F" w14:textId="77777777" w:rsidR="006662A7" w:rsidRPr="0023398F" w:rsidRDefault="006662A7" w:rsidP="006662A7">
      <w:pPr>
        <w:spacing w:after="0"/>
        <w:rPr>
          <w:rStyle w:val="Strong"/>
          <w:b w:val="0"/>
          <w:bCs w:val="0"/>
        </w:rPr>
      </w:pPr>
    </w:p>
    <w:p w14:paraId="10A69E34" w14:textId="1CCFF10E" w:rsidR="00CC679C" w:rsidRDefault="00CC679C" w:rsidP="006662A7">
      <w:pPr>
        <w:spacing w:after="0"/>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23398F" w:rsidRPr="0023398F">
        <w:t>This paper is suitable for publication. The information is not sensitive, and we are obligated to publish data on complaints under the SPSO model code.</w:t>
      </w:r>
      <w:r w:rsidRPr="00CC679C">
        <w:rPr>
          <w:rStyle w:val="Strong"/>
        </w:rPr>
        <w:tab/>
      </w:r>
    </w:p>
    <w:p w14:paraId="51CD9BF8" w14:textId="77777777" w:rsidR="006662A7" w:rsidRDefault="006662A7" w:rsidP="006662A7">
      <w:pPr>
        <w:spacing w:after="0"/>
        <w:rPr>
          <w:rStyle w:val="Strong"/>
        </w:rPr>
      </w:pPr>
    </w:p>
    <w:p w14:paraId="4589364B" w14:textId="75A6D16D" w:rsidR="00CC679C" w:rsidRDefault="00CC679C" w:rsidP="006662A7">
      <w:pPr>
        <w:spacing w:after="0"/>
      </w:pPr>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23398F">
        <w:t>Overall complaint numbers remain low with no serious failings or systemic problems identified.</w:t>
      </w:r>
      <w:r w:rsidR="00CE3BB4">
        <w:t xml:space="preserve"> </w:t>
      </w:r>
    </w:p>
    <w:p w14:paraId="08060E3C" w14:textId="77777777" w:rsidR="006662A7" w:rsidRPr="00AB4C34" w:rsidRDefault="006662A7" w:rsidP="006662A7">
      <w:pPr>
        <w:spacing w:after="0"/>
        <w:rPr>
          <w:b/>
          <w:bCs/>
        </w:rPr>
      </w:pPr>
    </w:p>
    <w:p w14:paraId="0A7A24E3" w14:textId="26F37342" w:rsidR="00D87ED2" w:rsidRDefault="00CC679C" w:rsidP="00F14DC9">
      <w:r w:rsidRPr="00CC679C">
        <w:rPr>
          <w:rStyle w:val="Strong"/>
        </w:rPr>
        <w:t xml:space="preserve">Previous Consideration </w:t>
      </w:r>
      <w:r w:rsidRPr="00CC679C">
        <w:rPr>
          <w:rStyle w:val="Strong"/>
        </w:rPr>
        <w:br/>
        <w:t>Meeting:</w:t>
      </w:r>
      <w:r w:rsidRPr="00CC679C">
        <w:tab/>
      </w:r>
      <w:r w:rsidR="00C13A13">
        <w:t>3 December 2024</w:t>
      </w:r>
      <w:r w:rsidR="008A0398">
        <w:t>.</w:t>
      </w:r>
      <w:r w:rsidRPr="00CC679C">
        <w:rPr>
          <w:rStyle w:val="Strong"/>
        </w:rPr>
        <w:br/>
        <w:t xml:space="preserve">Details: </w:t>
      </w:r>
      <w:r w:rsidRPr="00CC679C">
        <w:tab/>
      </w:r>
      <w:r w:rsidR="0023398F">
        <w:t>Members were presented with the Q</w:t>
      </w:r>
      <w:r w:rsidR="00805790">
        <w:t>1</w:t>
      </w:r>
      <w:r w:rsidR="0023398F">
        <w:t xml:space="preserve"> &amp; </w:t>
      </w:r>
      <w:r w:rsidR="008A0398">
        <w:t xml:space="preserve">Q2 </w:t>
      </w:r>
      <w:r w:rsidR="0023398F">
        <w:t>update for the 202</w:t>
      </w:r>
      <w:r w:rsidR="00805790">
        <w:t>4</w:t>
      </w:r>
      <w:r w:rsidR="0023398F">
        <w:t>-2</w:t>
      </w:r>
      <w:r w:rsidR="00805790">
        <w:t>5</w:t>
      </w:r>
      <w:r w:rsidR="0023398F">
        <w:t xml:space="preserve"> period</w:t>
      </w:r>
      <w:r w:rsidR="008A0398">
        <w:t xml:space="preserve"> and noted</w:t>
      </w:r>
      <w:r w:rsidR="0023398F">
        <w:t xml:space="preserve">. </w:t>
      </w:r>
      <w:r w:rsidR="00D87ED2">
        <w:t xml:space="preserve"> </w:t>
      </w:r>
    </w:p>
    <w:p w14:paraId="32EAA85E" w14:textId="3A01FA8D" w:rsidR="0023398F" w:rsidRDefault="00F14DC9" w:rsidP="00CD19F5">
      <w:pPr>
        <w:pStyle w:val="Heading1"/>
      </w:pPr>
      <w:r>
        <w:lastRenderedPageBreak/>
        <w:t>Report</w:t>
      </w:r>
    </w:p>
    <w:p w14:paraId="10D8B6E8" w14:textId="6C1E17FB" w:rsidR="00CD19F5" w:rsidRPr="0023398F" w:rsidRDefault="00CD19F5" w:rsidP="00CD19F5">
      <w:pPr>
        <w:pStyle w:val="Heading2"/>
        <w:rPr>
          <w:lang w:val="en-US"/>
        </w:rPr>
      </w:pPr>
      <w:r>
        <w:rPr>
          <w:lang w:val="en-US"/>
        </w:rPr>
        <w:t>Background</w:t>
      </w:r>
    </w:p>
    <w:p w14:paraId="04B2AB77" w14:textId="4B7FBDE5" w:rsidR="0023398F" w:rsidRPr="0023398F" w:rsidRDefault="0023398F" w:rsidP="003B2EA7">
      <w:r w:rsidRPr="0023398F">
        <w:t xml:space="preserve">This report covers </w:t>
      </w:r>
      <w:r w:rsidR="00CD19F5">
        <w:t>closed</w:t>
      </w:r>
      <w:r w:rsidRPr="0023398F">
        <w:t xml:space="preserve"> complaints for the period </w:t>
      </w:r>
      <w:r w:rsidR="00D87ED2">
        <w:t xml:space="preserve">starting </w:t>
      </w:r>
      <w:r w:rsidR="00805790">
        <w:t xml:space="preserve">October </w:t>
      </w:r>
      <w:r>
        <w:t>2024</w:t>
      </w:r>
      <w:r w:rsidRPr="0023398F">
        <w:t xml:space="preserve"> to</w:t>
      </w:r>
      <w:r w:rsidR="00D87ED2">
        <w:t xml:space="preserve"> the </w:t>
      </w:r>
      <w:r w:rsidR="003B2EA7">
        <w:t>end of</w:t>
      </w:r>
      <w:r w:rsidRPr="0023398F">
        <w:t xml:space="preserve"> </w:t>
      </w:r>
      <w:r w:rsidR="00805790">
        <w:t xml:space="preserve">March </w:t>
      </w:r>
      <w:r>
        <w:t>202</w:t>
      </w:r>
      <w:r w:rsidR="00805790">
        <w:t xml:space="preserve">4 </w:t>
      </w:r>
      <w:r w:rsidRPr="0023398F">
        <w:t xml:space="preserve">(quarters </w:t>
      </w:r>
      <w:r w:rsidR="00805790">
        <w:t>three</w:t>
      </w:r>
      <w:r w:rsidRPr="0023398F">
        <w:t xml:space="preserve"> and </w:t>
      </w:r>
      <w:r w:rsidR="00805790">
        <w:t>four</w:t>
      </w:r>
      <w:r w:rsidRPr="0023398F">
        <w:t xml:space="preserve">). </w:t>
      </w:r>
    </w:p>
    <w:p w14:paraId="2986ACFB" w14:textId="71EEFAC8" w:rsidR="0023398F" w:rsidRPr="0023398F" w:rsidRDefault="000E44DD" w:rsidP="003B2EA7">
      <w:hyperlink w:anchor="_Table_5_–" w:history="1">
        <w:r w:rsidR="0023398F" w:rsidRPr="000E44DD">
          <w:rPr>
            <w:rStyle w:val="Hyperlink"/>
            <w:b/>
            <w:bCs/>
            <w:color w:val="174DA3"/>
          </w:rPr>
          <w:t>Table 5</w:t>
        </w:r>
      </w:hyperlink>
      <w:r w:rsidR="0023398F" w:rsidRPr="0023398F">
        <w:t xml:space="preserve"> appended shows the number of </w:t>
      </w:r>
      <w:r w:rsidR="008B33F7">
        <w:t>closed</w:t>
      </w:r>
      <w:r w:rsidR="0023398F" w:rsidRPr="0023398F">
        <w:t xml:space="preserve"> complaints across previous quarters to allow a quarter by quarter comparison. </w:t>
      </w:r>
    </w:p>
    <w:p w14:paraId="5444D02E" w14:textId="378B1A34" w:rsidR="0023398F" w:rsidRPr="0023398F" w:rsidRDefault="0023398F" w:rsidP="003B2EA7">
      <w:pPr>
        <w:rPr>
          <w:b/>
          <w:bCs/>
        </w:rPr>
      </w:pPr>
      <w:r w:rsidRPr="0023398F">
        <w:rPr>
          <w:b/>
          <w:bCs/>
        </w:rPr>
        <w:t>Frontline complaints</w:t>
      </w:r>
      <w:r w:rsidRPr="0023398F">
        <w:t xml:space="preserve"> are those that are straightforward and easily resolved with little or no investigation required. These complaints have a response deadline of </w:t>
      </w:r>
      <w:proofErr w:type="spellStart"/>
      <w:r w:rsidR="000E44DD">
        <w:t>fve</w:t>
      </w:r>
      <w:proofErr w:type="spellEnd"/>
      <w:r w:rsidRPr="0023398F">
        <w:t xml:space="preserve"> working days.</w:t>
      </w:r>
    </w:p>
    <w:p w14:paraId="7C2A12EB" w14:textId="6CEAE5CE" w:rsidR="0023398F" w:rsidRDefault="0023398F" w:rsidP="003B2EA7">
      <w:r w:rsidRPr="0023398F">
        <w:rPr>
          <w:b/>
          <w:bCs/>
        </w:rPr>
        <w:t>Investigation complaints</w:t>
      </w:r>
      <w:r w:rsidRPr="0023398F">
        <w:t xml:space="preserve"> are those that have not been resolved at the frontline or for issues that require investigation and may be serious, complex or high risk. These complaints have a response deadline of 20 working days.</w:t>
      </w:r>
    </w:p>
    <w:p w14:paraId="0C2EFB2A" w14:textId="19BCEB78" w:rsidR="00835F26" w:rsidRPr="00CE3BB4" w:rsidRDefault="00835F26" w:rsidP="003B2EA7">
      <w:pPr>
        <w:rPr>
          <w:b/>
          <w:bCs/>
        </w:rPr>
      </w:pPr>
      <w:r>
        <w:t>In addition to recording whether a complaint has been “upheld” or “not upheld”</w:t>
      </w:r>
      <w:r w:rsidR="000E44DD">
        <w:t>,</w:t>
      </w:r>
      <w:r>
        <w:t xml:space="preserve"> the SPSO </w:t>
      </w:r>
      <w:r w:rsidR="00706678">
        <w:t xml:space="preserve">introduced a further category of “resolved”. </w:t>
      </w:r>
      <w:r w:rsidR="00AD3381" w:rsidRPr="00AD3381">
        <w:t>According to the SPSO, a complaint is considered resolved when both the customer and the organi</w:t>
      </w:r>
      <w:r w:rsidR="000E44DD">
        <w:t>s</w:t>
      </w:r>
      <w:r w:rsidR="00AD3381" w:rsidRPr="00AD3381">
        <w:t>ation agree on a course of action to fully resolve the issue. This agreement does not require a decision on whether the complaint was upheld or not.</w:t>
      </w:r>
    </w:p>
    <w:p w14:paraId="6A822A2B" w14:textId="41E41AB9" w:rsidR="0083014B" w:rsidRPr="0083014B" w:rsidRDefault="0083014B" w:rsidP="00CE3BB4">
      <w:pPr>
        <w:pStyle w:val="Heading1"/>
      </w:pPr>
      <w:r w:rsidRPr="0083014B">
        <w:t xml:space="preserve">Frontline complaints </w:t>
      </w:r>
      <w:r w:rsidR="00CE3BB4">
        <w:t>closed</w:t>
      </w:r>
    </w:p>
    <w:p w14:paraId="1BF7C1EF" w14:textId="0F3A37F5" w:rsidR="000349C8" w:rsidRDefault="0083014B" w:rsidP="000E44DD">
      <w:pPr>
        <w:pStyle w:val="Heading2"/>
      </w:pPr>
      <w:r w:rsidRPr="0083014B">
        <w:t xml:space="preserve">Quarter </w:t>
      </w:r>
      <w:r w:rsidR="00805790">
        <w:t>3</w:t>
      </w:r>
      <w:r w:rsidRPr="0083014B">
        <w:t xml:space="preserve">, </w:t>
      </w:r>
      <w:r w:rsidR="00805790">
        <w:t>October</w:t>
      </w:r>
      <w:r>
        <w:t xml:space="preserve"> to </w:t>
      </w:r>
      <w:r w:rsidR="00805790">
        <w:t>December</w:t>
      </w:r>
      <w:r>
        <w:t xml:space="preserve"> 2024</w:t>
      </w:r>
    </w:p>
    <w:p w14:paraId="1BFC63A5" w14:textId="7C6BCFC6" w:rsidR="0083014B" w:rsidRPr="0083014B" w:rsidRDefault="0083014B" w:rsidP="003B2EA7">
      <w:r w:rsidRPr="0083014B">
        <w:t xml:space="preserve">See </w:t>
      </w:r>
      <w:hyperlink w:anchor="_Table_1_–" w:history="1">
        <w:r w:rsidRPr="000E44DD">
          <w:rPr>
            <w:rStyle w:val="Hyperlink"/>
            <w:b/>
            <w:bCs/>
            <w:color w:val="174DA3"/>
          </w:rPr>
          <w:t>Table 1</w:t>
        </w:r>
      </w:hyperlink>
      <w:r w:rsidRPr="0083014B">
        <w:t xml:space="preserve"> appended.</w:t>
      </w:r>
    </w:p>
    <w:p w14:paraId="3C877820" w14:textId="49EF6EEF" w:rsidR="0083014B" w:rsidRPr="0083014B" w:rsidRDefault="0083014B" w:rsidP="003B2EA7">
      <w:r w:rsidRPr="0083014B">
        <w:t xml:space="preserve">In quarter </w:t>
      </w:r>
      <w:r w:rsidR="00805790">
        <w:t>3</w:t>
      </w:r>
      <w:r w:rsidRPr="0083014B">
        <w:t xml:space="preserve"> there were a total of</w:t>
      </w:r>
      <w:r w:rsidR="00C13A13">
        <w:t xml:space="preserve"> six frontline complaints closed. Only one of these was upheld. </w:t>
      </w:r>
    </w:p>
    <w:p w14:paraId="0846A6A7" w14:textId="5AA917E7" w:rsidR="008B33F7" w:rsidRPr="008B33F7" w:rsidRDefault="008E5B5C" w:rsidP="000E44DD">
      <w:pPr>
        <w:pStyle w:val="Heading2"/>
      </w:pPr>
      <w:r w:rsidRPr="008E5B5C">
        <w:t xml:space="preserve">Quarter </w:t>
      </w:r>
      <w:r w:rsidR="00805790">
        <w:t>3</w:t>
      </w:r>
      <w:r w:rsidRPr="008E5B5C">
        <w:t xml:space="preserve"> Upheld </w:t>
      </w:r>
      <w:r w:rsidR="00377557">
        <w:t xml:space="preserve">Frontline </w:t>
      </w:r>
      <w:r w:rsidRPr="008E5B5C">
        <w:t>Complaints</w:t>
      </w:r>
    </w:p>
    <w:tbl>
      <w:tblPr>
        <w:tblStyle w:val="TableGrid"/>
        <w:tblW w:w="10201" w:type="dxa"/>
        <w:tblLook w:val="04A0" w:firstRow="1" w:lastRow="0" w:firstColumn="1" w:lastColumn="0" w:noHBand="0" w:noVBand="1"/>
      </w:tblPr>
      <w:tblGrid>
        <w:gridCol w:w="2345"/>
        <w:gridCol w:w="1882"/>
        <w:gridCol w:w="2506"/>
        <w:gridCol w:w="3468"/>
      </w:tblGrid>
      <w:tr w:rsidR="008E5B5C" w:rsidRPr="008E5B5C" w14:paraId="7C868017" w14:textId="77777777" w:rsidTr="0002607A">
        <w:tc>
          <w:tcPr>
            <w:tcW w:w="2345" w:type="dxa"/>
          </w:tcPr>
          <w:p w14:paraId="71C5908E" w14:textId="77777777" w:rsidR="008E5B5C" w:rsidRPr="008E5B5C" w:rsidRDefault="008E5B5C" w:rsidP="008E5B5C">
            <w:pPr>
              <w:spacing w:after="160" w:line="259" w:lineRule="auto"/>
              <w:rPr>
                <w:b/>
              </w:rPr>
            </w:pPr>
          </w:p>
        </w:tc>
        <w:tc>
          <w:tcPr>
            <w:tcW w:w="1882" w:type="dxa"/>
          </w:tcPr>
          <w:p w14:paraId="434790F8" w14:textId="77777777" w:rsidR="008E5B5C" w:rsidRPr="008E5B5C" w:rsidRDefault="008E5B5C" w:rsidP="008E5B5C">
            <w:pPr>
              <w:spacing w:after="160" w:line="259" w:lineRule="auto"/>
              <w:rPr>
                <w:b/>
              </w:rPr>
            </w:pPr>
            <w:r w:rsidRPr="008E5B5C">
              <w:rPr>
                <w:b/>
              </w:rPr>
              <w:t>Complainer</w:t>
            </w:r>
          </w:p>
        </w:tc>
        <w:tc>
          <w:tcPr>
            <w:tcW w:w="2506" w:type="dxa"/>
          </w:tcPr>
          <w:p w14:paraId="2B915DD3" w14:textId="77777777" w:rsidR="008E5B5C" w:rsidRPr="008E5B5C" w:rsidRDefault="008E5B5C" w:rsidP="008E5B5C">
            <w:pPr>
              <w:spacing w:after="160" w:line="259" w:lineRule="auto"/>
              <w:rPr>
                <w:b/>
              </w:rPr>
            </w:pPr>
            <w:r w:rsidRPr="008E5B5C">
              <w:rPr>
                <w:b/>
              </w:rPr>
              <w:t>Department</w:t>
            </w:r>
          </w:p>
        </w:tc>
        <w:tc>
          <w:tcPr>
            <w:tcW w:w="3468" w:type="dxa"/>
          </w:tcPr>
          <w:p w14:paraId="02C9386E" w14:textId="77777777" w:rsidR="008E5B5C" w:rsidRPr="008E5B5C" w:rsidRDefault="008E5B5C" w:rsidP="008E5B5C">
            <w:pPr>
              <w:spacing w:after="160" w:line="259" w:lineRule="auto"/>
              <w:rPr>
                <w:b/>
              </w:rPr>
            </w:pPr>
            <w:r w:rsidRPr="008E5B5C">
              <w:rPr>
                <w:b/>
              </w:rPr>
              <w:t>Complaint Category</w:t>
            </w:r>
          </w:p>
        </w:tc>
      </w:tr>
      <w:tr w:rsidR="008E5B5C" w:rsidRPr="008E5B5C" w14:paraId="302E390F" w14:textId="77777777" w:rsidTr="00427A02">
        <w:tc>
          <w:tcPr>
            <w:tcW w:w="2345" w:type="dxa"/>
            <w:shd w:val="clear" w:color="auto" w:fill="A2D2FF"/>
          </w:tcPr>
          <w:p w14:paraId="4EECF209" w14:textId="77777777" w:rsidR="008E5B5C" w:rsidRPr="008E5B5C" w:rsidRDefault="008E5B5C" w:rsidP="008E5B5C">
            <w:pPr>
              <w:spacing w:after="160" w:line="259" w:lineRule="auto"/>
            </w:pPr>
            <w:r w:rsidRPr="008E5B5C">
              <w:t>Complaint A</w:t>
            </w:r>
          </w:p>
        </w:tc>
        <w:tc>
          <w:tcPr>
            <w:tcW w:w="1882" w:type="dxa"/>
            <w:shd w:val="clear" w:color="auto" w:fill="A2D2FF"/>
          </w:tcPr>
          <w:p w14:paraId="730E219A" w14:textId="3DE2DBE0" w:rsidR="008E5B5C" w:rsidRPr="008E5B5C" w:rsidRDefault="00C13A13" w:rsidP="008E5B5C">
            <w:pPr>
              <w:spacing w:after="160" w:line="259" w:lineRule="auto"/>
            </w:pPr>
            <w:r>
              <w:t>Solicitor</w:t>
            </w:r>
          </w:p>
        </w:tc>
        <w:tc>
          <w:tcPr>
            <w:tcW w:w="2506" w:type="dxa"/>
            <w:shd w:val="clear" w:color="auto" w:fill="A2D2FF"/>
          </w:tcPr>
          <w:p w14:paraId="002C0517" w14:textId="39CFFE08" w:rsidR="008E5B5C" w:rsidRPr="008E5B5C" w:rsidRDefault="00C13A13" w:rsidP="008E5B5C">
            <w:pPr>
              <w:spacing w:after="160" w:line="259" w:lineRule="auto"/>
            </w:pPr>
            <w:r>
              <w:t>Civil Applications</w:t>
            </w:r>
          </w:p>
        </w:tc>
        <w:tc>
          <w:tcPr>
            <w:tcW w:w="3468" w:type="dxa"/>
            <w:shd w:val="clear" w:color="auto" w:fill="A2D2FF"/>
          </w:tcPr>
          <w:p w14:paraId="33CBE573" w14:textId="39C73999" w:rsidR="008E5B5C" w:rsidRPr="008E5B5C" w:rsidRDefault="00C13A13" w:rsidP="008E5B5C">
            <w:pPr>
              <w:spacing w:after="160" w:line="259" w:lineRule="auto"/>
            </w:pPr>
            <w:r>
              <w:t xml:space="preserve">Mistake in </w:t>
            </w:r>
            <w:r w:rsidR="000E44DD">
              <w:t>decision-making</w:t>
            </w:r>
          </w:p>
        </w:tc>
      </w:tr>
    </w:tbl>
    <w:p w14:paraId="6DCDCEC1" w14:textId="02C510E9" w:rsidR="00E73213" w:rsidRPr="00473E24" w:rsidRDefault="00D40934" w:rsidP="00473E24">
      <w:pPr>
        <w:rPr>
          <w:b/>
          <w:bCs/>
        </w:rPr>
      </w:pPr>
      <w:r>
        <w:t xml:space="preserve">Complaint A </w:t>
      </w:r>
      <w:r w:rsidR="00C13A13">
        <w:t xml:space="preserve">related to </w:t>
      </w:r>
      <w:r w:rsidR="00473E24">
        <w:t xml:space="preserve">a decision made on a special urgency application. Although it was initially refused, </w:t>
      </w:r>
      <w:r w:rsidR="008A7268">
        <w:t>a</w:t>
      </w:r>
      <w:r w:rsidR="00473E24">
        <w:t xml:space="preserve"> complaint was received and upon review it was subsequently granted. An apology was issued to the complainer as well as an undertaking to address any training issues with the staff member involved. </w:t>
      </w:r>
    </w:p>
    <w:p w14:paraId="1E712D22" w14:textId="5CFCC75B" w:rsidR="0083014B" w:rsidRPr="0083014B" w:rsidRDefault="0083014B" w:rsidP="008B33F7">
      <w:pPr>
        <w:pStyle w:val="Heading2"/>
      </w:pPr>
      <w:r w:rsidRPr="0083014B">
        <w:t xml:space="preserve">Quarter </w:t>
      </w:r>
      <w:r w:rsidR="00805790">
        <w:t>4</w:t>
      </w:r>
      <w:r w:rsidRPr="0083014B">
        <w:t xml:space="preserve">, </w:t>
      </w:r>
      <w:r w:rsidR="00805790">
        <w:t>January</w:t>
      </w:r>
      <w:r w:rsidRPr="0083014B">
        <w:t xml:space="preserve"> to </w:t>
      </w:r>
      <w:r w:rsidR="00805790">
        <w:t>March</w:t>
      </w:r>
      <w:r w:rsidRPr="0083014B">
        <w:t xml:space="preserve"> 202</w:t>
      </w:r>
      <w:r w:rsidR="00805790">
        <w:t>5</w:t>
      </w:r>
    </w:p>
    <w:p w14:paraId="213B3C9C" w14:textId="5994A431" w:rsidR="0083014B" w:rsidRPr="0083014B" w:rsidRDefault="0083014B" w:rsidP="003B2EA7">
      <w:r w:rsidRPr="0083014B">
        <w:t xml:space="preserve">See </w:t>
      </w:r>
      <w:hyperlink w:anchor="_Table_2_–" w:history="1">
        <w:r w:rsidRPr="0002607A">
          <w:rPr>
            <w:rStyle w:val="Hyperlink"/>
            <w:b/>
            <w:color w:val="174DA3"/>
          </w:rPr>
          <w:t>Table 2</w:t>
        </w:r>
      </w:hyperlink>
      <w:r w:rsidRPr="0083014B">
        <w:t xml:space="preserve"> appended.</w:t>
      </w:r>
    </w:p>
    <w:p w14:paraId="6F9EEE9E" w14:textId="30C816BE" w:rsidR="005D51E9" w:rsidRDefault="0083014B" w:rsidP="003B2EA7">
      <w:r w:rsidRPr="0083014B">
        <w:t xml:space="preserve">In quarter </w:t>
      </w:r>
      <w:r w:rsidR="00805790">
        <w:t>4</w:t>
      </w:r>
      <w:r w:rsidRPr="0083014B">
        <w:t xml:space="preserve"> </w:t>
      </w:r>
      <w:r w:rsidR="00473E24">
        <w:t xml:space="preserve">there were six frontline complaints closed. </w:t>
      </w:r>
      <w:r w:rsidR="00DB60BC">
        <w:t xml:space="preserve">One was part </w:t>
      </w:r>
      <w:r w:rsidR="0002607A">
        <w:t>upheld,</w:t>
      </w:r>
      <w:r w:rsidR="00DB60BC">
        <w:t xml:space="preserve"> and one was upheld. </w:t>
      </w:r>
      <w:r w:rsidR="008B33F7">
        <w:t xml:space="preserve"> </w:t>
      </w:r>
    </w:p>
    <w:p w14:paraId="5A1D5021" w14:textId="53E01DED" w:rsidR="00DB60BC" w:rsidRDefault="00DB60BC" w:rsidP="00DB60BC">
      <w:pPr>
        <w:pStyle w:val="Heading2"/>
      </w:pPr>
      <w:r>
        <w:t>Quarter 4 Partially Upheld Complaint</w:t>
      </w:r>
    </w:p>
    <w:tbl>
      <w:tblPr>
        <w:tblStyle w:val="TableGrid"/>
        <w:tblW w:w="0" w:type="auto"/>
        <w:tblLook w:val="04A0" w:firstRow="1" w:lastRow="0" w:firstColumn="1" w:lastColumn="0" w:noHBand="0" w:noVBand="1"/>
      </w:tblPr>
      <w:tblGrid>
        <w:gridCol w:w="2347"/>
        <w:gridCol w:w="1882"/>
        <w:gridCol w:w="2506"/>
        <w:gridCol w:w="3470"/>
      </w:tblGrid>
      <w:tr w:rsidR="00434966" w:rsidRPr="008E5B5C" w14:paraId="4C1B2925" w14:textId="77777777" w:rsidTr="00125927">
        <w:tc>
          <w:tcPr>
            <w:tcW w:w="2347" w:type="dxa"/>
          </w:tcPr>
          <w:p w14:paraId="11E92D8A" w14:textId="77777777" w:rsidR="00434966" w:rsidRPr="008E5B5C" w:rsidRDefault="00434966" w:rsidP="00B4733F">
            <w:pPr>
              <w:spacing w:after="160" w:line="259" w:lineRule="auto"/>
              <w:rPr>
                <w:b/>
              </w:rPr>
            </w:pPr>
          </w:p>
        </w:tc>
        <w:tc>
          <w:tcPr>
            <w:tcW w:w="1882" w:type="dxa"/>
          </w:tcPr>
          <w:p w14:paraId="3984B7D6" w14:textId="3901775F" w:rsidR="00434966" w:rsidRPr="008E5B5C" w:rsidRDefault="00434966" w:rsidP="00B4733F">
            <w:pPr>
              <w:spacing w:after="160" w:line="259" w:lineRule="auto"/>
              <w:rPr>
                <w:b/>
              </w:rPr>
            </w:pPr>
            <w:r w:rsidRPr="008E5B5C">
              <w:rPr>
                <w:b/>
              </w:rPr>
              <w:t>Complainer</w:t>
            </w:r>
          </w:p>
        </w:tc>
        <w:tc>
          <w:tcPr>
            <w:tcW w:w="2506" w:type="dxa"/>
          </w:tcPr>
          <w:p w14:paraId="338D6921" w14:textId="77777777" w:rsidR="00434966" w:rsidRPr="008E5B5C" w:rsidRDefault="00434966" w:rsidP="00B4733F">
            <w:pPr>
              <w:spacing w:after="160" w:line="259" w:lineRule="auto"/>
              <w:rPr>
                <w:b/>
              </w:rPr>
            </w:pPr>
            <w:r w:rsidRPr="008E5B5C">
              <w:rPr>
                <w:b/>
              </w:rPr>
              <w:t>Department</w:t>
            </w:r>
          </w:p>
        </w:tc>
        <w:tc>
          <w:tcPr>
            <w:tcW w:w="3470" w:type="dxa"/>
          </w:tcPr>
          <w:p w14:paraId="5306EF67" w14:textId="77777777" w:rsidR="00434966" w:rsidRPr="008E5B5C" w:rsidRDefault="00434966" w:rsidP="00B4733F">
            <w:pPr>
              <w:spacing w:after="160" w:line="259" w:lineRule="auto"/>
              <w:rPr>
                <w:b/>
              </w:rPr>
            </w:pPr>
            <w:r w:rsidRPr="008E5B5C">
              <w:rPr>
                <w:b/>
              </w:rPr>
              <w:t>Complaint Category</w:t>
            </w:r>
          </w:p>
        </w:tc>
      </w:tr>
      <w:tr w:rsidR="00434966" w:rsidRPr="008E5B5C" w14:paraId="56C68A03" w14:textId="77777777" w:rsidTr="00427A02">
        <w:tc>
          <w:tcPr>
            <w:tcW w:w="2347" w:type="dxa"/>
            <w:shd w:val="clear" w:color="auto" w:fill="A2D2FF"/>
          </w:tcPr>
          <w:p w14:paraId="49064B67" w14:textId="176FCB56" w:rsidR="00434966" w:rsidRPr="008E5B5C" w:rsidRDefault="00434966" w:rsidP="00B4733F">
            <w:pPr>
              <w:spacing w:after="160" w:line="259" w:lineRule="auto"/>
            </w:pPr>
            <w:r w:rsidRPr="008E5B5C">
              <w:t xml:space="preserve">Complaint </w:t>
            </w:r>
            <w:r>
              <w:t>B</w:t>
            </w:r>
          </w:p>
        </w:tc>
        <w:tc>
          <w:tcPr>
            <w:tcW w:w="1882" w:type="dxa"/>
            <w:shd w:val="clear" w:color="auto" w:fill="A2D2FF"/>
          </w:tcPr>
          <w:p w14:paraId="11879BE4" w14:textId="1853BC97" w:rsidR="00434966" w:rsidRPr="008E5B5C" w:rsidRDefault="00434966" w:rsidP="00B4733F">
            <w:pPr>
              <w:spacing w:after="160" w:line="259" w:lineRule="auto"/>
            </w:pPr>
            <w:r>
              <w:t>Other</w:t>
            </w:r>
          </w:p>
        </w:tc>
        <w:tc>
          <w:tcPr>
            <w:tcW w:w="2506" w:type="dxa"/>
            <w:shd w:val="clear" w:color="auto" w:fill="A2D2FF"/>
          </w:tcPr>
          <w:p w14:paraId="1A743BC5" w14:textId="0E1EF653" w:rsidR="00434966" w:rsidRPr="008E5B5C" w:rsidRDefault="00434966" w:rsidP="00B4733F">
            <w:pPr>
              <w:spacing w:after="160" w:line="259" w:lineRule="auto"/>
            </w:pPr>
            <w:r>
              <w:t>Civil Applications</w:t>
            </w:r>
          </w:p>
        </w:tc>
        <w:tc>
          <w:tcPr>
            <w:tcW w:w="3470" w:type="dxa"/>
            <w:shd w:val="clear" w:color="auto" w:fill="A2D2FF"/>
          </w:tcPr>
          <w:p w14:paraId="7825A20B" w14:textId="66EF70F2" w:rsidR="00434966" w:rsidRPr="008E5B5C" w:rsidRDefault="00434966" w:rsidP="00B4733F">
            <w:pPr>
              <w:spacing w:after="160" w:line="259" w:lineRule="auto"/>
            </w:pPr>
            <w:r>
              <w:t xml:space="preserve">Poor </w:t>
            </w:r>
            <w:r w:rsidR="001051D2">
              <w:t>c</w:t>
            </w:r>
            <w:r>
              <w:t>ommunication</w:t>
            </w:r>
          </w:p>
        </w:tc>
      </w:tr>
    </w:tbl>
    <w:p w14:paraId="673A85E0" w14:textId="32C6358A" w:rsidR="00DB60BC" w:rsidRDefault="00DB60BC" w:rsidP="003B2EA7">
      <w:r>
        <w:t xml:space="preserve">Complaint B </w:t>
      </w:r>
      <w:r w:rsidR="00434966">
        <w:t xml:space="preserve">involved a misunderstanding with a member of the public who had expected a member of staff to meet them in person at Thistle House. Staff had expected the complainer to drop off documents. </w:t>
      </w:r>
      <w:r w:rsidR="00F510C0">
        <w:t xml:space="preserve">An apology was provided to the </w:t>
      </w:r>
      <w:r w:rsidR="00427A02">
        <w:t>complainer,</w:t>
      </w:r>
      <w:r w:rsidR="00F510C0">
        <w:t xml:space="preserve"> and no further action was required. </w:t>
      </w:r>
    </w:p>
    <w:p w14:paraId="562F73FD" w14:textId="781F192A" w:rsidR="00DB60BC" w:rsidRDefault="00DB60BC" w:rsidP="00DB60BC">
      <w:pPr>
        <w:pStyle w:val="Heading2"/>
      </w:pPr>
      <w:r>
        <w:lastRenderedPageBreak/>
        <w:t>Quarter 4 Upheld Complaint</w:t>
      </w:r>
    </w:p>
    <w:tbl>
      <w:tblPr>
        <w:tblStyle w:val="TableGrid"/>
        <w:tblW w:w="0" w:type="auto"/>
        <w:tblLook w:val="04A0" w:firstRow="1" w:lastRow="0" w:firstColumn="1" w:lastColumn="0" w:noHBand="0" w:noVBand="1"/>
      </w:tblPr>
      <w:tblGrid>
        <w:gridCol w:w="2347"/>
        <w:gridCol w:w="1882"/>
        <w:gridCol w:w="2506"/>
        <w:gridCol w:w="3470"/>
      </w:tblGrid>
      <w:tr w:rsidR="00427A02" w:rsidRPr="008E5B5C" w14:paraId="0B3C828A" w14:textId="77777777" w:rsidTr="00797139">
        <w:tc>
          <w:tcPr>
            <w:tcW w:w="2347" w:type="dxa"/>
          </w:tcPr>
          <w:p w14:paraId="74C18B60" w14:textId="77777777" w:rsidR="00427A02" w:rsidRPr="008E5B5C" w:rsidRDefault="00427A02" w:rsidP="00797139">
            <w:pPr>
              <w:spacing w:after="160" w:line="259" w:lineRule="auto"/>
              <w:rPr>
                <w:b/>
              </w:rPr>
            </w:pPr>
          </w:p>
        </w:tc>
        <w:tc>
          <w:tcPr>
            <w:tcW w:w="1882" w:type="dxa"/>
          </w:tcPr>
          <w:p w14:paraId="400CE8F9" w14:textId="77777777" w:rsidR="00427A02" w:rsidRPr="008E5B5C" w:rsidRDefault="00427A02" w:rsidP="00797139">
            <w:pPr>
              <w:spacing w:after="160" w:line="259" w:lineRule="auto"/>
              <w:rPr>
                <w:b/>
              </w:rPr>
            </w:pPr>
            <w:r w:rsidRPr="008E5B5C">
              <w:rPr>
                <w:b/>
              </w:rPr>
              <w:t>Complainer</w:t>
            </w:r>
          </w:p>
        </w:tc>
        <w:tc>
          <w:tcPr>
            <w:tcW w:w="2506" w:type="dxa"/>
          </w:tcPr>
          <w:p w14:paraId="4A525F1D" w14:textId="77777777" w:rsidR="00427A02" w:rsidRPr="008E5B5C" w:rsidRDefault="00427A02" w:rsidP="00797139">
            <w:pPr>
              <w:spacing w:after="160" w:line="259" w:lineRule="auto"/>
              <w:rPr>
                <w:b/>
              </w:rPr>
            </w:pPr>
            <w:r w:rsidRPr="008E5B5C">
              <w:rPr>
                <w:b/>
              </w:rPr>
              <w:t>Department</w:t>
            </w:r>
          </w:p>
        </w:tc>
        <w:tc>
          <w:tcPr>
            <w:tcW w:w="3470" w:type="dxa"/>
          </w:tcPr>
          <w:p w14:paraId="5517C063" w14:textId="77777777" w:rsidR="00427A02" w:rsidRPr="008E5B5C" w:rsidRDefault="00427A02" w:rsidP="00797139">
            <w:pPr>
              <w:spacing w:after="160" w:line="259" w:lineRule="auto"/>
              <w:rPr>
                <w:b/>
              </w:rPr>
            </w:pPr>
            <w:r w:rsidRPr="008E5B5C">
              <w:rPr>
                <w:b/>
              </w:rPr>
              <w:t>Complaint Category</w:t>
            </w:r>
          </w:p>
        </w:tc>
      </w:tr>
      <w:tr w:rsidR="00427A02" w:rsidRPr="008E5B5C" w14:paraId="264C1554" w14:textId="77777777" w:rsidTr="00797139">
        <w:tc>
          <w:tcPr>
            <w:tcW w:w="2347" w:type="dxa"/>
            <w:shd w:val="clear" w:color="auto" w:fill="A2D2FF"/>
          </w:tcPr>
          <w:p w14:paraId="2B68A32E" w14:textId="1EB4CA15" w:rsidR="00427A02" w:rsidRPr="008E5B5C" w:rsidRDefault="00427A02" w:rsidP="00797139">
            <w:pPr>
              <w:spacing w:after="160" w:line="259" w:lineRule="auto"/>
            </w:pPr>
            <w:r w:rsidRPr="008E5B5C">
              <w:t xml:space="preserve">Complaint </w:t>
            </w:r>
            <w:r>
              <w:t>C</w:t>
            </w:r>
          </w:p>
        </w:tc>
        <w:tc>
          <w:tcPr>
            <w:tcW w:w="1882" w:type="dxa"/>
            <w:shd w:val="clear" w:color="auto" w:fill="A2D2FF"/>
          </w:tcPr>
          <w:p w14:paraId="6848D448" w14:textId="43029BDD" w:rsidR="00427A02" w:rsidRPr="008E5B5C" w:rsidRDefault="00427A02" w:rsidP="00797139">
            <w:pPr>
              <w:spacing w:after="160" w:line="259" w:lineRule="auto"/>
            </w:pPr>
            <w:r>
              <w:t>Solicitor</w:t>
            </w:r>
          </w:p>
        </w:tc>
        <w:tc>
          <w:tcPr>
            <w:tcW w:w="2506" w:type="dxa"/>
            <w:shd w:val="clear" w:color="auto" w:fill="A2D2FF"/>
          </w:tcPr>
          <w:p w14:paraId="4D04AD51" w14:textId="59E065BB" w:rsidR="00427A02" w:rsidRPr="008E5B5C" w:rsidRDefault="00427A02" w:rsidP="00797139">
            <w:pPr>
              <w:spacing w:after="160" w:line="259" w:lineRule="auto"/>
            </w:pPr>
            <w:r>
              <w:t>Criminal Applications</w:t>
            </w:r>
          </w:p>
        </w:tc>
        <w:tc>
          <w:tcPr>
            <w:tcW w:w="3470" w:type="dxa"/>
            <w:shd w:val="clear" w:color="auto" w:fill="A2D2FF"/>
          </w:tcPr>
          <w:p w14:paraId="4779CA20" w14:textId="0EC46C56" w:rsidR="00427A02" w:rsidRPr="008E5B5C" w:rsidRDefault="00427A02" w:rsidP="00797139">
            <w:pPr>
              <w:spacing w:after="160" w:line="259" w:lineRule="auto"/>
            </w:pPr>
            <w:r>
              <w:t xml:space="preserve">Dissatisfaction with SLAB </w:t>
            </w:r>
            <w:r w:rsidR="001051D2">
              <w:t>policy or procedures</w:t>
            </w:r>
          </w:p>
        </w:tc>
      </w:tr>
    </w:tbl>
    <w:p w14:paraId="04A0C5D7" w14:textId="3DA89EB8" w:rsidR="00DB60BC" w:rsidRDefault="00F510C0" w:rsidP="003B2EA7">
      <w:r>
        <w:t>Complaint C related to the refusal of exceptional case status for an application. After receipt of the complaint (which was not framed as a complaint, but nevertheless treated as on</w:t>
      </w:r>
      <w:r w:rsidR="008A7268">
        <w:t>e</w:t>
      </w:r>
      <w:r>
        <w:t xml:space="preserve">), the application was reviewed and exceptional case status granted. An apology was issued along with an explanation of what </w:t>
      </w:r>
      <w:r w:rsidR="008A7268">
        <w:t xml:space="preserve">had </w:t>
      </w:r>
      <w:r>
        <w:t xml:space="preserve">happened. There was also an undertaking made to </w:t>
      </w:r>
      <w:r w:rsidR="0030030A">
        <w:t>speak to the staff member involved</w:t>
      </w:r>
      <w:r>
        <w:t xml:space="preserve">. </w:t>
      </w:r>
    </w:p>
    <w:p w14:paraId="0A0EAA10" w14:textId="21B68F26" w:rsidR="005D51E9" w:rsidRDefault="00377557" w:rsidP="00377557">
      <w:pPr>
        <w:pStyle w:val="Heading1"/>
      </w:pPr>
      <w:r>
        <w:t>Investigation Complaint</w:t>
      </w:r>
      <w:r w:rsidR="00316338">
        <w:t>s</w:t>
      </w:r>
      <w:r>
        <w:t xml:space="preserve"> </w:t>
      </w:r>
      <w:r w:rsidR="00CE3BB4">
        <w:t>Closed</w:t>
      </w:r>
    </w:p>
    <w:p w14:paraId="7F684B63" w14:textId="5CE08747" w:rsidR="003B2EA7" w:rsidRPr="00036D5D" w:rsidRDefault="00805790" w:rsidP="003B2EA7">
      <w:pPr>
        <w:rPr>
          <w:rFonts w:asciiTheme="majorHAnsi" w:eastAsiaTheme="majorEastAsia" w:hAnsiTheme="majorHAnsi" w:cstheme="majorBidi"/>
          <w:b/>
          <w:sz w:val="32"/>
          <w:szCs w:val="26"/>
        </w:rPr>
      </w:pPr>
      <w:r w:rsidRPr="00805790">
        <w:rPr>
          <w:rFonts w:asciiTheme="majorHAnsi" w:eastAsiaTheme="majorEastAsia" w:hAnsiTheme="majorHAnsi" w:cstheme="majorBidi"/>
          <w:b/>
          <w:sz w:val="32"/>
          <w:szCs w:val="26"/>
        </w:rPr>
        <w:t>Quarter 3, October to December 2024</w:t>
      </w:r>
    </w:p>
    <w:p w14:paraId="72A113C4" w14:textId="454DDF45" w:rsidR="005D51E9" w:rsidRDefault="00377557" w:rsidP="003B2EA7">
      <w:r>
        <w:t xml:space="preserve">See </w:t>
      </w:r>
      <w:hyperlink w:anchor="_Table_3_–" w:history="1">
        <w:r w:rsidRPr="00427A02">
          <w:rPr>
            <w:rStyle w:val="Hyperlink"/>
            <w:b/>
            <w:bCs/>
            <w:color w:val="174DA3"/>
          </w:rPr>
          <w:t>Table 3</w:t>
        </w:r>
      </w:hyperlink>
      <w:r>
        <w:t xml:space="preserve"> appended. </w:t>
      </w:r>
    </w:p>
    <w:p w14:paraId="5AB8ABFC" w14:textId="6BEA6557" w:rsidR="00377557" w:rsidRPr="00377557" w:rsidRDefault="00377557" w:rsidP="00377557">
      <w:r>
        <w:t xml:space="preserve">In quarter </w:t>
      </w:r>
      <w:r w:rsidR="001C29E1">
        <w:t>3</w:t>
      </w:r>
      <w:r>
        <w:t xml:space="preserve"> there </w:t>
      </w:r>
      <w:r w:rsidR="00422DF5">
        <w:t>were</w:t>
      </w:r>
      <w:r>
        <w:t xml:space="preserve"> </w:t>
      </w:r>
      <w:r w:rsidR="001C29E1">
        <w:t>eight Investigation</w:t>
      </w:r>
      <w:r>
        <w:t xml:space="preserve"> complaints closed. Of these, two were partially upheld. </w:t>
      </w:r>
    </w:p>
    <w:p w14:paraId="1290B251" w14:textId="1078C247" w:rsidR="007809C4" w:rsidRDefault="007809C4" w:rsidP="007809C4">
      <w:pPr>
        <w:pStyle w:val="Heading2"/>
      </w:pPr>
      <w:r>
        <w:t xml:space="preserve">Quarter </w:t>
      </w:r>
      <w:r w:rsidR="00805790">
        <w:t xml:space="preserve">3 </w:t>
      </w:r>
      <w:r>
        <w:t>Partially Upheld Complaints</w:t>
      </w:r>
    </w:p>
    <w:tbl>
      <w:tblPr>
        <w:tblStyle w:val="TableGrid"/>
        <w:tblW w:w="0" w:type="auto"/>
        <w:tblLook w:val="04A0" w:firstRow="1" w:lastRow="0" w:firstColumn="1" w:lastColumn="0" w:noHBand="0" w:noVBand="1"/>
      </w:tblPr>
      <w:tblGrid>
        <w:gridCol w:w="2347"/>
        <w:gridCol w:w="1882"/>
        <w:gridCol w:w="2506"/>
        <w:gridCol w:w="3470"/>
      </w:tblGrid>
      <w:tr w:rsidR="00427A02" w:rsidRPr="008E5B5C" w14:paraId="41D84639" w14:textId="77777777" w:rsidTr="00797139">
        <w:tc>
          <w:tcPr>
            <w:tcW w:w="2347" w:type="dxa"/>
          </w:tcPr>
          <w:p w14:paraId="48D80E77" w14:textId="77777777" w:rsidR="00427A02" w:rsidRPr="008E5B5C" w:rsidRDefault="00427A02" w:rsidP="00797139">
            <w:pPr>
              <w:spacing w:after="160" w:line="259" w:lineRule="auto"/>
              <w:rPr>
                <w:b/>
              </w:rPr>
            </w:pPr>
          </w:p>
        </w:tc>
        <w:tc>
          <w:tcPr>
            <w:tcW w:w="1882" w:type="dxa"/>
          </w:tcPr>
          <w:p w14:paraId="23AFD747" w14:textId="77777777" w:rsidR="00427A02" w:rsidRPr="008E5B5C" w:rsidRDefault="00427A02" w:rsidP="00797139">
            <w:pPr>
              <w:spacing w:after="160" w:line="259" w:lineRule="auto"/>
              <w:rPr>
                <w:b/>
              </w:rPr>
            </w:pPr>
            <w:r w:rsidRPr="008E5B5C">
              <w:rPr>
                <w:b/>
              </w:rPr>
              <w:t>Complainer</w:t>
            </w:r>
          </w:p>
        </w:tc>
        <w:tc>
          <w:tcPr>
            <w:tcW w:w="2506" w:type="dxa"/>
          </w:tcPr>
          <w:p w14:paraId="2BE295C9" w14:textId="77777777" w:rsidR="00427A02" w:rsidRPr="008E5B5C" w:rsidRDefault="00427A02" w:rsidP="00797139">
            <w:pPr>
              <w:spacing w:after="160" w:line="259" w:lineRule="auto"/>
              <w:rPr>
                <w:b/>
              </w:rPr>
            </w:pPr>
            <w:r w:rsidRPr="008E5B5C">
              <w:rPr>
                <w:b/>
              </w:rPr>
              <w:t>Department</w:t>
            </w:r>
          </w:p>
        </w:tc>
        <w:tc>
          <w:tcPr>
            <w:tcW w:w="3470" w:type="dxa"/>
          </w:tcPr>
          <w:p w14:paraId="2E991570" w14:textId="77777777" w:rsidR="00427A02" w:rsidRPr="008E5B5C" w:rsidRDefault="00427A02" w:rsidP="00797139">
            <w:pPr>
              <w:spacing w:after="160" w:line="259" w:lineRule="auto"/>
              <w:rPr>
                <w:b/>
              </w:rPr>
            </w:pPr>
            <w:r w:rsidRPr="008E5B5C">
              <w:rPr>
                <w:b/>
              </w:rPr>
              <w:t>Complaint Category</w:t>
            </w:r>
          </w:p>
        </w:tc>
      </w:tr>
      <w:tr w:rsidR="00427A02" w:rsidRPr="008E5B5C" w14:paraId="7F4D059D" w14:textId="77777777" w:rsidTr="00797139">
        <w:tc>
          <w:tcPr>
            <w:tcW w:w="2347" w:type="dxa"/>
            <w:shd w:val="clear" w:color="auto" w:fill="A2D2FF"/>
          </w:tcPr>
          <w:p w14:paraId="210ADF10" w14:textId="49082640" w:rsidR="00427A02" w:rsidRPr="008E5B5C" w:rsidRDefault="00427A02" w:rsidP="00797139">
            <w:pPr>
              <w:spacing w:after="160" w:line="259" w:lineRule="auto"/>
            </w:pPr>
            <w:r w:rsidRPr="008E5B5C">
              <w:t xml:space="preserve">Complaint </w:t>
            </w:r>
            <w:r>
              <w:t>D</w:t>
            </w:r>
          </w:p>
        </w:tc>
        <w:tc>
          <w:tcPr>
            <w:tcW w:w="1882" w:type="dxa"/>
            <w:shd w:val="clear" w:color="auto" w:fill="A2D2FF"/>
          </w:tcPr>
          <w:p w14:paraId="391C20EF" w14:textId="137DF2FC" w:rsidR="00427A02" w:rsidRPr="008E5B5C" w:rsidRDefault="00427A02" w:rsidP="00797139">
            <w:pPr>
              <w:spacing w:after="160" w:line="259" w:lineRule="auto"/>
            </w:pPr>
            <w:r>
              <w:t>Applicant</w:t>
            </w:r>
          </w:p>
        </w:tc>
        <w:tc>
          <w:tcPr>
            <w:tcW w:w="2506" w:type="dxa"/>
            <w:shd w:val="clear" w:color="auto" w:fill="A2D2FF"/>
          </w:tcPr>
          <w:p w14:paraId="07284C8A" w14:textId="5BD84951" w:rsidR="00427A02" w:rsidRPr="008E5B5C" w:rsidRDefault="00427A02" w:rsidP="00797139">
            <w:pPr>
              <w:spacing w:after="160" w:line="259" w:lineRule="auto"/>
            </w:pPr>
            <w:r>
              <w:t>Civil Finance</w:t>
            </w:r>
          </w:p>
        </w:tc>
        <w:tc>
          <w:tcPr>
            <w:tcW w:w="3470" w:type="dxa"/>
            <w:shd w:val="clear" w:color="auto" w:fill="A2D2FF"/>
          </w:tcPr>
          <w:p w14:paraId="300D0A33" w14:textId="497970CA" w:rsidR="00427A02" w:rsidRPr="008E5B5C" w:rsidRDefault="00427A02" w:rsidP="00797139">
            <w:pPr>
              <w:spacing w:after="160" w:line="259" w:lineRule="auto"/>
            </w:pPr>
            <w:r>
              <w:t xml:space="preserve">Dissatisfaction with SLAB </w:t>
            </w:r>
            <w:r w:rsidR="001051D2">
              <w:t>policy or procedures</w:t>
            </w:r>
          </w:p>
        </w:tc>
      </w:tr>
      <w:tr w:rsidR="00427A02" w:rsidRPr="008E5B5C" w14:paraId="041479DB" w14:textId="77777777" w:rsidTr="00427A02">
        <w:tc>
          <w:tcPr>
            <w:tcW w:w="2347" w:type="dxa"/>
            <w:shd w:val="clear" w:color="auto" w:fill="E8E8E8" w:themeFill="background2"/>
          </w:tcPr>
          <w:p w14:paraId="461CF6A2" w14:textId="5A29BF67" w:rsidR="00427A02" w:rsidRPr="008E5B5C" w:rsidRDefault="00427A02" w:rsidP="00797139">
            <w:r w:rsidRPr="008E5B5C">
              <w:t xml:space="preserve">Complaint </w:t>
            </w:r>
            <w:r>
              <w:t>E</w:t>
            </w:r>
          </w:p>
        </w:tc>
        <w:tc>
          <w:tcPr>
            <w:tcW w:w="1882" w:type="dxa"/>
            <w:shd w:val="clear" w:color="auto" w:fill="E8E8E8" w:themeFill="background2"/>
          </w:tcPr>
          <w:p w14:paraId="602E71A7" w14:textId="24EC420E" w:rsidR="00427A02" w:rsidRDefault="00427A02" w:rsidP="00797139">
            <w:r>
              <w:t>Solicitor</w:t>
            </w:r>
          </w:p>
        </w:tc>
        <w:tc>
          <w:tcPr>
            <w:tcW w:w="2506" w:type="dxa"/>
            <w:shd w:val="clear" w:color="auto" w:fill="E8E8E8" w:themeFill="background2"/>
          </w:tcPr>
          <w:p w14:paraId="70CAF479" w14:textId="138185F0" w:rsidR="00427A02" w:rsidRDefault="00427A02" w:rsidP="00797139">
            <w:r>
              <w:t>Civil Finance</w:t>
            </w:r>
          </w:p>
        </w:tc>
        <w:tc>
          <w:tcPr>
            <w:tcW w:w="3470" w:type="dxa"/>
            <w:shd w:val="clear" w:color="auto" w:fill="E8E8E8" w:themeFill="background2"/>
          </w:tcPr>
          <w:p w14:paraId="3511B9DF" w14:textId="5F6E61F0" w:rsidR="00427A02" w:rsidRDefault="001051D2" w:rsidP="00797139">
            <w:r w:rsidRPr="00377557">
              <w:t xml:space="preserve">Poor </w:t>
            </w:r>
            <w:r>
              <w:t>c</w:t>
            </w:r>
            <w:r w:rsidRPr="00377557">
              <w:t xml:space="preserve">ommunication or </w:t>
            </w:r>
            <w:r w:rsidRPr="007809C4">
              <w:t>S</w:t>
            </w:r>
            <w:r w:rsidRPr="00377557">
              <w:t xml:space="preserve">tandard of </w:t>
            </w:r>
            <w:r w:rsidRPr="007809C4">
              <w:t>S</w:t>
            </w:r>
            <w:r w:rsidRPr="00377557">
              <w:t>ervice</w:t>
            </w:r>
          </w:p>
        </w:tc>
      </w:tr>
    </w:tbl>
    <w:p w14:paraId="58F80AF4" w14:textId="32C1524A" w:rsidR="007809C4" w:rsidRDefault="00E65FF1" w:rsidP="00D35E4D">
      <w:r>
        <w:t xml:space="preserve">Complaint </w:t>
      </w:r>
      <w:r w:rsidR="00422DF5">
        <w:t>D</w:t>
      </w:r>
      <w:r>
        <w:t xml:space="preserve"> involved an </w:t>
      </w:r>
      <w:r w:rsidR="007A30B6">
        <w:t xml:space="preserve">applicant who was displeased with the process followed by SLAB. Although the procedures had been followed correctly, there had been an administrative error resulting in a delay in contacting the applicant. As a </w:t>
      </w:r>
      <w:r w:rsidR="001051D2">
        <w:t>result,</w:t>
      </w:r>
      <w:r w:rsidR="007A30B6">
        <w:t xml:space="preserve"> an apology was issued. </w:t>
      </w:r>
    </w:p>
    <w:p w14:paraId="3F6D9FDF" w14:textId="5F30EFA5" w:rsidR="007A30B6" w:rsidRDefault="007A30B6" w:rsidP="00D35E4D">
      <w:r>
        <w:t>Complaint E involved a short delay in releasing funds to a solicitor. The funds were released within 15 days of receipt of the banking details</w:t>
      </w:r>
      <w:r w:rsidR="007E3D05">
        <w:t>. I</w:t>
      </w:r>
      <w:r>
        <w:t>t was acknowledged that this could have been faster</w:t>
      </w:r>
      <w:r w:rsidR="004B050D">
        <w:t xml:space="preserve">, although it was still within our 20 day limit for responding. An apology was provided to the solicitor. </w:t>
      </w:r>
    </w:p>
    <w:p w14:paraId="634F4626" w14:textId="77777777" w:rsidR="00805790" w:rsidRPr="00805790" w:rsidRDefault="00805790" w:rsidP="00805790">
      <w:pPr>
        <w:rPr>
          <w:rFonts w:asciiTheme="majorHAnsi" w:eastAsiaTheme="majorEastAsia" w:hAnsiTheme="majorHAnsi" w:cstheme="majorBidi"/>
          <w:b/>
          <w:sz w:val="32"/>
          <w:szCs w:val="26"/>
        </w:rPr>
      </w:pPr>
      <w:r w:rsidRPr="00805790">
        <w:rPr>
          <w:rFonts w:asciiTheme="majorHAnsi" w:eastAsiaTheme="majorEastAsia" w:hAnsiTheme="majorHAnsi" w:cstheme="majorBidi"/>
          <w:b/>
          <w:sz w:val="32"/>
          <w:szCs w:val="26"/>
        </w:rPr>
        <w:t>Quarter 4, January to March 2025</w:t>
      </w:r>
    </w:p>
    <w:p w14:paraId="412C3C21" w14:textId="68CDCE13" w:rsidR="000F20B0" w:rsidRDefault="00CE3BB4" w:rsidP="0004473A">
      <w:r>
        <w:t xml:space="preserve">In quarter </w:t>
      </w:r>
      <w:r w:rsidR="00805790">
        <w:t>4</w:t>
      </w:r>
      <w:r>
        <w:t xml:space="preserve"> there were </w:t>
      </w:r>
      <w:r w:rsidR="004B050D">
        <w:t xml:space="preserve">seven Investigation Complaints closed. None were upheld. </w:t>
      </w:r>
    </w:p>
    <w:p w14:paraId="377D2C34" w14:textId="026353BA" w:rsidR="000F20B0" w:rsidRDefault="000F20B0" w:rsidP="000F20B0">
      <w:pPr>
        <w:pStyle w:val="Heading1"/>
      </w:pPr>
      <w:r>
        <w:t>Conclusion</w:t>
      </w:r>
    </w:p>
    <w:p w14:paraId="43BC87AA" w14:textId="198AFF28" w:rsidR="007809C4" w:rsidRDefault="000F20B0" w:rsidP="0004473A">
      <w:r>
        <w:t xml:space="preserve">Complaint numbers </w:t>
      </w:r>
      <w:r w:rsidR="0004473A">
        <w:t>were</w:t>
      </w:r>
      <w:r>
        <w:t xml:space="preserve"> low</w:t>
      </w:r>
      <w:r w:rsidR="0004473A">
        <w:t xml:space="preserve"> in the reporting period.</w:t>
      </w:r>
      <w:r>
        <w:t xml:space="preserve"> </w:t>
      </w:r>
      <w:r w:rsidR="00CE3BB4">
        <w:t xml:space="preserve"> </w:t>
      </w:r>
    </w:p>
    <w:p w14:paraId="2C53FF94" w14:textId="2BBC4DAA" w:rsidR="000F20B0" w:rsidRDefault="000F20B0" w:rsidP="0004473A">
      <w:r>
        <w:t xml:space="preserve">Of the complaints that were upheld or partially upheld, these were </w:t>
      </w:r>
      <w:r w:rsidR="0004473A">
        <w:t>because of</w:t>
      </w:r>
      <w:r>
        <w:t xml:space="preserve"> minor errors</w:t>
      </w:r>
      <w:r w:rsidR="00D8408E">
        <w:t xml:space="preserve"> and staff training has been recommended where appropriate. </w:t>
      </w:r>
    </w:p>
    <w:p w14:paraId="716181F4" w14:textId="368FEEB9" w:rsidR="00AB4C34" w:rsidRDefault="00AB4C34" w:rsidP="00AB4C34">
      <w:pPr>
        <w:rPr>
          <w:rStyle w:val="SubtleEmphasis"/>
          <w:lang w:val="en-US"/>
        </w:rPr>
      </w:pPr>
      <w:r w:rsidRPr="005277D3">
        <w:rPr>
          <w:rStyle w:val="Heading1Char"/>
        </w:rPr>
        <w:t>Governance links</w:t>
      </w:r>
      <w:r w:rsidRPr="00AB4C34">
        <w:rPr>
          <w:rStyle w:val="Strong"/>
          <w:lang w:val="en-US"/>
        </w:rPr>
        <w:t xml:space="preserve"> </w:t>
      </w:r>
      <w:r>
        <w:rPr>
          <w:rStyle w:val="Strong"/>
          <w:lang w:val="en-US"/>
        </w:rPr>
        <w:br/>
      </w:r>
      <w:r w:rsidRPr="00AB4C34">
        <w:rPr>
          <w:rStyle w:val="SubtleEmphasis"/>
          <w:lang w:val="en-US"/>
        </w:rPr>
        <w:t>Any relevant information linked to key heads of corporate governance</w:t>
      </w:r>
      <w:r>
        <w:rPr>
          <w:rStyle w:val="SubtleEmphasis"/>
          <w:lang w:val="en-US"/>
        </w:rPr>
        <w:t>.</w:t>
      </w:r>
    </w:p>
    <w:p w14:paraId="2AA65F69" w14:textId="41F9C190"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t>N/A.</w:t>
      </w:r>
    </w:p>
    <w:p w14:paraId="435268D4" w14:textId="4D8B5EBC" w:rsidR="00AB4C34" w:rsidRPr="004E1A5B" w:rsidRDefault="00AB4C34" w:rsidP="004E1A5B">
      <w:pPr>
        <w:pStyle w:val="ListParagraph"/>
        <w:numPr>
          <w:ilvl w:val="0"/>
          <w:numId w:val="7"/>
        </w:numPr>
        <w:rPr>
          <w:rStyle w:val="SubtleEmphasis"/>
          <w:i w:val="0"/>
          <w:iCs w:val="0"/>
        </w:rPr>
      </w:pPr>
      <w:r w:rsidRPr="00AB4C34">
        <w:rPr>
          <w:rStyle w:val="SubtleEmphasis"/>
          <w:b/>
          <w:bCs/>
          <w:i w:val="0"/>
          <w:iCs w:val="0"/>
          <w:lang w:val="en-US"/>
        </w:rPr>
        <w:lastRenderedPageBreak/>
        <w:t>Risk</w:t>
      </w:r>
      <w:r w:rsidRPr="00AB4C34">
        <w:rPr>
          <w:rStyle w:val="SubtleEmphasis"/>
          <w:b/>
          <w:bCs/>
          <w:i w:val="0"/>
          <w:iCs w:val="0"/>
          <w:lang w:val="en-US"/>
        </w:rPr>
        <w:tab/>
      </w:r>
      <w:r>
        <w:rPr>
          <w:rStyle w:val="SubtleEmphasis"/>
          <w:b/>
          <w:bCs/>
          <w:i w:val="0"/>
          <w:iCs w:val="0"/>
          <w:lang w:val="en-US"/>
        </w:rPr>
        <w:br/>
      </w:r>
      <w:r w:rsidR="004E1A5B" w:rsidRPr="004E1A5B">
        <w:t>Complaints are an important way in which we can assess our service. Acting because of upheld complaints is a key control for several risks that we face.</w:t>
      </w:r>
    </w:p>
    <w:p w14:paraId="6FA85DF9" w14:textId="1ABCDDDF" w:rsidR="00AB4C34" w:rsidRPr="004E1A5B" w:rsidRDefault="00AB4C34" w:rsidP="004E1A5B">
      <w:pPr>
        <w:pStyle w:val="ListParagraph"/>
        <w:numPr>
          <w:ilvl w:val="0"/>
          <w:numId w:val="7"/>
        </w:numPr>
        <w:rPr>
          <w:rStyle w:val="SubtleEmphasis"/>
          <w:i w:val="0"/>
          <w:iCs w:val="0"/>
        </w:rPr>
      </w:pPr>
      <w:r w:rsidRPr="00AB4C34">
        <w:rPr>
          <w:rStyle w:val="SubtleEmphasis"/>
          <w:b/>
          <w:bCs/>
          <w:i w:val="0"/>
          <w:iCs w:val="0"/>
          <w:lang w:val="en-US"/>
        </w:rPr>
        <w:t>Legal and compliance</w:t>
      </w:r>
      <w:r>
        <w:rPr>
          <w:rStyle w:val="SubtleEmphasis"/>
          <w:b/>
          <w:bCs/>
          <w:i w:val="0"/>
          <w:iCs w:val="0"/>
          <w:lang w:val="en-US"/>
        </w:rPr>
        <w:br/>
      </w:r>
      <w:r w:rsidR="004E1A5B" w:rsidRPr="004E1A5B">
        <w:t xml:space="preserve">Our complaints handling procedure follows a mandatory model supplied by the Scottish Public Services Ombudsman. </w:t>
      </w:r>
    </w:p>
    <w:p w14:paraId="4329765E" w14:textId="5A987D24"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t>N/A.</w:t>
      </w:r>
    </w:p>
    <w:p w14:paraId="31F36A62" w14:textId="2705B2B5"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t>N/A.</w:t>
      </w:r>
    </w:p>
    <w:p w14:paraId="13BBA661" w14:textId="20A5A16C"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t>N/A.</w:t>
      </w:r>
    </w:p>
    <w:p w14:paraId="27EFF332" w14:textId="5A83B04B" w:rsidR="00AB4C34" w:rsidRPr="004E1A5B" w:rsidRDefault="00AB4C34" w:rsidP="004E1A5B">
      <w:pPr>
        <w:pStyle w:val="ListParagraph"/>
        <w:numPr>
          <w:ilvl w:val="0"/>
          <w:numId w:val="7"/>
        </w:numPr>
      </w:pPr>
      <w:r w:rsidRPr="00AB4C34">
        <w:rPr>
          <w:rStyle w:val="SubtleEmphasis"/>
          <w:b/>
          <w:bCs/>
          <w:i w:val="0"/>
          <w:iCs w:val="0"/>
          <w:lang w:val="en-US"/>
        </w:rPr>
        <w:t>Communications and engagement</w:t>
      </w:r>
      <w:r>
        <w:rPr>
          <w:rStyle w:val="SubtleEmphasis"/>
          <w:b/>
          <w:bCs/>
          <w:i w:val="0"/>
          <w:iCs w:val="0"/>
          <w:lang w:val="en-US"/>
        </w:rPr>
        <w:br/>
      </w:r>
      <w:r w:rsidR="004E1A5B" w:rsidRPr="004E1A5B">
        <w:t>This paper will be published as part of our ongoing commitment to publish board papers.</w:t>
      </w:r>
    </w:p>
    <w:p w14:paraId="1A03E8EA" w14:textId="230B1614" w:rsidR="00AB4C34" w:rsidRDefault="00AB4C34" w:rsidP="005277D3">
      <w:pPr>
        <w:pStyle w:val="Heading1"/>
      </w:pPr>
      <w:r>
        <w:t xml:space="preserve">Conclusion and next steps </w:t>
      </w:r>
    </w:p>
    <w:p w14:paraId="23CB836C" w14:textId="77777777" w:rsidR="004E1A5B" w:rsidRPr="004E1A5B" w:rsidRDefault="004E1A5B" w:rsidP="004E1A5B">
      <w:pPr>
        <w:pStyle w:val="ListParagraph"/>
        <w:numPr>
          <w:ilvl w:val="0"/>
          <w:numId w:val="7"/>
        </w:numPr>
      </w:pPr>
      <w:r w:rsidRPr="004E1A5B">
        <w:t xml:space="preserve">Members are asked to note and comment on the report. </w:t>
      </w:r>
    </w:p>
    <w:p w14:paraId="3DCE1E92" w14:textId="77777777" w:rsidR="008F2467" w:rsidRDefault="008F2467" w:rsidP="005277D3">
      <w:pPr>
        <w:pStyle w:val="Heading1"/>
        <w:sectPr w:rsidR="008F2467" w:rsidSect="00114434">
          <w:footerReference w:type="default" r:id="rId12"/>
          <w:pgSz w:w="11906" w:h="16838"/>
          <w:pgMar w:top="720" w:right="720" w:bottom="720" w:left="720" w:header="708" w:footer="708" w:gutter="0"/>
          <w:cols w:space="708"/>
          <w:docGrid w:linePitch="360"/>
        </w:sectPr>
      </w:pPr>
    </w:p>
    <w:p w14:paraId="4B2CA4F9" w14:textId="4E2B2668" w:rsidR="00AB4C34" w:rsidRDefault="00AB4C34" w:rsidP="005277D3">
      <w:pPr>
        <w:pStyle w:val="Heading1"/>
      </w:pPr>
      <w:r>
        <w:lastRenderedPageBreak/>
        <w:t>Appendix and/or further reading links</w:t>
      </w:r>
    </w:p>
    <w:p w14:paraId="402FC1F6" w14:textId="1F9CF0F7" w:rsidR="00AB4C34" w:rsidRDefault="008F2467" w:rsidP="000E44DD">
      <w:pPr>
        <w:pStyle w:val="Heading2"/>
      </w:pPr>
      <w:r>
        <w:t>Appendix A – Tables</w:t>
      </w:r>
    </w:p>
    <w:p w14:paraId="1C4F3295" w14:textId="06F02E01" w:rsidR="008F2467" w:rsidRDefault="008F2467" w:rsidP="000E44DD">
      <w:pPr>
        <w:pStyle w:val="Heading2"/>
      </w:pPr>
      <w:bookmarkStart w:id="0" w:name="_Table_1_–"/>
      <w:bookmarkEnd w:id="0"/>
      <w:r>
        <w:t>Table 1 – Q</w:t>
      </w:r>
      <w:r w:rsidR="007E3D05">
        <w:t>3</w:t>
      </w:r>
      <w:r>
        <w:t xml:space="preserve"> Frontline Complaints</w:t>
      </w:r>
    </w:p>
    <w:p w14:paraId="2FF72049" w14:textId="10D7F06E" w:rsidR="008F2467" w:rsidRDefault="002618CF" w:rsidP="00AB4C34">
      <w:pPr>
        <w:rPr>
          <w:rStyle w:val="SubtleEmphasis"/>
          <w:i w:val="0"/>
          <w:iCs w:val="0"/>
        </w:rPr>
      </w:pPr>
      <w:r w:rsidRPr="002618CF">
        <w:rPr>
          <w:rStyle w:val="SubtleEmphasis"/>
          <w:i w:val="0"/>
          <w:iCs w:val="0"/>
          <w:noProof/>
        </w:rPr>
        <w:drawing>
          <wp:inline distT="0" distB="0" distL="0" distR="0" wp14:anchorId="23FD9E1E" wp14:editId="37677A34">
            <wp:extent cx="9777730" cy="558165"/>
            <wp:effectExtent l="0" t="0" r="0" b="0"/>
            <wp:docPr id="5721628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62832"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77730" cy="558165"/>
                    </a:xfrm>
                    <a:prstGeom prst="rect">
                      <a:avLst/>
                    </a:prstGeom>
                    <a:noFill/>
                    <a:ln>
                      <a:noFill/>
                    </a:ln>
                  </pic:spPr>
                </pic:pic>
              </a:graphicData>
            </a:graphic>
          </wp:inline>
        </w:drawing>
      </w:r>
    </w:p>
    <w:p w14:paraId="46077B6C" w14:textId="6D671EF9" w:rsidR="008F2467" w:rsidRPr="000E44DD" w:rsidRDefault="008F2467" w:rsidP="000E44DD">
      <w:pPr>
        <w:pStyle w:val="Heading2"/>
        <w:rPr>
          <w:rStyle w:val="SubtleEmphasis"/>
          <w:rFonts w:asciiTheme="majorHAnsi" w:hAnsiTheme="majorHAnsi"/>
          <w:i w:val="0"/>
          <w:iCs w:val="0"/>
          <w:sz w:val="32"/>
        </w:rPr>
      </w:pPr>
      <w:bookmarkStart w:id="1" w:name="_Table_2_–"/>
      <w:bookmarkEnd w:id="1"/>
      <w:r w:rsidRPr="000E44DD">
        <w:rPr>
          <w:rStyle w:val="SubtleEmphasis"/>
          <w:rFonts w:asciiTheme="majorHAnsi" w:hAnsiTheme="majorHAnsi"/>
          <w:i w:val="0"/>
          <w:iCs w:val="0"/>
          <w:sz w:val="32"/>
        </w:rPr>
        <w:t>Table 2 – Q</w:t>
      </w:r>
      <w:r w:rsidR="007E3D05" w:rsidRPr="000E44DD">
        <w:rPr>
          <w:rStyle w:val="SubtleEmphasis"/>
          <w:rFonts w:asciiTheme="majorHAnsi" w:hAnsiTheme="majorHAnsi"/>
          <w:i w:val="0"/>
          <w:iCs w:val="0"/>
          <w:sz w:val="32"/>
        </w:rPr>
        <w:t>4</w:t>
      </w:r>
      <w:r w:rsidRPr="000E44DD">
        <w:rPr>
          <w:rStyle w:val="SubtleEmphasis"/>
          <w:rFonts w:asciiTheme="majorHAnsi" w:hAnsiTheme="majorHAnsi"/>
          <w:i w:val="0"/>
          <w:iCs w:val="0"/>
          <w:sz w:val="32"/>
        </w:rPr>
        <w:t xml:space="preserve"> Frontline Complaints</w:t>
      </w:r>
    </w:p>
    <w:p w14:paraId="43C3C23A" w14:textId="1A67D1C2" w:rsidR="008F2467" w:rsidRDefault="00E54957" w:rsidP="00AB4C34">
      <w:pPr>
        <w:rPr>
          <w:rStyle w:val="SubtleEmphasis"/>
          <w:i w:val="0"/>
          <w:iCs w:val="0"/>
        </w:rPr>
      </w:pPr>
      <w:r w:rsidRPr="00E54957">
        <w:rPr>
          <w:rStyle w:val="SubtleEmphasis"/>
          <w:i w:val="0"/>
          <w:iCs w:val="0"/>
          <w:noProof/>
        </w:rPr>
        <w:drawing>
          <wp:inline distT="0" distB="0" distL="0" distR="0" wp14:anchorId="2E50BAB9" wp14:editId="17C7F59C">
            <wp:extent cx="9777730" cy="694055"/>
            <wp:effectExtent l="0" t="0" r="0" b="0"/>
            <wp:docPr id="50479370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93702"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694055"/>
                    </a:xfrm>
                    <a:prstGeom prst="rect">
                      <a:avLst/>
                    </a:prstGeom>
                    <a:noFill/>
                    <a:ln>
                      <a:noFill/>
                    </a:ln>
                  </pic:spPr>
                </pic:pic>
              </a:graphicData>
            </a:graphic>
          </wp:inline>
        </w:drawing>
      </w:r>
    </w:p>
    <w:p w14:paraId="0E942EC3" w14:textId="5C58AF5A" w:rsidR="008F2467" w:rsidRPr="000E44DD" w:rsidRDefault="008F2467" w:rsidP="000E44DD">
      <w:pPr>
        <w:pStyle w:val="Heading2"/>
        <w:rPr>
          <w:rStyle w:val="SubtleEmphasis"/>
          <w:rFonts w:asciiTheme="majorHAnsi" w:hAnsiTheme="majorHAnsi"/>
          <w:i w:val="0"/>
          <w:iCs w:val="0"/>
          <w:sz w:val="32"/>
        </w:rPr>
      </w:pPr>
      <w:bookmarkStart w:id="2" w:name="_Table_3_–"/>
      <w:bookmarkEnd w:id="2"/>
      <w:r w:rsidRPr="000E44DD">
        <w:rPr>
          <w:rStyle w:val="SubtleEmphasis"/>
          <w:rFonts w:asciiTheme="majorHAnsi" w:hAnsiTheme="majorHAnsi"/>
          <w:i w:val="0"/>
          <w:iCs w:val="0"/>
          <w:sz w:val="32"/>
        </w:rPr>
        <w:t>Table 3 – Q</w:t>
      </w:r>
      <w:r w:rsidR="007E3D05" w:rsidRPr="000E44DD">
        <w:rPr>
          <w:rStyle w:val="SubtleEmphasis"/>
          <w:rFonts w:asciiTheme="majorHAnsi" w:hAnsiTheme="majorHAnsi"/>
          <w:i w:val="0"/>
          <w:iCs w:val="0"/>
          <w:sz w:val="32"/>
        </w:rPr>
        <w:t>3</w:t>
      </w:r>
      <w:r w:rsidRPr="000E44DD">
        <w:rPr>
          <w:rStyle w:val="SubtleEmphasis"/>
          <w:rFonts w:asciiTheme="majorHAnsi" w:hAnsiTheme="majorHAnsi"/>
          <w:i w:val="0"/>
          <w:iCs w:val="0"/>
          <w:sz w:val="32"/>
        </w:rPr>
        <w:t xml:space="preserve"> Investigation Complaints</w:t>
      </w:r>
    </w:p>
    <w:p w14:paraId="0117A451" w14:textId="454AD9E9" w:rsidR="008F2467" w:rsidRDefault="002618CF" w:rsidP="00AB4C34">
      <w:pPr>
        <w:rPr>
          <w:rStyle w:val="SubtleEmphasis"/>
          <w:i w:val="0"/>
          <w:iCs w:val="0"/>
        </w:rPr>
      </w:pPr>
      <w:r w:rsidRPr="002618CF">
        <w:rPr>
          <w:rStyle w:val="SubtleEmphasis"/>
          <w:i w:val="0"/>
          <w:iCs w:val="0"/>
          <w:noProof/>
        </w:rPr>
        <w:drawing>
          <wp:inline distT="0" distB="0" distL="0" distR="0" wp14:anchorId="7EB5CC9E" wp14:editId="6D26178B">
            <wp:extent cx="9777730" cy="619125"/>
            <wp:effectExtent l="0" t="0" r="0" b="9525"/>
            <wp:docPr id="59495017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50176" name="Picture 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7730" cy="619125"/>
                    </a:xfrm>
                    <a:prstGeom prst="rect">
                      <a:avLst/>
                    </a:prstGeom>
                    <a:noFill/>
                    <a:ln>
                      <a:noFill/>
                    </a:ln>
                  </pic:spPr>
                </pic:pic>
              </a:graphicData>
            </a:graphic>
          </wp:inline>
        </w:drawing>
      </w:r>
    </w:p>
    <w:p w14:paraId="30A386C1" w14:textId="696791A3" w:rsidR="008F2467" w:rsidRPr="000E44DD" w:rsidRDefault="008F2467" w:rsidP="000E44DD">
      <w:pPr>
        <w:pStyle w:val="Heading2"/>
        <w:rPr>
          <w:rStyle w:val="SubtleEmphasis"/>
          <w:rFonts w:asciiTheme="majorHAnsi" w:hAnsiTheme="majorHAnsi"/>
          <w:i w:val="0"/>
          <w:iCs w:val="0"/>
          <w:sz w:val="32"/>
        </w:rPr>
      </w:pPr>
      <w:r w:rsidRPr="000E44DD">
        <w:rPr>
          <w:rStyle w:val="SubtleEmphasis"/>
          <w:rFonts w:asciiTheme="majorHAnsi" w:hAnsiTheme="majorHAnsi"/>
          <w:i w:val="0"/>
          <w:iCs w:val="0"/>
          <w:sz w:val="32"/>
        </w:rPr>
        <w:t>Table 4 – Q</w:t>
      </w:r>
      <w:r w:rsidR="007E3D05" w:rsidRPr="000E44DD">
        <w:rPr>
          <w:rStyle w:val="SubtleEmphasis"/>
          <w:rFonts w:asciiTheme="majorHAnsi" w:hAnsiTheme="majorHAnsi"/>
          <w:i w:val="0"/>
          <w:iCs w:val="0"/>
          <w:sz w:val="32"/>
        </w:rPr>
        <w:t>4</w:t>
      </w:r>
      <w:r w:rsidRPr="000E44DD">
        <w:rPr>
          <w:rStyle w:val="SubtleEmphasis"/>
          <w:rFonts w:asciiTheme="majorHAnsi" w:hAnsiTheme="majorHAnsi"/>
          <w:i w:val="0"/>
          <w:iCs w:val="0"/>
          <w:sz w:val="32"/>
        </w:rPr>
        <w:t xml:space="preserve"> Investigation Complaints</w:t>
      </w:r>
    </w:p>
    <w:p w14:paraId="0DAA252E" w14:textId="16338C5E" w:rsidR="008F2467" w:rsidRDefault="002618CF" w:rsidP="00AB4C34">
      <w:pPr>
        <w:rPr>
          <w:rStyle w:val="SubtleEmphasis"/>
          <w:i w:val="0"/>
          <w:iCs w:val="0"/>
        </w:rPr>
      </w:pPr>
      <w:r w:rsidRPr="002618CF">
        <w:rPr>
          <w:rStyle w:val="SubtleEmphasis"/>
          <w:i w:val="0"/>
          <w:iCs w:val="0"/>
          <w:noProof/>
        </w:rPr>
        <w:drawing>
          <wp:inline distT="0" distB="0" distL="0" distR="0" wp14:anchorId="11E05AD9" wp14:editId="69622056">
            <wp:extent cx="9777730" cy="921385"/>
            <wp:effectExtent l="0" t="0" r="0" b="0"/>
            <wp:docPr id="6999092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0923" name="Picture 4">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7730" cy="921385"/>
                    </a:xfrm>
                    <a:prstGeom prst="rect">
                      <a:avLst/>
                    </a:prstGeom>
                    <a:noFill/>
                    <a:ln>
                      <a:noFill/>
                    </a:ln>
                  </pic:spPr>
                </pic:pic>
              </a:graphicData>
            </a:graphic>
          </wp:inline>
        </w:drawing>
      </w:r>
    </w:p>
    <w:p w14:paraId="7ECFB501" w14:textId="77777777" w:rsidR="00316338" w:rsidRDefault="00316338" w:rsidP="00AB4C34">
      <w:pPr>
        <w:rPr>
          <w:rStyle w:val="SubtleEmphasis"/>
          <w:i w:val="0"/>
          <w:iCs w:val="0"/>
        </w:rPr>
      </w:pPr>
    </w:p>
    <w:p w14:paraId="576E958E" w14:textId="252DCE82" w:rsidR="00316338" w:rsidRPr="000E44DD" w:rsidRDefault="00316338" w:rsidP="000E44DD">
      <w:pPr>
        <w:pStyle w:val="Heading2"/>
        <w:rPr>
          <w:rStyle w:val="SubtleEmphasis"/>
          <w:rFonts w:asciiTheme="majorHAnsi" w:hAnsiTheme="majorHAnsi"/>
          <w:i w:val="0"/>
          <w:iCs w:val="0"/>
          <w:sz w:val="32"/>
        </w:rPr>
      </w:pPr>
      <w:bookmarkStart w:id="3" w:name="_Table_5_–"/>
      <w:bookmarkEnd w:id="3"/>
      <w:r w:rsidRPr="000E44DD">
        <w:rPr>
          <w:rStyle w:val="SubtleEmphasis"/>
          <w:rFonts w:asciiTheme="majorHAnsi" w:hAnsiTheme="majorHAnsi"/>
          <w:i w:val="0"/>
          <w:iCs w:val="0"/>
          <w:sz w:val="32"/>
        </w:rPr>
        <w:lastRenderedPageBreak/>
        <w:t>Table 5 – Quarter by Quarter Comparison</w:t>
      </w:r>
    </w:p>
    <w:p w14:paraId="7459B54A" w14:textId="7EABE23C" w:rsidR="00316338" w:rsidRPr="00AB4C34" w:rsidRDefault="002618CF" w:rsidP="00AB4C34">
      <w:pPr>
        <w:rPr>
          <w:rStyle w:val="SubtleEmphasis"/>
          <w:i w:val="0"/>
          <w:iCs w:val="0"/>
        </w:rPr>
      </w:pPr>
      <w:r w:rsidRPr="002618CF">
        <w:rPr>
          <w:rStyle w:val="SubtleEmphasis"/>
          <w:i w:val="0"/>
          <w:iCs w:val="0"/>
          <w:noProof/>
        </w:rPr>
        <w:drawing>
          <wp:inline distT="0" distB="0" distL="0" distR="0" wp14:anchorId="114682F6" wp14:editId="747F725C">
            <wp:extent cx="9777730" cy="2333625"/>
            <wp:effectExtent l="0" t="0" r="0" b="9525"/>
            <wp:docPr id="161320014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00147" name="Picture 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2333625"/>
                    </a:xfrm>
                    <a:prstGeom prst="rect">
                      <a:avLst/>
                    </a:prstGeom>
                    <a:noFill/>
                    <a:ln>
                      <a:noFill/>
                    </a:ln>
                  </pic:spPr>
                </pic:pic>
              </a:graphicData>
            </a:graphic>
          </wp:inline>
        </w:drawing>
      </w:r>
    </w:p>
    <w:sectPr w:rsidR="00316338" w:rsidRPr="00AB4C34" w:rsidSect="008F246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AA86" w14:textId="77777777" w:rsidR="000B2463" w:rsidRDefault="000B2463" w:rsidP="00CC679C">
      <w:r>
        <w:separator/>
      </w:r>
    </w:p>
  </w:endnote>
  <w:endnote w:type="continuationSeparator" w:id="0">
    <w:p w14:paraId="5FB8EF53" w14:textId="77777777" w:rsidR="000B2463" w:rsidRDefault="000B2463" w:rsidP="00CC679C">
      <w:r>
        <w:continuationSeparator/>
      </w:r>
    </w:p>
  </w:endnote>
  <w:endnote w:type="continuationNotice" w:id="1">
    <w:p w14:paraId="37773B95" w14:textId="77777777" w:rsidR="000B2463" w:rsidRDefault="000B2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Default="00432B96" w:rsidP="00CC679C">
    <w:pPr>
      <w:pStyle w:val="Footer"/>
    </w:pPr>
  </w:p>
  <w:p w14:paraId="70E686FE" w14:textId="4A984251" w:rsidR="00432B96" w:rsidRPr="00042C78" w:rsidRDefault="00AB4C34" w:rsidP="00CC679C">
    <w:r w:rsidRPr="00042C78">
      <w:t xml:space="preserve">SLAB: Board </w:t>
    </w:r>
    <w:r w:rsidR="00F14DC9">
      <w:t>r</w:t>
    </w:r>
    <w:r w:rsidRPr="00042C78">
      <w:t>eport</w:t>
    </w:r>
    <w:r w:rsidR="00485408">
      <w:t xml:space="preserve"> </w:t>
    </w:r>
    <w:r w:rsidR="00951A81">
      <w:t xml:space="preserve">– </w:t>
    </w:r>
    <w:r w:rsidR="00485408">
      <w:t>Complaints Update Q</w:t>
    </w:r>
    <w:r w:rsidR="007E3D05">
      <w:t>3</w:t>
    </w:r>
    <w:r w:rsidR="00485408">
      <w:t xml:space="preserve"> &amp; </w:t>
    </w:r>
    <w:r w:rsidR="00951A81">
      <w:t>Q</w:t>
    </w:r>
    <w:r w:rsidR="007E3D05">
      <w:t>4</w:t>
    </w:r>
    <w:r w:rsidRPr="00042C78">
      <w:tab/>
      <w:t xml:space="preserve">                                </w:t>
    </w:r>
    <w:r w:rsidR="008F7C78" w:rsidRPr="00042C78">
      <w:tab/>
    </w:r>
    <w:r w:rsidR="008F7C78" w:rsidRPr="00042C78">
      <w:tab/>
    </w:r>
    <w:r w:rsidR="000414F3">
      <w:t xml:space="preserve">              </w:t>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73AE" w14:textId="77777777" w:rsidR="000B2463" w:rsidRDefault="000B2463" w:rsidP="00CC679C">
      <w:r>
        <w:separator/>
      </w:r>
    </w:p>
  </w:footnote>
  <w:footnote w:type="continuationSeparator" w:id="0">
    <w:p w14:paraId="26704683" w14:textId="77777777" w:rsidR="000B2463" w:rsidRDefault="000B2463" w:rsidP="00CC679C">
      <w:r>
        <w:continuationSeparator/>
      </w:r>
    </w:p>
  </w:footnote>
  <w:footnote w:type="continuationNotice" w:id="1">
    <w:p w14:paraId="131AFCFB" w14:textId="77777777" w:rsidR="000B2463" w:rsidRDefault="000B24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FBB68"/>
    <w:multiLevelType w:val="hybridMultilevel"/>
    <w:tmpl w:val="2BA490C4"/>
    <w:lvl w:ilvl="0" w:tplc="40DCC21E">
      <w:start w:val="1"/>
      <w:numFmt w:val="bullet"/>
      <w:lvlText w:val=""/>
      <w:lvlJc w:val="left"/>
      <w:pPr>
        <w:ind w:left="720" w:hanging="360"/>
      </w:pPr>
      <w:rPr>
        <w:rFonts w:ascii="Symbol" w:hAnsi="Symbol" w:hint="default"/>
      </w:rPr>
    </w:lvl>
    <w:lvl w:ilvl="1" w:tplc="A48616D2">
      <w:start w:val="1"/>
      <w:numFmt w:val="bullet"/>
      <w:lvlText w:val="o"/>
      <w:lvlJc w:val="left"/>
      <w:pPr>
        <w:ind w:left="1440" w:hanging="360"/>
      </w:pPr>
      <w:rPr>
        <w:rFonts w:ascii="Courier New" w:hAnsi="Courier New" w:hint="default"/>
      </w:rPr>
    </w:lvl>
    <w:lvl w:ilvl="2" w:tplc="E272AEF6">
      <w:start w:val="1"/>
      <w:numFmt w:val="bullet"/>
      <w:lvlText w:val=""/>
      <w:lvlJc w:val="left"/>
      <w:pPr>
        <w:ind w:left="2160" w:hanging="360"/>
      </w:pPr>
      <w:rPr>
        <w:rFonts w:ascii="Wingdings" w:hAnsi="Wingdings" w:hint="default"/>
      </w:rPr>
    </w:lvl>
    <w:lvl w:ilvl="3" w:tplc="99F03CB2">
      <w:start w:val="1"/>
      <w:numFmt w:val="bullet"/>
      <w:lvlText w:val=""/>
      <w:lvlJc w:val="left"/>
      <w:pPr>
        <w:ind w:left="2880" w:hanging="360"/>
      </w:pPr>
      <w:rPr>
        <w:rFonts w:ascii="Symbol" w:hAnsi="Symbol" w:hint="default"/>
      </w:rPr>
    </w:lvl>
    <w:lvl w:ilvl="4" w:tplc="03BA4DD0">
      <w:start w:val="1"/>
      <w:numFmt w:val="bullet"/>
      <w:lvlText w:val="o"/>
      <w:lvlJc w:val="left"/>
      <w:pPr>
        <w:ind w:left="3600" w:hanging="360"/>
      </w:pPr>
      <w:rPr>
        <w:rFonts w:ascii="Courier New" w:hAnsi="Courier New" w:hint="default"/>
      </w:rPr>
    </w:lvl>
    <w:lvl w:ilvl="5" w:tplc="7AC07B6A">
      <w:start w:val="1"/>
      <w:numFmt w:val="bullet"/>
      <w:lvlText w:val=""/>
      <w:lvlJc w:val="left"/>
      <w:pPr>
        <w:ind w:left="4320" w:hanging="360"/>
      </w:pPr>
      <w:rPr>
        <w:rFonts w:ascii="Wingdings" w:hAnsi="Wingdings" w:hint="default"/>
      </w:rPr>
    </w:lvl>
    <w:lvl w:ilvl="6" w:tplc="EF1CAC02">
      <w:start w:val="1"/>
      <w:numFmt w:val="bullet"/>
      <w:lvlText w:val=""/>
      <w:lvlJc w:val="left"/>
      <w:pPr>
        <w:ind w:left="5040" w:hanging="360"/>
      </w:pPr>
      <w:rPr>
        <w:rFonts w:ascii="Symbol" w:hAnsi="Symbol" w:hint="default"/>
      </w:rPr>
    </w:lvl>
    <w:lvl w:ilvl="7" w:tplc="3DB238C2">
      <w:start w:val="1"/>
      <w:numFmt w:val="bullet"/>
      <w:lvlText w:val="o"/>
      <w:lvlJc w:val="left"/>
      <w:pPr>
        <w:ind w:left="5760" w:hanging="360"/>
      </w:pPr>
      <w:rPr>
        <w:rFonts w:ascii="Courier New" w:hAnsi="Courier New" w:hint="default"/>
      </w:rPr>
    </w:lvl>
    <w:lvl w:ilvl="8" w:tplc="C8307650">
      <w:start w:val="1"/>
      <w:numFmt w:val="bullet"/>
      <w:lvlText w:val=""/>
      <w:lvlJc w:val="left"/>
      <w:pPr>
        <w:ind w:left="6480" w:hanging="360"/>
      </w:pPr>
      <w:rPr>
        <w:rFonts w:ascii="Wingdings" w:hAnsi="Wingdings" w:hint="default"/>
      </w:rPr>
    </w:lvl>
  </w:abstractNum>
  <w:abstractNum w:abstractNumId="2" w15:restartNumberingAfterBreak="0">
    <w:nsid w:val="283989B2"/>
    <w:multiLevelType w:val="hybridMultilevel"/>
    <w:tmpl w:val="CDD2A12E"/>
    <w:lvl w:ilvl="0" w:tplc="F4CAADCE">
      <w:start w:val="3"/>
      <w:numFmt w:val="decimal"/>
      <w:lvlText w:val="%1."/>
      <w:lvlJc w:val="left"/>
      <w:pPr>
        <w:ind w:left="720" w:hanging="360"/>
      </w:pPr>
    </w:lvl>
    <w:lvl w:ilvl="1" w:tplc="54D00988">
      <w:start w:val="1"/>
      <w:numFmt w:val="lowerLetter"/>
      <w:lvlText w:val="%2."/>
      <w:lvlJc w:val="left"/>
      <w:pPr>
        <w:ind w:left="1440" w:hanging="360"/>
      </w:pPr>
    </w:lvl>
    <w:lvl w:ilvl="2" w:tplc="FB2AFD5A">
      <w:start w:val="1"/>
      <w:numFmt w:val="lowerRoman"/>
      <w:lvlText w:val="%3."/>
      <w:lvlJc w:val="right"/>
      <w:pPr>
        <w:ind w:left="2160" w:hanging="180"/>
      </w:pPr>
    </w:lvl>
    <w:lvl w:ilvl="3" w:tplc="017669A0">
      <w:start w:val="1"/>
      <w:numFmt w:val="decimal"/>
      <w:lvlText w:val="%4."/>
      <w:lvlJc w:val="left"/>
      <w:pPr>
        <w:ind w:left="2880" w:hanging="360"/>
      </w:pPr>
    </w:lvl>
    <w:lvl w:ilvl="4" w:tplc="BC5249D0">
      <w:start w:val="1"/>
      <w:numFmt w:val="lowerLetter"/>
      <w:lvlText w:val="%5."/>
      <w:lvlJc w:val="left"/>
      <w:pPr>
        <w:ind w:left="3600" w:hanging="360"/>
      </w:pPr>
    </w:lvl>
    <w:lvl w:ilvl="5" w:tplc="1D965440">
      <w:start w:val="1"/>
      <w:numFmt w:val="lowerRoman"/>
      <w:lvlText w:val="%6."/>
      <w:lvlJc w:val="right"/>
      <w:pPr>
        <w:ind w:left="4320" w:hanging="180"/>
      </w:pPr>
    </w:lvl>
    <w:lvl w:ilvl="6" w:tplc="8288175A">
      <w:start w:val="1"/>
      <w:numFmt w:val="decimal"/>
      <w:lvlText w:val="%7."/>
      <w:lvlJc w:val="left"/>
      <w:pPr>
        <w:ind w:left="5040" w:hanging="360"/>
      </w:pPr>
    </w:lvl>
    <w:lvl w:ilvl="7" w:tplc="5C849F48">
      <w:start w:val="1"/>
      <w:numFmt w:val="lowerLetter"/>
      <w:lvlText w:val="%8."/>
      <w:lvlJc w:val="left"/>
      <w:pPr>
        <w:ind w:left="5760" w:hanging="360"/>
      </w:pPr>
    </w:lvl>
    <w:lvl w:ilvl="8" w:tplc="1C60E3D0">
      <w:start w:val="1"/>
      <w:numFmt w:val="lowerRoman"/>
      <w:lvlText w:val="%9."/>
      <w:lvlJc w:val="right"/>
      <w:pPr>
        <w:ind w:left="6480" w:hanging="180"/>
      </w:pPr>
    </w:lvl>
  </w:abstractNum>
  <w:abstractNum w:abstractNumId="3"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BE884C"/>
    <w:multiLevelType w:val="hybridMultilevel"/>
    <w:tmpl w:val="8DD82826"/>
    <w:lvl w:ilvl="0" w:tplc="B808B7F6">
      <w:start w:val="1"/>
      <w:numFmt w:val="decimal"/>
      <w:lvlText w:val="%1."/>
      <w:lvlJc w:val="left"/>
      <w:pPr>
        <w:ind w:left="720" w:hanging="360"/>
      </w:pPr>
    </w:lvl>
    <w:lvl w:ilvl="1" w:tplc="D548D57C">
      <w:start w:val="1"/>
      <w:numFmt w:val="lowerLetter"/>
      <w:lvlText w:val="%2."/>
      <w:lvlJc w:val="left"/>
      <w:pPr>
        <w:ind w:left="1440" w:hanging="360"/>
      </w:pPr>
    </w:lvl>
    <w:lvl w:ilvl="2" w:tplc="AEB02F4E">
      <w:start w:val="1"/>
      <w:numFmt w:val="lowerRoman"/>
      <w:lvlText w:val="%3."/>
      <w:lvlJc w:val="right"/>
      <w:pPr>
        <w:ind w:left="2160" w:hanging="180"/>
      </w:pPr>
    </w:lvl>
    <w:lvl w:ilvl="3" w:tplc="2764B07A">
      <w:start w:val="1"/>
      <w:numFmt w:val="decimal"/>
      <w:lvlText w:val="%4."/>
      <w:lvlJc w:val="left"/>
      <w:pPr>
        <w:ind w:left="2880" w:hanging="360"/>
      </w:pPr>
    </w:lvl>
    <w:lvl w:ilvl="4" w:tplc="C0226A16">
      <w:start w:val="1"/>
      <w:numFmt w:val="lowerLetter"/>
      <w:lvlText w:val="%5."/>
      <w:lvlJc w:val="left"/>
      <w:pPr>
        <w:ind w:left="3600" w:hanging="360"/>
      </w:pPr>
    </w:lvl>
    <w:lvl w:ilvl="5" w:tplc="3CFAA992">
      <w:start w:val="1"/>
      <w:numFmt w:val="lowerRoman"/>
      <w:lvlText w:val="%6."/>
      <w:lvlJc w:val="right"/>
      <w:pPr>
        <w:ind w:left="4320" w:hanging="180"/>
      </w:pPr>
    </w:lvl>
    <w:lvl w:ilvl="6" w:tplc="AFA83D90">
      <w:start w:val="1"/>
      <w:numFmt w:val="decimal"/>
      <w:lvlText w:val="%7."/>
      <w:lvlJc w:val="left"/>
      <w:pPr>
        <w:ind w:left="5040" w:hanging="360"/>
      </w:pPr>
    </w:lvl>
    <w:lvl w:ilvl="7" w:tplc="26A618F6">
      <w:start w:val="1"/>
      <w:numFmt w:val="lowerLetter"/>
      <w:lvlText w:val="%8."/>
      <w:lvlJc w:val="left"/>
      <w:pPr>
        <w:ind w:left="5760" w:hanging="360"/>
      </w:pPr>
    </w:lvl>
    <w:lvl w:ilvl="8" w:tplc="1684416A">
      <w:start w:val="1"/>
      <w:numFmt w:val="lowerRoman"/>
      <w:lvlText w:val="%9."/>
      <w:lvlJc w:val="right"/>
      <w:pPr>
        <w:ind w:left="6480" w:hanging="180"/>
      </w:pPr>
    </w:lvl>
  </w:abstractNum>
  <w:abstractNum w:abstractNumId="8"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37E57"/>
    <w:multiLevelType w:val="hybridMultilevel"/>
    <w:tmpl w:val="521ED644"/>
    <w:lvl w:ilvl="0" w:tplc="7206C06E">
      <w:start w:val="1"/>
      <w:numFmt w:val="bullet"/>
      <w:lvlText w:val="·"/>
      <w:lvlJc w:val="left"/>
      <w:pPr>
        <w:ind w:left="720" w:hanging="360"/>
      </w:pPr>
      <w:rPr>
        <w:rFonts w:ascii="Symbol" w:hAnsi="Symbol" w:hint="default"/>
      </w:rPr>
    </w:lvl>
    <w:lvl w:ilvl="1" w:tplc="E0AE1F8E">
      <w:start w:val="1"/>
      <w:numFmt w:val="bullet"/>
      <w:lvlText w:val="o"/>
      <w:lvlJc w:val="left"/>
      <w:pPr>
        <w:ind w:left="1440" w:hanging="360"/>
      </w:pPr>
      <w:rPr>
        <w:rFonts w:ascii="Courier New" w:hAnsi="Courier New" w:hint="default"/>
      </w:rPr>
    </w:lvl>
    <w:lvl w:ilvl="2" w:tplc="D0D04314">
      <w:start w:val="1"/>
      <w:numFmt w:val="bullet"/>
      <w:lvlText w:val=""/>
      <w:lvlJc w:val="left"/>
      <w:pPr>
        <w:ind w:left="2160" w:hanging="360"/>
      </w:pPr>
      <w:rPr>
        <w:rFonts w:ascii="Wingdings" w:hAnsi="Wingdings" w:hint="default"/>
      </w:rPr>
    </w:lvl>
    <w:lvl w:ilvl="3" w:tplc="B8A29998">
      <w:start w:val="1"/>
      <w:numFmt w:val="bullet"/>
      <w:lvlText w:val=""/>
      <w:lvlJc w:val="left"/>
      <w:pPr>
        <w:ind w:left="2880" w:hanging="360"/>
      </w:pPr>
      <w:rPr>
        <w:rFonts w:ascii="Symbol" w:hAnsi="Symbol" w:hint="default"/>
      </w:rPr>
    </w:lvl>
    <w:lvl w:ilvl="4" w:tplc="0B787718">
      <w:start w:val="1"/>
      <w:numFmt w:val="bullet"/>
      <w:lvlText w:val="o"/>
      <w:lvlJc w:val="left"/>
      <w:pPr>
        <w:ind w:left="3600" w:hanging="360"/>
      </w:pPr>
      <w:rPr>
        <w:rFonts w:ascii="Courier New" w:hAnsi="Courier New" w:hint="default"/>
      </w:rPr>
    </w:lvl>
    <w:lvl w:ilvl="5" w:tplc="44E0B25E">
      <w:start w:val="1"/>
      <w:numFmt w:val="bullet"/>
      <w:lvlText w:val=""/>
      <w:lvlJc w:val="left"/>
      <w:pPr>
        <w:ind w:left="4320" w:hanging="360"/>
      </w:pPr>
      <w:rPr>
        <w:rFonts w:ascii="Wingdings" w:hAnsi="Wingdings" w:hint="default"/>
      </w:rPr>
    </w:lvl>
    <w:lvl w:ilvl="6" w:tplc="490E235C">
      <w:start w:val="1"/>
      <w:numFmt w:val="bullet"/>
      <w:lvlText w:val=""/>
      <w:lvlJc w:val="left"/>
      <w:pPr>
        <w:ind w:left="5040" w:hanging="360"/>
      </w:pPr>
      <w:rPr>
        <w:rFonts w:ascii="Symbol" w:hAnsi="Symbol" w:hint="default"/>
      </w:rPr>
    </w:lvl>
    <w:lvl w:ilvl="7" w:tplc="CA465370">
      <w:start w:val="1"/>
      <w:numFmt w:val="bullet"/>
      <w:lvlText w:val="o"/>
      <w:lvlJc w:val="left"/>
      <w:pPr>
        <w:ind w:left="5760" w:hanging="360"/>
      </w:pPr>
      <w:rPr>
        <w:rFonts w:ascii="Courier New" w:hAnsi="Courier New" w:hint="default"/>
      </w:rPr>
    </w:lvl>
    <w:lvl w:ilvl="8" w:tplc="6B24BE84">
      <w:start w:val="1"/>
      <w:numFmt w:val="bullet"/>
      <w:lvlText w:val=""/>
      <w:lvlJc w:val="left"/>
      <w:pPr>
        <w:ind w:left="6480" w:hanging="360"/>
      </w:pPr>
      <w:rPr>
        <w:rFonts w:ascii="Wingdings" w:hAnsi="Wingdings" w:hint="default"/>
      </w:rPr>
    </w:lvl>
  </w:abstractNum>
  <w:abstractNum w:abstractNumId="10" w15:restartNumberingAfterBreak="0">
    <w:nsid w:val="5A943779"/>
    <w:multiLevelType w:val="hybridMultilevel"/>
    <w:tmpl w:val="7EC81EF0"/>
    <w:lvl w:ilvl="0" w:tplc="398E7908">
      <w:start w:val="1"/>
      <w:numFmt w:val="decimal"/>
      <w:lvlText w:val="%1."/>
      <w:lvlJc w:val="left"/>
      <w:pPr>
        <w:ind w:left="720" w:hanging="360"/>
      </w:pPr>
      <w:rPr>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D63211"/>
    <w:multiLevelType w:val="hybridMultilevel"/>
    <w:tmpl w:val="63308DF0"/>
    <w:lvl w:ilvl="0" w:tplc="9DBCC1DA">
      <w:start w:val="1"/>
      <w:numFmt w:val="decimal"/>
      <w:lvlText w:val="%1."/>
      <w:lvlJc w:val="left"/>
      <w:pPr>
        <w:ind w:left="720" w:hanging="360"/>
      </w:pPr>
    </w:lvl>
    <w:lvl w:ilvl="1" w:tplc="3A146FF0">
      <w:start w:val="1"/>
      <w:numFmt w:val="lowerLetter"/>
      <w:lvlText w:val="%2."/>
      <w:lvlJc w:val="left"/>
      <w:pPr>
        <w:ind w:left="1440" w:hanging="360"/>
      </w:pPr>
    </w:lvl>
    <w:lvl w:ilvl="2" w:tplc="B0ECE792">
      <w:start w:val="1"/>
      <w:numFmt w:val="lowerRoman"/>
      <w:lvlText w:val="%3."/>
      <w:lvlJc w:val="right"/>
      <w:pPr>
        <w:ind w:left="2160" w:hanging="180"/>
      </w:pPr>
    </w:lvl>
    <w:lvl w:ilvl="3" w:tplc="5292FDB2">
      <w:start w:val="1"/>
      <w:numFmt w:val="decimal"/>
      <w:lvlText w:val="%4."/>
      <w:lvlJc w:val="left"/>
      <w:pPr>
        <w:ind w:left="2880" w:hanging="360"/>
      </w:pPr>
    </w:lvl>
    <w:lvl w:ilvl="4" w:tplc="466E4D5E">
      <w:start w:val="1"/>
      <w:numFmt w:val="lowerLetter"/>
      <w:lvlText w:val="%5."/>
      <w:lvlJc w:val="left"/>
      <w:pPr>
        <w:ind w:left="3600" w:hanging="360"/>
      </w:pPr>
    </w:lvl>
    <w:lvl w:ilvl="5" w:tplc="74869554">
      <w:start w:val="1"/>
      <w:numFmt w:val="lowerRoman"/>
      <w:lvlText w:val="%6."/>
      <w:lvlJc w:val="right"/>
      <w:pPr>
        <w:ind w:left="4320" w:hanging="180"/>
      </w:pPr>
    </w:lvl>
    <w:lvl w:ilvl="6" w:tplc="56F2FF8C">
      <w:start w:val="1"/>
      <w:numFmt w:val="decimal"/>
      <w:lvlText w:val="%7."/>
      <w:lvlJc w:val="left"/>
      <w:pPr>
        <w:ind w:left="5040" w:hanging="360"/>
      </w:pPr>
    </w:lvl>
    <w:lvl w:ilvl="7" w:tplc="47CA5D0C">
      <w:start w:val="1"/>
      <w:numFmt w:val="lowerLetter"/>
      <w:lvlText w:val="%8."/>
      <w:lvlJc w:val="left"/>
      <w:pPr>
        <w:ind w:left="5760" w:hanging="360"/>
      </w:pPr>
    </w:lvl>
    <w:lvl w:ilvl="8" w:tplc="FB5823DA">
      <w:start w:val="1"/>
      <w:numFmt w:val="lowerRoman"/>
      <w:lvlText w:val="%9."/>
      <w:lvlJc w:val="right"/>
      <w:pPr>
        <w:ind w:left="6480" w:hanging="180"/>
      </w:pPr>
    </w:lvl>
  </w:abstractNum>
  <w:abstractNum w:abstractNumId="12"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662D3E"/>
    <w:multiLevelType w:val="hybridMultilevel"/>
    <w:tmpl w:val="2404054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C10442D"/>
    <w:multiLevelType w:val="hybridMultilevel"/>
    <w:tmpl w:val="19646044"/>
    <w:lvl w:ilvl="0" w:tplc="9F26DF8E">
      <w:start w:val="1"/>
      <w:numFmt w:val="decimal"/>
      <w:lvlText w:val="%1."/>
      <w:lvlJc w:val="left"/>
      <w:pPr>
        <w:ind w:left="720" w:hanging="360"/>
      </w:pPr>
      <w:rPr>
        <w:b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1417704">
    <w:abstractNumId w:val="8"/>
  </w:num>
  <w:num w:numId="2" w16cid:durableId="2012100725">
    <w:abstractNumId w:val="0"/>
  </w:num>
  <w:num w:numId="3" w16cid:durableId="2097942416">
    <w:abstractNumId w:val="5"/>
  </w:num>
  <w:num w:numId="4" w16cid:durableId="135951669">
    <w:abstractNumId w:val="6"/>
  </w:num>
  <w:num w:numId="5" w16cid:durableId="1837988203">
    <w:abstractNumId w:val="12"/>
  </w:num>
  <w:num w:numId="6" w16cid:durableId="485516111">
    <w:abstractNumId w:val="3"/>
  </w:num>
  <w:num w:numId="7" w16cid:durableId="1688022927">
    <w:abstractNumId w:val="4"/>
  </w:num>
  <w:num w:numId="8" w16cid:durableId="1229077171">
    <w:abstractNumId w:val="10"/>
  </w:num>
  <w:num w:numId="9" w16cid:durableId="695691447">
    <w:abstractNumId w:val="14"/>
  </w:num>
  <w:num w:numId="10" w16cid:durableId="862018250">
    <w:abstractNumId w:val="0"/>
  </w:num>
  <w:num w:numId="11" w16cid:durableId="1026246796">
    <w:abstractNumId w:val="1"/>
  </w:num>
  <w:num w:numId="12" w16cid:durableId="18092309">
    <w:abstractNumId w:val="2"/>
  </w:num>
  <w:num w:numId="13" w16cid:durableId="165440648">
    <w:abstractNumId w:val="9"/>
  </w:num>
  <w:num w:numId="14" w16cid:durableId="796144126">
    <w:abstractNumId w:val="7"/>
  </w:num>
  <w:num w:numId="15" w16cid:durableId="792477112">
    <w:abstractNumId w:val="11"/>
  </w:num>
  <w:num w:numId="16" w16cid:durableId="188351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01756"/>
    <w:rsid w:val="00021FB0"/>
    <w:rsid w:val="0002607A"/>
    <w:rsid w:val="000349C8"/>
    <w:rsid w:val="00036D5D"/>
    <w:rsid w:val="000414F3"/>
    <w:rsid w:val="00042C78"/>
    <w:rsid w:val="0004473A"/>
    <w:rsid w:val="00057DDF"/>
    <w:rsid w:val="0006682A"/>
    <w:rsid w:val="00075387"/>
    <w:rsid w:val="000760D9"/>
    <w:rsid w:val="000873CD"/>
    <w:rsid w:val="000A1D0C"/>
    <w:rsid w:val="000A247E"/>
    <w:rsid w:val="000B2463"/>
    <w:rsid w:val="000C0049"/>
    <w:rsid w:val="000D105C"/>
    <w:rsid w:val="000D44D4"/>
    <w:rsid w:val="000D7DA3"/>
    <w:rsid w:val="000E44DD"/>
    <w:rsid w:val="000F20B0"/>
    <w:rsid w:val="000F272F"/>
    <w:rsid w:val="00100151"/>
    <w:rsid w:val="001051D2"/>
    <w:rsid w:val="00114434"/>
    <w:rsid w:val="00125927"/>
    <w:rsid w:val="0013114B"/>
    <w:rsid w:val="00146710"/>
    <w:rsid w:val="001502AF"/>
    <w:rsid w:val="0016127C"/>
    <w:rsid w:val="001806A5"/>
    <w:rsid w:val="00185EA3"/>
    <w:rsid w:val="001B5206"/>
    <w:rsid w:val="001C29E1"/>
    <w:rsid w:val="001E0994"/>
    <w:rsid w:val="001E1A16"/>
    <w:rsid w:val="001E1C0C"/>
    <w:rsid w:val="001F2431"/>
    <w:rsid w:val="0023398F"/>
    <w:rsid w:val="002618CF"/>
    <w:rsid w:val="00270DF8"/>
    <w:rsid w:val="00292538"/>
    <w:rsid w:val="002A0BFF"/>
    <w:rsid w:val="002A6745"/>
    <w:rsid w:val="002B2815"/>
    <w:rsid w:val="002F3A77"/>
    <w:rsid w:val="0030030A"/>
    <w:rsid w:val="003046AA"/>
    <w:rsid w:val="00312C68"/>
    <w:rsid w:val="00316338"/>
    <w:rsid w:val="0032336D"/>
    <w:rsid w:val="003235B5"/>
    <w:rsid w:val="00323C61"/>
    <w:rsid w:val="00331A0D"/>
    <w:rsid w:val="003462D6"/>
    <w:rsid w:val="00363D37"/>
    <w:rsid w:val="00374FDC"/>
    <w:rsid w:val="00377557"/>
    <w:rsid w:val="003B2EA7"/>
    <w:rsid w:val="003E6122"/>
    <w:rsid w:val="00406587"/>
    <w:rsid w:val="004139A7"/>
    <w:rsid w:val="00422DF5"/>
    <w:rsid w:val="00427A02"/>
    <w:rsid w:val="00430004"/>
    <w:rsid w:val="00432B96"/>
    <w:rsid w:val="00434966"/>
    <w:rsid w:val="00450AC2"/>
    <w:rsid w:val="00456AED"/>
    <w:rsid w:val="00473E24"/>
    <w:rsid w:val="00477B40"/>
    <w:rsid w:val="00485408"/>
    <w:rsid w:val="004B050D"/>
    <w:rsid w:val="004D3532"/>
    <w:rsid w:val="004E1A5B"/>
    <w:rsid w:val="004F02D9"/>
    <w:rsid w:val="004F1DFA"/>
    <w:rsid w:val="004F3ED2"/>
    <w:rsid w:val="00500B3F"/>
    <w:rsid w:val="00515B8E"/>
    <w:rsid w:val="005277D3"/>
    <w:rsid w:val="005347F0"/>
    <w:rsid w:val="005440A5"/>
    <w:rsid w:val="0054643A"/>
    <w:rsid w:val="00575DA6"/>
    <w:rsid w:val="005B0DEE"/>
    <w:rsid w:val="005D51E9"/>
    <w:rsid w:val="005E4C76"/>
    <w:rsid w:val="00624879"/>
    <w:rsid w:val="00641AD1"/>
    <w:rsid w:val="00647D80"/>
    <w:rsid w:val="0065276B"/>
    <w:rsid w:val="006662A7"/>
    <w:rsid w:val="00670215"/>
    <w:rsid w:val="0067683F"/>
    <w:rsid w:val="00693692"/>
    <w:rsid w:val="00693BB1"/>
    <w:rsid w:val="006A1794"/>
    <w:rsid w:val="006C31C4"/>
    <w:rsid w:val="006C3296"/>
    <w:rsid w:val="006D37B9"/>
    <w:rsid w:val="006F4385"/>
    <w:rsid w:val="00706678"/>
    <w:rsid w:val="00740439"/>
    <w:rsid w:val="00741055"/>
    <w:rsid w:val="00750A94"/>
    <w:rsid w:val="00750D72"/>
    <w:rsid w:val="00766698"/>
    <w:rsid w:val="00771CED"/>
    <w:rsid w:val="007809C4"/>
    <w:rsid w:val="00782742"/>
    <w:rsid w:val="00794B73"/>
    <w:rsid w:val="007A30B6"/>
    <w:rsid w:val="007B5275"/>
    <w:rsid w:val="007E1F3A"/>
    <w:rsid w:val="007E3D05"/>
    <w:rsid w:val="007E5BAF"/>
    <w:rsid w:val="007F2788"/>
    <w:rsid w:val="008031B1"/>
    <w:rsid w:val="00805790"/>
    <w:rsid w:val="00821617"/>
    <w:rsid w:val="0083014B"/>
    <w:rsid w:val="008316DC"/>
    <w:rsid w:val="00835F26"/>
    <w:rsid w:val="008403CE"/>
    <w:rsid w:val="00850D7D"/>
    <w:rsid w:val="00863C95"/>
    <w:rsid w:val="00890F54"/>
    <w:rsid w:val="008A0398"/>
    <w:rsid w:val="008A478D"/>
    <w:rsid w:val="008A7268"/>
    <w:rsid w:val="008B33F7"/>
    <w:rsid w:val="008C200E"/>
    <w:rsid w:val="008D5E25"/>
    <w:rsid w:val="008E5B5C"/>
    <w:rsid w:val="008F2467"/>
    <w:rsid w:val="008F7C78"/>
    <w:rsid w:val="009219F9"/>
    <w:rsid w:val="00951A81"/>
    <w:rsid w:val="00953B39"/>
    <w:rsid w:val="0096253D"/>
    <w:rsid w:val="009702E2"/>
    <w:rsid w:val="009B7B78"/>
    <w:rsid w:val="009D0693"/>
    <w:rsid w:val="00A10FFA"/>
    <w:rsid w:val="00A1488A"/>
    <w:rsid w:val="00A16CB9"/>
    <w:rsid w:val="00A47F21"/>
    <w:rsid w:val="00A61531"/>
    <w:rsid w:val="00A745A6"/>
    <w:rsid w:val="00A82E64"/>
    <w:rsid w:val="00A90BF3"/>
    <w:rsid w:val="00AB4C34"/>
    <w:rsid w:val="00AD3381"/>
    <w:rsid w:val="00AE69C3"/>
    <w:rsid w:val="00AE7185"/>
    <w:rsid w:val="00AF5DF4"/>
    <w:rsid w:val="00B131A8"/>
    <w:rsid w:val="00B15E5D"/>
    <w:rsid w:val="00B2602F"/>
    <w:rsid w:val="00B45957"/>
    <w:rsid w:val="00B4733F"/>
    <w:rsid w:val="00B57906"/>
    <w:rsid w:val="00B61586"/>
    <w:rsid w:val="00B72B52"/>
    <w:rsid w:val="00B77FCC"/>
    <w:rsid w:val="00BB19C3"/>
    <w:rsid w:val="00BC778A"/>
    <w:rsid w:val="00BD039F"/>
    <w:rsid w:val="00BD2768"/>
    <w:rsid w:val="00BF2DDC"/>
    <w:rsid w:val="00C054ED"/>
    <w:rsid w:val="00C0604C"/>
    <w:rsid w:val="00C13A13"/>
    <w:rsid w:val="00C16168"/>
    <w:rsid w:val="00C256C4"/>
    <w:rsid w:val="00C35113"/>
    <w:rsid w:val="00C37E8C"/>
    <w:rsid w:val="00C40B8B"/>
    <w:rsid w:val="00C46419"/>
    <w:rsid w:val="00C90FC5"/>
    <w:rsid w:val="00CB7354"/>
    <w:rsid w:val="00CC679C"/>
    <w:rsid w:val="00CD19F5"/>
    <w:rsid w:val="00CE3BB4"/>
    <w:rsid w:val="00CF44A1"/>
    <w:rsid w:val="00CF4D7F"/>
    <w:rsid w:val="00CF6911"/>
    <w:rsid w:val="00D01667"/>
    <w:rsid w:val="00D03F31"/>
    <w:rsid w:val="00D16A3E"/>
    <w:rsid w:val="00D16CC0"/>
    <w:rsid w:val="00D27C3F"/>
    <w:rsid w:val="00D35E4D"/>
    <w:rsid w:val="00D35FED"/>
    <w:rsid w:val="00D40278"/>
    <w:rsid w:val="00D40934"/>
    <w:rsid w:val="00D45D0E"/>
    <w:rsid w:val="00D46E14"/>
    <w:rsid w:val="00D8408E"/>
    <w:rsid w:val="00D86607"/>
    <w:rsid w:val="00D87580"/>
    <w:rsid w:val="00D87ED2"/>
    <w:rsid w:val="00DB012E"/>
    <w:rsid w:val="00DB60BC"/>
    <w:rsid w:val="00DC4BE7"/>
    <w:rsid w:val="00DD1E16"/>
    <w:rsid w:val="00DD58FA"/>
    <w:rsid w:val="00DD5B75"/>
    <w:rsid w:val="00DE6B23"/>
    <w:rsid w:val="00DF3891"/>
    <w:rsid w:val="00E05158"/>
    <w:rsid w:val="00E14DDA"/>
    <w:rsid w:val="00E3144A"/>
    <w:rsid w:val="00E54957"/>
    <w:rsid w:val="00E65FF1"/>
    <w:rsid w:val="00E73213"/>
    <w:rsid w:val="00E73BA8"/>
    <w:rsid w:val="00E74C6A"/>
    <w:rsid w:val="00EC0191"/>
    <w:rsid w:val="00ED5D45"/>
    <w:rsid w:val="00EE2092"/>
    <w:rsid w:val="00EE3F5D"/>
    <w:rsid w:val="00F010DC"/>
    <w:rsid w:val="00F14DC9"/>
    <w:rsid w:val="00F15D89"/>
    <w:rsid w:val="00F510C0"/>
    <w:rsid w:val="00F55B58"/>
    <w:rsid w:val="00F6081D"/>
    <w:rsid w:val="00F96126"/>
    <w:rsid w:val="00FA704A"/>
    <w:rsid w:val="00FC45B5"/>
    <w:rsid w:val="00FD3441"/>
    <w:rsid w:val="05BFEB49"/>
    <w:rsid w:val="0C4C0EA8"/>
    <w:rsid w:val="0D746C8A"/>
    <w:rsid w:val="0EC20A34"/>
    <w:rsid w:val="1167359D"/>
    <w:rsid w:val="12C2FF48"/>
    <w:rsid w:val="1A14AB1A"/>
    <w:rsid w:val="25FD08D8"/>
    <w:rsid w:val="2A2A208F"/>
    <w:rsid w:val="2AD95E21"/>
    <w:rsid w:val="2EDA08A8"/>
    <w:rsid w:val="2FAC4F73"/>
    <w:rsid w:val="30BF5EF1"/>
    <w:rsid w:val="30CD9B00"/>
    <w:rsid w:val="3364DAA1"/>
    <w:rsid w:val="3A033AC1"/>
    <w:rsid w:val="487F1485"/>
    <w:rsid w:val="4ABF41B3"/>
    <w:rsid w:val="4E1FE3B4"/>
    <w:rsid w:val="4FB51819"/>
    <w:rsid w:val="5F05920B"/>
    <w:rsid w:val="6275AAA2"/>
    <w:rsid w:val="73F570C1"/>
    <w:rsid w:val="7607A797"/>
    <w:rsid w:val="795BDE77"/>
    <w:rsid w:val="7C40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441371A2-F59E-42FD-B580-7F753753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D35E4D"/>
    <w:rPr>
      <w:sz w:val="16"/>
      <w:szCs w:val="16"/>
    </w:rPr>
  </w:style>
  <w:style w:type="paragraph" w:styleId="CommentText">
    <w:name w:val="annotation text"/>
    <w:basedOn w:val="Normal"/>
    <w:link w:val="CommentTextChar"/>
    <w:uiPriority w:val="99"/>
    <w:unhideWhenUsed/>
    <w:rsid w:val="00D35E4D"/>
    <w:pPr>
      <w:spacing w:line="240" w:lineRule="auto"/>
    </w:pPr>
    <w:rPr>
      <w:sz w:val="20"/>
      <w:szCs w:val="20"/>
    </w:rPr>
  </w:style>
  <w:style w:type="character" w:customStyle="1" w:styleId="CommentTextChar">
    <w:name w:val="Comment Text Char"/>
    <w:basedOn w:val="DefaultParagraphFont"/>
    <w:link w:val="CommentText"/>
    <w:uiPriority w:val="99"/>
    <w:rsid w:val="00D35E4D"/>
    <w:rPr>
      <w:sz w:val="20"/>
      <w:szCs w:val="20"/>
    </w:rPr>
  </w:style>
  <w:style w:type="paragraph" w:styleId="CommentSubject">
    <w:name w:val="annotation subject"/>
    <w:basedOn w:val="CommentText"/>
    <w:next w:val="CommentText"/>
    <w:link w:val="CommentSubjectChar"/>
    <w:uiPriority w:val="99"/>
    <w:semiHidden/>
    <w:unhideWhenUsed/>
    <w:rsid w:val="00D35E4D"/>
    <w:rPr>
      <w:b/>
      <w:bCs/>
    </w:rPr>
  </w:style>
  <w:style w:type="character" w:customStyle="1" w:styleId="CommentSubjectChar">
    <w:name w:val="Comment Subject Char"/>
    <w:basedOn w:val="CommentTextChar"/>
    <w:link w:val="CommentSubject"/>
    <w:uiPriority w:val="99"/>
    <w:semiHidden/>
    <w:rsid w:val="00D35E4D"/>
    <w:rPr>
      <w:b/>
      <w:bCs/>
      <w:sz w:val="20"/>
      <w:szCs w:val="20"/>
    </w:rPr>
  </w:style>
  <w:style w:type="character" w:styleId="Mention">
    <w:name w:val="Mention"/>
    <w:basedOn w:val="DefaultParagraphFont"/>
    <w:uiPriority w:val="99"/>
    <w:unhideWhenUsed/>
    <w:rsid w:val="00D35E4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903E8379543329647291877D14497"/>
        <w:category>
          <w:name w:val="General"/>
          <w:gallery w:val="placeholder"/>
        </w:category>
        <w:types>
          <w:type w:val="bbPlcHdr"/>
        </w:types>
        <w:behaviors>
          <w:behavior w:val="content"/>
        </w:behaviors>
        <w:guid w:val="{FACE3FB6-6180-4937-A793-4039A94DE205}"/>
      </w:docPartPr>
      <w:docPartBody>
        <w:p w:rsidR="00160979" w:rsidRDefault="005E4C76" w:rsidP="005E4C76">
          <w:pPr>
            <w:pStyle w:val="A41903E8379543329647291877D14497"/>
          </w:pPr>
          <w:r w:rsidRPr="00042C78">
            <w:rPr>
              <w:rStyle w:val="PlaceholderText"/>
              <w:b/>
              <w:color w:val="A02B93" w:themeColor="accent5"/>
            </w:rPr>
            <w:t>Choose an item.</w:t>
          </w:r>
        </w:p>
      </w:docPartBody>
    </w:docPart>
    <w:docPart>
      <w:docPartPr>
        <w:name w:val="C84CC7ED5A9D4111B94218E752547B5E"/>
        <w:category>
          <w:name w:val="General"/>
          <w:gallery w:val="placeholder"/>
        </w:category>
        <w:types>
          <w:type w:val="bbPlcHdr"/>
        </w:types>
        <w:behaviors>
          <w:behavior w:val="content"/>
        </w:behaviors>
        <w:guid w:val="{8DF5ACF7-4F8B-4606-8842-345F7A14C318}"/>
      </w:docPartPr>
      <w:docPartBody>
        <w:p w:rsidR="00160979" w:rsidRDefault="005E4C76" w:rsidP="005E4C76">
          <w:pPr>
            <w:pStyle w:val="C84CC7ED5A9D4111B94218E752547B5E2"/>
          </w:pPr>
          <w:r w:rsidRPr="00D35FED">
            <w:rPr>
              <w:rStyle w:val="PlaceholderText"/>
              <w:b/>
              <w:bCs/>
              <w:color w:val="A02B93" w:themeColor="accent5"/>
            </w:rPr>
            <w:t>Choose an item.</w:t>
          </w:r>
        </w:p>
      </w:docPartBody>
    </w:docPart>
    <w:docPart>
      <w:docPartPr>
        <w:name w:val="98F569BF096E4A30BB0C42E42B17AC01"/>
        <w:category>
          <w:name w:val="General"/>
          <w:gallery w:val="placeholder"/>
        </w:category>
        <w:types>
          <w:type w:val="bbPlcHdr"/>
        </w:types>
        <w:behaviors>
          <w:behavior w:val="content"/>
        </w:behaviors>
        <w:guid w:val="{CF499E35-5153-4BAE-ABA3-DBED58E18247}"/>
      </w:docPartPr>
      <w:docPartBody>
        <w:p w:rsidR="00160979" w:rsidRDefault="005E4C76" w:rsidP="005E4C76">
          <w:pPr>
            <w:pStyle w:val="98F569BF096E4A30BB0C42E42B17AC012"/>
          </w:pPr>
          <w:r w:rsidRPr="00D35FED">
            <w:rPr>
              <w:rStyle w:val="PlaceholderText"/>
              <w:b/>
              <w:bCs/>
              <w:color w:val="A02B93" w:themeColor="accent5"/>
            </w:rPr>
            <w:t>Choose an item.</w:t>
          </w:r>
        </w:p>
      </w:docPartBody>
    </w:docPart>
    <w:docPart>
      <w:docPartPr>
        <w:name w:val="FD79FEA7BB074DB8A574B16CDB58D5A4"/>
        <w:category>
          <w:name w:val="General"/>
          <w:gallery w:val="placeholder"/>
        </w:category>
        <w:types>
          <w:type w:val="bbPlcHdr"/>
        </w:types>
        <w:behaviors>
          <w:behavior w:val="content"/>
        </w:behaviors>
        <w:guid w:val="{BFB0EAF3-76BD-418D-8B6F-BCEA5DF12E19}"/>
      </w:docPartPr>
      <w:docPartBody>
        <w:p w:rsidR="00160979" w:rsidRDefault="005E4C76" w:rsidP="005E4C76">
          <w:pPr>
            <w:pStyle w:val="FD79FEA7BB074DB8A574B16CDB58D5A42"/>
          </w:pPr>
          <w:r w:rsidRPr="00D35FED">
            <w:rPr>
              <w:rStyle w:val="PlaceholderText"/>
              <w:b/>
              <w:bCs/>
              <w:color w:val="A02B93" w:themeColor="accent5"/>
            </w:rPr>
            <w:t>Choose an item.</w:t>
          </w:r>
        </w:p>
      </w:docPartBody>
    </w:docPart>
    <w:docPart>
      <w:docPartPr>
        <w:name w:val="DCFEE3CBE30E4D8FB7FFC702090E9AD3"/>
        <w:category>
          <w:name w:val="General"/>
          <w:gallery w:val="placeholder"/>
        </w:category>
        <w:types>
          <w:type w:val="bbPlcHdr"/>
        </w:types>
        <w:behaviors>
          <w:behavior w:val="content"/>
        </w:behaviors>
        <w:guid w:val="{440C6162-E298-40B4-8AF1-399D92BB9096}"/>
      </w:docPartPr>
      <w:docPartBody>
        <w:p w:rsidR="00063F8D" w:rsidRDefault="005E4C76" w:rsidP="005E4C76">
          <w:pPr>
            <w:pStyle w:val="DCFEE3CBE30E4D8FB7FFC702090E9AD3"/>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79"/>
    <w:rsid w:val="000024DF"/>
    <w:rsid w:val="00063F8D"/>
    <w:rsid w:val="000873CD"/>
    <w:rsid w:val="000D105C"/>
    <w:rsid w:val="00160979"/>
    <w:rsid w:val="001F2431"/>
    <w:rsid w:val="00220EF6"/>
    <w:rsid w:val="00237C07"/>
    <w:rsid w:val="00270DF8"/>
    <w:rsid w:val="00292538"/>
    <w:rsid w:val="002A6745"/>
    <w:rsid w:val="003C5FF9"/>
    <w:rsid w:val="00430004"/>
    <w:rsid w:val="00457FEB"/>
    <w:rsid w:val="0054741E"/>
    <w:rsid w:val="005A198D"/>
    <w:rsid w:val="005B0DEE"/>
    <w:rsid w:val="005E4C76"/>
    <w:rsid w:val="00647D80"/>
    <w:rsid w:val="0067683F"/>
    <w:rsid w:val="00693692"/>
    <w:rsid w:val="00693BB1"/>
    <w:rsid w:val="00761161"/>
    <w:rsid w:val="00771CED"/>
    <w:rsid w:val="008403CE"/>
    <w:rsid w:val="00850D7D"/>
    <w:rsid w:val="00863C95"/>
    <w:rsid w:val="00903432"/>
    <w:rsid w:val="00A01E58"/>
    <w:rsid w:val="00A10FFA"/>
    <w:rsid w:val="00A745A6"/>
    <w:rsid w:val="00BB1907"/>
    <w:rsid w:val="00BD039F"/>
    <w:rsid w:val="00C054ED"/>
    <w:rsid w:val="00C146C6"/>
    <w:rsid w:val="00C35113"/>
    <w:rsid w:val="00D85551"/>
    <w:rsid w:val="00EB4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97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4C76"/>
    <w:rPr>
      <w:color w:val="808080"/>
    </w:rPr>
  </w:style>
  <w:style w:type="paragraph" w:customStyle="1" w:styleId="A41903E8379543329647291877D14497">
    <w:name w:val="A41903E8379543329647291877D14497"/>
    <w:rsid w:val="005E4C76"/>
    <w:pPr>
      <w:spacing w:line="259" w:lineRule="auto"/>
    </w:pPr>
    <w:rPr>
      <w:rFonts w:eastAsiaTheme="minorHAnsi"/>
      <w:szCs w:val="22"/>
      <w:lang w:eastAsia="en-US"/>
    </w:rPr>
  </w:style>
  <w:style w:type="paragraph" w:customStyle="1" w:styleId="C84CC7ED5A9D4111B94218E752547B5E2">
    <w:name w:val="C84CC7ED5A9D4111B94218E752547B5E2"/>
    <w:rsid w:val="005E4C76"/>
    <w:pPr>
      <w:spacing w:line="259" w:lineRule="auto"/>
    </w:pPr>
    <w:rPr>
      <w:rFonts w:eastAsiaTheme="minorHAnsi"/>
      <w:szCs w:val="22"/>
      <w:lang w:eastAsia="en-US"/>
    </w:rPr>
  </w:style>
  <w:style w:type="paragraph" w:customStyle="1" w:styleId="98F569BF096E4A30BB0C42E42B17AC012">
    <w:name w:val="98F569BF096E4A30BB0C42E42B17AC012"/>
    <w:rsid w:val="005E4C76"/>
    <w:pPr>
      <w:spacing w:line="259" w:lineRule="auto"/>
    </w:pPr>
    <w:rPr>
      <w:rFonts w:eastAsiaTheme="minorHAnsi"/>
      <w:szCs w:val="22"/>
      <w:lang w:eastAsia="en-US"/>
    </w:rPr>
  </w:style>
  <w:style w:type="paragraph" w:customStyle="1" w:styleId="FD79FEA7BB074DB8A574B16CDB58D5A42">
    <w:name w:val="FD79FEA7BB074DB8A574B16CDB58D5A42"/>
    <w:rsid w:val="005E4C76"/>
    <w:pPr>
      <w:spacing w:line="259" w:lineRule="auto"/>
    </w:pPr>
    <w:rPr>
      <w:rFonts w:eastAsiaTheme="minorHAnsi"/>
      <w:szCs w:val="22"/>
      <w:lang w:eastAsia="en-US"/>
    </w:rPr>
  </w:style>
  <w:style w:type="paragraph" w:customStyle="1" w:styleId="DCFEE3CBE30E4D8FB7FFC702090E9AD3">
    <w:name w:val="DCFEE3CBE30E4D8FB7FFC702090E9AD3"/>
    <w:rsid w:val="005E4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
        <AccountId xsi:nil="true"/>
        <AccountType/>
      </UserInfo>
    </SharedWithUsers>
    <Retention xmlns="ddc97c0f-92d3-40cc-8a88-afbef9d2f083" xsi:nil="true"/>
  </documentManagement>
</p:properti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6BCDA6B5-8709-46FC-BADA-C3EF6811A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ddc97c0f-92d3-40cc-8a88-afbef9d2f083"/>
    <ds:schemaRef ds:uri="f77c8e73-1a92-43ae-87b4-1041e4b541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Links>
    <vt:vector size="6" baseType="variant">
      <vt:variant>
        <vt:i4>3145802</vt:i4>
      </vt:variant>
      <vt:variant>
        <vt:i4>0</vt:i4>
      </vt:variant>
      <vt:variant>
        <vt:i4>0</vt:i4>
      </vt:variant>
      <vt:variant>
        <vt:i4>5</vt:i4>
      </vt:variant>
      <vt:variant>
        <vt:lpwstr>mailto:DrummondSt@slab.org.uk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Complaints Update – Q3 &amp; Q4 2024-25 for May 2025 Board</dc:title>
  <dc:subject>Board papers</dc:subject>
  <dc:creator>Scottish Legal Aid Board</dc:creator>
  <cp:keywords/>
  <dc:description/>
  <cp:lastModifiedBy>Lindsay Corr</cp:lastModifiedBy>
  <cp:revision>2</cp:revision>
  <dcterms:created xsi:type="dcterms:W3CDTF">2025-08-12T16:27:00Z</dcterms:created>
  <dcterms:modified xsi:type="dcterms:W3CDTF">2025-08-12T16:27:00Z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