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5A53CDA8" w:rsidR="00B2602F" w:rsidRPr="005277D3" w:rsidRDefault="009D0693" w:rsidP="00CC679C">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6032D49E" w14:textId="705D13EB"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C8CC36"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476E78"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A92063">
        <w:rPr>
          <w:rStyle w:val="Strong"/>
          <w:lang w:val="en-US"/>
        </w:rPr>
        <w:t>08</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EE608E">
        <w:rPr>
          <w:rStyle w:val="Strong"/>
          <w:lang w:val="en-US"/>
        </w:rPr>
        <w:t>202</w:t>
      </w:r>
      <w:r w:rsidR="000F3597">
        <w:rPr>
          <w:rStyle w:val="Strong"/>
          <w:lang w:val="en-US"/>
        </w:rPr>
        <w:t>5</w:t>
      </w:r>
      <w:r w:rsidR="00AB4C34">
        <w:rPr>
          <w:rStyle w:val="Strong"/>
          <w:lang w:val="en-US"/>
        </w:rPr>
        <w:t xml:space="preserve"> </w:t>
      </w:r>
      <w:r w:rsidR="00AB4C34" w:rsidRPr="006F4385">
        <w:rPr>
          <w:rStyle w:val="Strong"/>
          <w:lang w:val="en-US"/>
        </w:rPr>
        <w:t xml:space="preserve">/ </w:t>
      </w:r>
      <w:r w:rsidR="00FA42B0">
        <w:rPr>
          <w:rStyle w:val="Strong"/>
          <w:lang w:val="en-US"/>
        </w:rPr>
        <w:t>25</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627D248D"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Content>
          <w:r w:rsidR="004E4FED">
            <w:rPr>
              <w:lang w:val="en-US"/>
            </w:rPr>
            <w:t>The Board</w:t>
          </w:r>
        </w:sdtContent>
      </w:sdt>
    </w:p>
    <w:p w14:paraId="6D4CF6A7" w14:textId="39D9C233"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A92063">
        <w:rPr>
          <w:lang w:val="en-US"/>
        </w:rPr>
        <w:t>4</w:t>
      </w:r>
      <w:r w:rsidR="00D2350C">
        <w:rPr>
          <w:lang w:val="en-US"/>
        </w:rPr>
        <w:t xml:space="preserve"> </w:t>
      </w:r>
      <w:r w:rsidR="00A92063">
        <w:rPr>
          <w:lang w:val="en-US"/>
        </w:rPr>
        <w:t>August</w:t>
      </w:r>
      <w:r w:rsidR="00D2350C">
        <w:rPr>
          <w:lang w:val="en-US"/>
        </w:rPr>
        <w:t xml:space="preserve"> 2025</w:t>
      </w:r>
    </w:p>
    <w:p w14:paraId="3C9F5B0E" w14:textId="08BFDFDA"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EE608E">
        <w:t xml:space="preserve">Administration </w:t>
      </w:r>
      <w:r w:rsidR="003A3525">
        <w:t>Resource</w:t>
      </w:r>
      <w:r w:rsidR="00EE608E">
        <w:t xml:space="preserve"> Report</w:t>
      </w:r>
    </w:p>
    <w:p w14:paraId="487501A0" w14:textId="166D3FC1"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Content>
          <w:r w:rsidR="004E4FED">
            <w:rPr>
              <w:lang w:val="en-US"/>
            </w:rPr>
            <w:t>For information</w:t>
          </w:r>
        </w:sdtContent>
      </w:sdt>
    </w:p>
    <w:p w14:paraId="4BCC3349" w14:textId="6B92E79C"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Content>
          <w:r w:rsidR="004E4FED">
            <w:rPr>
              <w:lang w:val="en-US"/>
            </w:rPr>
            <w:t>Business as usual</w:t>
          </w:r>
        </w:sdtContent>
      </w:sdt>
    </w:p>
    <w:p w14:paraId="73D86164" w14:textId="0689C668"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4E4FED">
        <w:rPr>
          <w:lang w:val="en-US"/>
        </w:rPr>
        <w:t>Audrey Crawford</w:t>
      </w:r>
    </w:p>
    <w:p w14:paraId="4F1D2C6B" w14:textId="20FDA855"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Content>
          <w:r w:rsidR="004E4FED">
            <w:rPr>
              <w:lang w:val="en-US"/>
            </w:rPr>
            <w:t>Linda Ross</w:t>
          </w:r>
        </w:sdtContent>
      </w:sdt>
    </w:p>
    <w:p w14:paraId="2D3DDEB6" w14:textId="79509773"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4E4FED">
        <w:rPr>
          <w:lang w:val="en-US"/>
        </w:rPr>
        <w:t>Linda Ross</w:t>
      </w:r>
    </w:p>
    <w:p w14:paraId="3995BDCA" w14:textId="63B263FC"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4E4FED">
        <w:rPr>
          <w:lang w:val="en-US"/>
        </w:rPr>
        <w:t>crawfordau@slab.org.uk</w:t>
      </w:r>
    </w:p>
    <w:p w14:paraId="79048CF5" w14:textId="77777777" w:rsidR="00A56F4B" w:rsidRDefault="00A16CB9" w:rsidP="00CC679C">
      <w:pPr>
        <w:rPr>
          <w:lang w:val="en-US"/>
        </w:rPr>
      </w:pPr>
      <w:r w:rsidRPr="00A16CB9">
        <w:rPr>
          <w:rStyle w:val="Strong"/>
        </w:rPr>
        <w:t>Delivery of Strategic Objectives</w:t>
      </w:r>
      <w:r w:rsidR="00A75994">
        <w:rPr>
          <w:rStyle w:val="Strong"/>
        </w:rPr>
        <w:t>:</w:t>
      </w:r>
      <w:r>
        <w:rPr>
          <w:rStyle w:val="Strong"/>
        </w:rPr>
        <w:br/>
      </w:r>
      <w:r w:rsidRPr="00A16CB9">
        <w:rPr>
          <w:rStyle w:val="SubtleEmphasis"/>
        </w:rPr>
        <w:t xml:space="preserve">Select </w:t>
      </w:r>
      <w:r w:rsidR="00F14DC9">
        <w:rPr>
          <w:rStyle w:val="SubtleEmphasis"/>
        </w:rPr>
        <w:t>our</w:t>
      </w:r>
      <w:r w:rsidRPr="00A16CB9">
        <w:rPr>
          <w:rStyle w:val="SubtleEmphasis"/>
        </w:rPr>
        <w:t xml:space="preserve"> </w:t>
      </w:r>
      <w:r w:rsidR="00F14DC9" w:rsidRPr="00A16CB9">
        <w:rPr>
          <w:rStyle w:val="SubtleEmphasis"/>
        </w:rPr>
        <w:t xml:space="preserve">relevant </w:t>
      </w:r>
      <w:r w:rsidRPr="00A16CB9">
        <w:rPr>
          <w:rStyle w:val="SubtleEmphasis"/>
        </w:rPr>
        <w:t>Strategic Objective(s).</w:t>
      </w:r>
      <w:r w:rsidR="000F272F">
        <w:rPr>
          <w:rStyle w:val="SubtleEmphasis"/>
        </w:rPr>
        <w:br/>
      </w:r>
      <w:sdt>
        <w:sdtPr>
          <w:rPr>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Content>
          <w:r w:rsidR="004E4FED" w:rsidRPr="00591070">
            <w:rPr>
              <w:lang w:val="en-US"/>
            </w:rPr>
            <w:t>1 – Administration: Our timely, clear, and consistent decisions on legal aid applications and accounts deliver a positive customer experience.</w:t>
          </w:r>
        </w:sdtContent>
      </w:sdt>
      <w:r w:rsidR="00F14DC9" w:rsidRPr="00591070">
        <w:rPr>
          <w:lang w:val="en-US"/>
        </w:rPr>
        <w:tab/>
      </w:r>
    </w:p>
    <w:p w14:paraId="2662C528" w14:textId="35A9CECA"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EE608E" w:rsidRPr="00010111">
        <w:t>This paper is linked to the Board’s role in monitoring the financial position of SLAB expenditure.</w:t>
      </w:r>
    </w:p>
    <w:p w14:paraId="16BA9B0E" w14:textId="4E6EF12D" w:rsidR="00EE608E" w:rsidRDefault="00CC679C" w:rsidP="00EE608E">
      <w:r w:rsidRPr="00CC679C">
        <w:rPr>
          <w:rStyle w:val="Strong"/>
        </w:rPr>
        <w:t>Link to Risk Management:</w:t>
      </w:r>
      <w:r>
        <w:rPr>
          <w:rStyle w:val="Strong"/>
        </w:rPr>
        <w:tab/>
      </w:r>
      <w:r>
        <w:rPr>
          <w:rStyle w:val="Strong"/>
        </w:rPr>
        <w:tab/>
      </w:r>
      <w:r>
        <w:rPr>
          <w:rStyle w:val="Strong"/>
        </w:rPr>
        <w:tab/>
      </w:r>
      <w:r w:rsidR="00821617">
        <w:rPr>
          <w:rStyle w:val="Strong"/>
        </w:rPr>
        <w:br/>
      </w:r>
      <w:r w:rsidR="00EE608E">
        <w:t>Our work to monitor administrative expenditure enables us to mitigate corporate risk 6</w:t>
      </w:r>
      <w:r w:rsidR="00EC382F">
        <w:t>,</w:t>
      </w:r>
      <w:r w:rsidR="00EE608E">
        <w:t xml:space="preserve"> with awareness of pressures and ensuring planned changes are reflected.</w:t>
      </w:r>
    </w:p>
    <w:p w14:paraId="0FDB2648" w14:textId="6BC82292" w:rsidR="00EE608E" w:rsidRDefault="00EE608E" w:rsidP="00EE608E">
      <w:r w:rsidRPr="00EC382F">
        <w:rPr>
          <w:b/>
          <w:bCs/>
        </w:rPr>
        <w:t>Risk 6:</w:t>
      </w:r>
      <w:r>
        <w:t xml:space="preserve"> If we fail to appropriately respond</w:t>
      </w:r>
      <w:r w:rsidR="00287625">
        <w:t xml:space="preserve"> to</w:t>
      </w:r>
      <w:r>
        <w:t xml:space="preserve">/plan </w:t>
      </w:r>
      <w:r w:rsidR="00CB0AEF">
        <w:t xml:space="preserve">for </w:t>
      </w:r>
      <w:r>
        <w:t>reductions in SLAB's administration funding then we may be unable to meet the needs of customers and/or prioritise our resources to ensure effective decision making.</w:t>
      </w:r>
      <w:r w:rsidRPr="00D35FED">
        <w:t xml:space="preserve"> </w:t>
      </w:r>
    </w:p>
    <w:p w14:paraId="44E4CB7F" w14:textId="1127245E"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EE608E" w:rsidRPr="00010111">
        <w:t>The Board has previously agreed that this paper should be published as a matter of routine. It will be published on our website.</w:t>
      </w:r>
      <w:r w:rsidRPr="00CC679C">
        <w:rPr>
          <w:rStyle w:val="Strong"/>
        </w:rPr>
        <w:tab/>
      </w:r>
    </w:p>
    <w:p w14:paraId="1AC47805" w14:textId="7D2EBD37" w:rsidR="00FF41ED" w:rsidRDefault="00CC679C" w:rsidP="00211F0D">
      <w:pPr>
        <w:spacing w:after="0"/>
      </w:pPr>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C5378A">
        <w:t xml:space="preserve">The paper provides </w:t>
      </w:r>
      <w:r w:rsidR="00C5378A" w:rsidRPr="008374EF">
        <w:rPr>
          <w:rFonts w:ascii="Aptos" w:hAnsi="Aptos"/>
          <w:szCs w:val="24"/>
        </w:rPr>
        <w:t xml:space="preserve">an update on the Administration financial position along with the performance of invoice payments for the </w:t>
      </w:r>
      <w:r w:rsidR="00F07E84">
        <w:rPr>
          <w:rFonts w:ascii="Aptos" w:hAnsi="Aptos"/>
          <w:szCs w:val="24"/>
        </w:rPr>
        <w:t xml:space="preserve">quarterly </w:t>
      </w:r>
      <w:r w:rsidR="00C5378A" w:rsidRPr="008374EF">
        <w:rPr>
          <w:rFonts w:ascii="Aptos" w:hAnsi="Aptos"/>
          <w:szCs w:val="24"/>
        </w:rPr>
        <w:t>period to 3</w:t>
      </w:r>
      <w:r w:rsidR="00C5378A">
        <w:rPr>
          <w:rFonts w:ascii="Aptos" w:hAnsi="Aptos"/>
          <w:szCs w:val="24"/>
        </w:rPr>
        <w:t>0 June</w:t>
      </w:r>
      <w:r w:rsidR="00F07E84">
        <w:rPr>
          <w:rFonts w:ascii="Aptos" w:hAnsi="Aptos"/>
          <w:szCs w:val="24"/>
        </w:rPr>
        <w:t xml:space="preserve"> 2025</w:t>
      </w:r>
      <w:r w:rsidR="00C5378A" w:rsidRPr="00186A2E">
        <w:t>.</w:t>
      </w:r>
      <w:r w:rsidR="00C5378A">
        <w:t xml:space="preserve">  </w:t>
      </w:r>
    </w:p>
    <w:p w14:paraId="03F68316" w14:textId="18BC6713" w:rsidR="00FF41ED" w:rsidRDefault="00FF41ED" w:rsidP="00FF41ED">
      <w:pPr>
        <w:pStyle w:val="ListParagraph"/>
        <w:numPr>
          <w:ilvl w:val="0"/>
          <w:numId w:val="8"/>
        </w:numPr>
      </w:pPr>
      <w:r w:rsidRPr="009D62CA">
        <w:lastRenderedPageBreak/>
        <w:t xml:space="preserve">Expected funding from Scottish Government </w:t>
      </w:r>
      <w:r>
        <w:t>has been confirmed as</w:t>
      </w:r>
      <w:r w:rsidRPr="009D62CA">
        <w:t xml:space="preserve"> £16,</w:t>
      </w:r>
      <w:r>
        <w:t>299</w:t>
      </w:r>
      <w:r w:rsidRPr="009D62CA">
        <w:t>k</w:t>
      </w:r>
      <w:r>
        <w:t xml:space="preserve">, </w:t>
      </w:r>
      <w:r w:rsidR="00211F0D">
        <w:t>Scottish Government have confirmed</w:t>
      </w:r>
      <w:r>
        <w:t xml:space="preserve"> w</w:t>
      </w:r>
      <w:r w:rsidR="00211F0D">
        <w:t>e will</w:t>
      </w:r>
      <w:r>
        <w:t xml:space="preserve"> receive an ABR transfer to the value of 60% of our additional Employer National Insurance costs. </w:t>
      </w:r>
    </w:p>
    <w:p w14:paraId="185FA806" w14:textId="2C352B23" w:rsidR="00CC679C" w:rsidRPr="00FF41ED" w:rsidRDefault="003A3525" w:rsidP="00211F0D">
      <w:pPr>
        <w:pStyle w:val="ListParagraph"/>
        <w:numPr>
          <w:ilvl w:val="0"/>
          <w:numId w:val="8"/>
        </w:numPr>
        <w:spacing w:after="0"/>
        <w:rPr>
          <w:b/>
          <w:bCs/>
        </w:rPr>
      </w:pPr>
      <w:r>
        <w:t>Administration e</w:t>
      </w:r>
      <w:r w:rsidR="00EE608E" w:rsidRPr="00521048">
        <w:t xml:space="preserve">xpenditure </w:t>
      </w:r>
      <w:r w:rsidR="00A92063">
        <w:t xml:space="preserve">to the end of June 2025 </w:t>
      </w:r>
      <w:r w:rsidR="00EE608E" w:rsidRPr="00521048">
        <w:t>wa</w:t>
      </w:r>
      <w:r w:rsidR="00EE608E" w:rsidRPr="00FF41ED">
        <w:t>s £</w:t>
      </w:r>
      <w:r w:rsidR="00FF41ED" w:rsidRPr="00FF41ED">
        <w:t>4.4m</w:t>
      </w:r>
      <w:r w:rsidR="00EE608E" w:rsidRPr="00FF41ED">
        <w:t xml:space="preserve"> compared to a budget profile of £</w:t>
      </w:r>
      <w:r w:rsidR="00FF41ED" w:rsidRPr="00FF41ED">
        <w:t>4.8</w:t>
      </w:r>
      <w:r w:rsidR="00EE608E" w:rsidRPr="00FF41ED">
        <w:t>m.</w:t>
      </w:r>
    </w:p>
    <w:p w14:paraId="49B1246E" w14:textId="6A383934" w:rsidR="00FF41ED" w:rsidRPr="00FF41ED" w:rsidRDefault="00FF41ED" w:rsidP="00FF41ED">
      <w:pPr>
        <w:pStyle w:val="ListParagraph"/>
        <w:numPr>
          <w:ilvl w:val="0"/>
          <w:numId w:val="8"/>
        </w:numPr>
        <w:rPr>
          <w:b/>
          <w:bCs/>
        </w:rPr>
      </w:pPr>
      <w:r>
        <w:t xml:space="preserve">Performance is at </w:t>
      </w:r>
      <w:r w:rsidR="00466001">
        <w:t>100</w:t>
      </w:r>
      <w:r>
        <w:t>%</w:t>
      </w:r>
      <w:r w:rsidR="00390CC1">
        <w:t>.</w:t>
      </w:r>
    </w:p>
    <w:p w14:paraId="28BD9C56" w14:textId="58F33EED" w:rsidR="00CC679C" w:rsidRPr="00A92063" w:rsidRDefault="00CC679C" w:rsidP="00A92063">
      <w:pPr>
        <w:spacing w:after="0"/>
        <w:rPr>
          <w:rStyle w:val="Strong"/>
          <w:b w:val="0"/>
          <w:bCs w:val="0"/>
          <w:color w:val="174DA3"/>
          <w:szCs w:val="24"/>
        </w:rPr>
      </w:pPr>
      <w:r w:rsidRPr="00CC679C">
        <w:rPr>
          <w:rStyle w:val="Strong"/>
        </w:rPr>
        <w:t>Previous Consideration</w:t>
      </w:r>
      <w:r w:rsidR="00A75994">
        <w:rPr>
          <w:rStyle w:val="Strong"/>
        </w:rPr>
        <w:t>:</w:t>
      </w:r>
      <w:r w:rsidRPr="00CC679C">
        <w:rPr>
          <w:rStyle w:val="Strong"/>
        </w:rPr>
        <w:t xml:space="preserve"> </w:t>
      </w:r>
      <w:r w:rsidRPr="00CC679C">
        <w:rPr>
          <w:rStyle w:val="Strong"/>
        </w:rPr>
        <w:br/>
        <w:t>Meeting:</w:t>
      </w:r>
      <w:r w:rsidRPr="00CC679C">
        <w:tab/>
      </w:r>
      <w:r w:rsidR="00A92063">
        <w:t>26</w:t>
      </w:r>
      <w:r w:rsidR="000F3597">
        <w:t xml:space="preserve"> Ma</w:t>
      </w:r>
      <w:r w:rsidR="00A92063">
        <w:t>y</w:t>
      </w:r>
      <w:r w:rsidR="000F3597">
        <w:t xml:space="preserve"> 2025</w:t>
      </w:r>
      <w:r w:rsidR="00390CC1">
        <w:t>.</w:t>
      </w:r>
      <w:r w:rsidRPr="00CC679C">
        <w:rPr>
          <w:rStyle w:val="Strong"/>
        </w:rPr>
        <w:br/>
        <w:t xml:space="preserve">Details: </w:t>
      </w:r>
      <w:r w:rsidRPr="00CC679C">
        <w:tab/>
      </w:r>
      <w:r w:rsidR="00EE608E">
        <w:t xml:space="preserve">Previous report showed </w:t>
      </w:r>
      <w:r w:rsidR="003A3525">
        <w:t>financial position</w:t>
      </w:r>
      <w:r w:rsidR="00EE608E">
        <w:t xml:space="preserve"> and </w:t>
      </w:r>
      <w:r w:rsidR="003A3525">
        <w:t>performance</w:t>
      </w:r>
      <w:r w:rsidR="00A92063">
        <w:t xml:space="preserve"> for year ended March 2025</w:t>
      </w:r>
      <w:r w:rsidR="00EE608E">
        <w:t>.</w:t>
      </w:r>
      <w:r w:rsidR="00F14DC9">
        <w:rPr>
          <w:rStyle w:val="Strong"/>
          <w:rFonts w:asciiTheme="majorHAnsi" w:hAnsiTheme="majorHAnsi"/>
          <w:b w:val="0"/>
          <w:bCs w:val="0"/>
          <w:color w:val="174DA3"/>
          <w:sz w:val="40"/>
        </w:rPr>
        <w:br/>
      </w:r>
    </w:p>
    <w:p w14:paraId="0D2364E3" w14:textId="77777777" w:rsidR="00F14DC9" w:rsidRDefault="00F14DC9" w:rsidP="00521048">
      <w:pPr>
        <w:pStyle w:val="Heading1"/>
        <w:spacing w:before="0"/>
      </w:pPr>
      <w:r>
        <w:t>Report</w:t>
      </w:r>
    </w:p>
    <w:p w14:paraId="6E0B9597" w14:textId="097DB44C" w:rsidR="001C117A" w:rsidRDefault="005929F6" w:rsidP="005929F6">
      <w:pPr>
        <w:pStyle w:val="Heading2"/>
        <w:rPr>
          <w:lang w:val="en-US"/>
        </w:rPr>
      </w:pPr>
      <w:r>
        <w:rPr>
          <w:lang w:val="en-US"/>
        </w:rPr>
        <w:t>Funding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Funding"/>
        <w:tblDescription w:val="A breakdown of costs from the 2025-26 budget with core Scottish Government funding (SG budget), Non-cash funding (pension liability)."/>
      </w:tblPr>
      <w:tblGrid>
        <w:gridCol w:w="8364"/>
        <w:gridCol w:w="1559"/>
      </w:tblGrid>
      <w:tr w:rsidR="005929F6" w:rsidRPr="00FF41ED" w14:paraId="12F46A3C" w14:textId="77777777" w:rsidTr="00476770">
        <w:trPr>
          <w:trHeight w:hRule="exact" w:val="727"/>
        </w:trPr>
        <w:tc>
          <w:tcPr>
            <w:tcW w:w="8364" w:type="dxa"/>
            <w:tcBorders>
              <w:bottom w:val="single" w:sz="4" w:space="0" w:color="auto"/>
            </w:tcBorders>
            <w:shd w:val="clear" w:color="auto" w:fill="174DA3"/>
          </w:tcPr>
          <w:p w14:paraId="0937DF30" w14:textId="77777777" w:rsidR="005929F6" w:rsidRPr="00390CC1" w:rsidRDefault="005929F6" w:rsidP="00543857">
            <w:pPr>
              <w:spacing w:after="120" w:line="240" w:lineRule="auto"/>
              <w:rPr>
                <w:rFonts w:ascii="Aptos" w:eastAsia="Times New Roman" w:hAnsi="Aptos" w:cs="Times New Roman"/>
                <w:b/>
                <w:color w:val="FFFFFF" w:themeColor="background1"/>
                <w:kern w:val="0"/>
                <w:szCs w:val="24"/>
                <w14:ligatures w14:val="none"/>
              </w:rPr>
            </w:pPr>
            <w:r w:rsidRPr="00390CC1">
              <w:rPr>
                <w:rFonts w:ascii="Aptos" w:eastAsia="Times New Roman" w:hAnsi="Aptos" w:cs="Times New Roman"/>
                <w:b/>
                <w:color w:val="FFFFFF" w:themeColor="background1"/>
                <w:kern w:val="0"/>
                <w:szCs w:val="24"/>
                <w14:ligatures w14:val="none"/>
              </w:rPr>
              <w:t>Funding</w:t>
            </w:r>
          </w:p>
        </w:tc>
        <w:tc>
          <w:tcPr>
            <w:tcW w:w="1559" w:type="dxa"/>
            <w:tcBorders>
              <w:bottom w:val="single" w:sz="4" w:space="0" w:color="auto"/>
            </w:tcBorders>
            <w:shd w:val="clear" w:color="auto" w:fill="174DA3"/>
          </w:tcPr>
          <w:p w14:paraId="3F79EFB5" w14:textId="77777777" w:rsidR="005929F6" w:rsidRPr="00390CC1" w:rsidRDefault="005929F6" w:rsidP="00476770">
            <w:pPr>
              <w:spacing w:after="60" w:line="240" w:lineRule="auto"/>
              <w:rPr>
                <w:rFonts w:ascii="Aptos" w:eastAsia="Times New Roman" w:hAnsi="Aptos" w:cs="Times New Roman"/>
                <w:b/>
                <w:color w:val="FFFFFF" w:themeColor="background1"/>
                <w:kern w:val="0"/>
                <w:szCs w:val="24"/>
                <w14:ligatures w14:val="none"/>
              </w:rPr>
            </w:pPr>
            <w:r w:rsidRPr="00390CC1">
              <w:rPr>
                <w:rFonts w:ascii="Aptos" w:eastAsia="Times New Roman" w:hAnsi="Aptos" w:cs="Times New Roman"/>
                <w:b/>
                <w:color w:val="FFFFFF" w:themeColor="background1"/>
                <w:kern w:val="0"/>
                <w:szCs w:val="24"/>
                <w14:ligatures w14:val="none"/>
              </w:rPr>
              <w:t>2025-26</w:t>
            </w:r>
          </w:p>
          <w:p w14:paraId="43EDC03B" w14:textId="77777777" w:rsidR="005929F6" w:rsidRPr="00390CC1" w:rsidRDefault="005929F6" w:rsidP="00476770">
            <w:pPr>
              <w:spacing w:after="120" w:line="240" w:lineRule="auto"/>
              <w:rPr>
                <w:rFonts w:ascii="Aptos" w:eastAsia="Times New Roman" w:hAnsi="Aptos" w:cs="Times New Roman"/>
                <w:b/>
                <w:color w:val="FFFFFF" w:themeColor="background1"/>
                <w:kern w:val="0"/>
                <w:szCs w:val="24"/>
                <w14:ligatures w14:val="none"/>
              </w:rPr>
            </w:pPr>
            <w:r w:rsidRPr="00390CC1">
              <w:rPr>
                <w:rFonts w:ascii="Aptos" w:eastAsia="Times New Roman" w:hAnsi="Aptos" w:cs="Times New Roman"/>
                <w:b/>
                <w:color w:val="FFFFFF" w:themeColor="background1"/>
                <w:kern w:val="0"/>
                <w:szCs w:val="24"/>
                <w14:ligatures w14:val="none"/>
              </w:rPr>
              <w:t>Budget (£K)</w:t>
            </w:r>
          </w:p>
        </w:tc>
      </w:tr>
      <w:tr w:rsidR="005929F6" w:rsidRPr="00FF41ED" w14:paraId="1C1EAEE9" w14:textId="77777777" w:rsidTr="00476770">
        <w:trPr>
          <w:trHeight w:hRule="exact" w:val="328"/>
        </w:trPr>
        <w:tc>
          <w:tcPr>
            <w:tcW w:w="8364" w:type="dxa"/>
            <w:tcBorders>
              <w:top w:val="nil"/>
              <w:bottom w:val="nil"/>
            </w:tcBorders>
            <w:vAlign w:val="center"/>
          </w:tcPr>
          <w:p w14:paraId="459C2842" w14:textId="77777777" w:rsidR="005929F6" w:rsidRPr="00FF41ED" w:rsidRDefault="005929F6" w:rsidP="00543857">
            <w:pPr>
              <w:spacing w:after="0" w:line="240" w:lineRule="auto"/>
              <w:rPr>
                <w:rFonts w:ascii="Aptos" w:eastAsia="Times New Roman" w:hAnsi="Aptos" w:cs="Times New Roman"/>
                <w:kern w:val="0"/>
                <w:szCs w:val="24"/>
                <w14:ligatures w14:val="none"/>
              </w:rPr>
            </w:pPr>
            <w:r w:rsidRPr="00FF41ED">
              <w:rPr>
                <w:rFonts w:ascii="Aptos" w:eastAsia="Times New Roman" w:hAnsi="Aptos" w:cs="Times New Roman"/>
                <w:kern w:val="0"/>
                <w:szCs w:val="24"/>
                <w14:ligatures w14:val="none"/>
              </w:rPr>
              <w:t>Core SG Funding (SG budget)</w:t>
            </w:r>
          </w:p>
        </w:tc>
        <w:tc>
          <w:tcPr>
            <w:tcW w:w="1559" w:type="dxa"/>
            <w:tcBorders>
              <w:top w:val="nil"/>
              <w:bottom w:val="nil"/>
            </w:tcBorders>
            <w:vAlign w:val="center"/>
          </w:tcPr>
          <w:p w14:paraId="12C1491E" w14:textId="77777777" w:rsidR="005929F6" w:rsidRPr="00FF41ED" w:rsidRDefault="005929F6" w:rsidP="00476770">
            <w:pPr>
              <w:spacing w:after="0" w:line="240" w:lineRule="auto"/>
              <w:ind w:right="313"/>
              <w:jc w:val="right"/>
              <w:rPr>
                <w:rFonts w:ascii="Aptos" w:eastAsia="Times New Roman" w:hAnsi="Aptos" w:cs="Times New Roman"/>
                <w:b/>
                <w:kern w:val="0"/>
                <w:szCs w:val="24"/>
                <w14:ligatures w14:val="none"/>
              </w:rPr>
            </w:pPr>
            <w:r w:rsidRPr="00FF41ED">
              <w:rPr>
                <w:rFonts w:ascii="Aptos" w:eastAsia="Times New Roman" w:hAnsi="Aptos" w:cs="Times New Roman"/>
                <w:b/>
                <w:kern w:val="0"/>
                <w:szCs w:val="24"/>
                <w14:ligatures w14:val="none"/>
              </w:rPr>
              <w:t>22,450</w:t>
            </w:r>
          </w:p>
        </w:tc>
      </w:tr>
      <w:tr w:rsidR="005929F6" w:rsidRPr="00FF41ED" w14:paraId="117A6991" w14:textId="77777777" w:rsidTr="00476770">
        <w:trPr>
          <w:trHeight w:hRule="exact" w:val="332"/>
        </w:trPr>
        <w:tc>
          <w:tcPr>
            <w:tcW w:w="8364" w:type="dxa"/>
            <w:tcBorders>
              <w:top w:val="nil"/>
              <w:left w:val="single" w:sz="4" w:space="0" w:color="auto"/>
              <w:bottom w:val="single" w:sz="4" w:space="0" w:color="auto"/>
              <w:right w:val="single" w:sz="4" w:space="0" w:color="auto"/>
            </w:tcBorders>
            <w:vAlign w:val="center"/>
          </w:tcPr>
          <w:p w14:paraId="6028DE29" w14:textId="77777777" w:rsidR="005929F6" w:rsidRPr="00FF41ED" w:rsidRDefault="005929F6" w:rsidP="00543857">
            <w:pPr>
              <w:spacing w:after="0" w:line="240" w:lineRule="auto"/>
              <w:rPr>
                <w:rFonts w:ascii="Aptos" w:eastAsia="Times New Roman" w:hAnsi="Aptos" w:cs="Times New Roman"/>
                <w:kern w:val="0"/>
                <w:szCs w:val="24"/>
                <w14:ligatures w14:val="none"/>
              </w:rPr>
            </w:pPr>
            <w:r w:rsidRPr="00FF41ED">
              <w:rPr>
                <w:rFonts w:ascii="Aptos" w:eastAsia="Times New Roman" w:hAnsi="Aptos" w:cs="Times New Roman"/>
                <w:kern w:val="0"/>
                <w:szCs w:val="24"/>
                <w14:ligatures w14:val="none"/>
              </w:rPr>
              <w:t xml:space="preserve">Non cash funding (pension liability and </w:t>
            </w:r>
            <w:r>
              <w:rPr>
                <w:rFonts w:ascii="Aptos" w:eastAsia="Times New Roman" w:hAnsi="Aptos" w:cs="Times New Roman"/>
                <w:kern w:val="0"/>
                <w:szCs w:val="24"/>
                <w14:ligatures w14:val="none"/>
              </w:rPr>
              <w:t>d</w:t>
            </w:r>
            <w:r w:rsidRPr="00FF41ED">
              <w:rPr>
                <w:rFonts w:ascii="Aptos" w:eastAsia="Times New Roman" w:hAnsi="Aptos" w:cs="Times New Roman"/>
                <w:kern w:val="0"/>
                <w:szCs w:val="24"/>
                <w14:ligatures w14:val="none"/>
              </w:rPr>
              <w:t>epr</w:t>
            </w:r>
            <w:r>
              <w:rPr>
                <w:rFonts w:ascii="Aptos" w:eastAsia="Times New Roman" w:hAnsi="Aptos" w:cs="Times New Roman"/>
                <w:kern w:val="0"/>
                <w:szCs w:val="24"/>
                <w14:ligatures w14:val="none"/>
              </w:rPr>
              <w:t>n</w:t>
            </w:r>
            <w:r w:rsidRPr="00FF41ED">
              <w:rPr>
                <w:rFonts w:ascii="Aptos" w:eastAsia="Times New Roman" w:hAnsi="Aptos" w:cs="Times New Roman"/>
                <w:kern w:val="0"/>
                <w:szCs w:val="24"/>
                <w14:ligatures w14:val="none"/>
              </w:rPr>
              <w:t>)</w:t>
            </w:r>
          </w:p>
        </w:tc>
        <w:tc>
          <w:tcPr>
            <w:tcW w:w="1559" w:type="dxa"/>
            <w:tcBorders>
              <w:top w:val="nil"/>
              <w:left w:val="single" w:sz="4" w:space="0" w:color="auto"/>
              <w:bottom w:val="single" w:sz="4" w:space="0" w:color="auto"/>
              <w:right w:val="single" w:sz="4" w:space="0" w:color="auto"/>
            </w:tcBorders>
            <w:vAlign w:val="center"/>
          </w:tcPr>
          <w:p w14:paraId="1ADFA99B" w14:textId="77777777" w:rsidR="005929F6" w:rsidRPr="00FF41ED" w:rsidRDefault="005929F6" w:rsidP="00476770">
            <w:pPr>
              <w:spacing w:after="0" w:line="240" w:lineRule="auto"/>
              <w:ind w:right="313"/>
              <w:jc w:val="right"/>
              <w:rPr>
                <w:rFonts w:ascii="Aptos" w:eastAsia="Times New Roman" w:hAnsi="Aptos" w:cs="Times New Roman"/>
                <w:b/>
                <w:kern w:val="0"/>
                <w:szCs w:val="24"/>
                <w14:ligatures w14:val="none"/>
              </w:rPr>
            </w:pPr>
            <w:r w:rsidRPr="00BD6AC6">
              <w:rPr>
                <w:rFonts w:ascii="Aptos" w:eastAsia="Times New Roman" w:hAnsi="Aptos" w:cs="Times New Roman"/>
                <w:b/>
                <w:color w:val="A20000"/>
                <w:kern w:val="0"/>
                <w:szCs w:val="24"/>
                <w14:ligatures w14:val="none"/>
              </w:rPr>
              <w:t>(6,500)</w:t>
            </w:r>
          </w:p>
        </w:tc>
      </w:tr>
      <w:tr w:rsidR="005929F6" w:rsidRPr="00FF41ED" w14:paraId="50881F2B" w14:textId="77777777" w:rsidTr="00476770">
        <w:trPr>
          <w:trHeight w:hRule="exact" w:val="332"/>
        </w:trPr>
        <w:tc>
          <w:tcPr>
            <w:tcW w:w="8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309361" w14:textId="41AFFE60" w:rsidR="005929F6" w:rsidRPr="00FF41ED" w:rsidRDefault="005929F6" w:rsidP="00543857">
            <w:pPr>
              <w:spacing w:after="0" w:line="240" w:lineRule="auto"/>
              <w:rPr>
                <w:rFonts w:ascii="Aptos" w:eastAsia="Times New Roman" w:hAnsi="Aptos" w:cs="Times New Roman"/>
                <w:b/>
                <w:bCs/>
                <w:kern w:val="0"/>
                <w:szCs w:val="24"/>
                <w14:ligatures w14:val="none"/>
              </w:rPr>
            </w:pPr>
            <w:r w:rsidRPr="00FF41ED">
              <w:rPr>
                <w:rFonts w:ascii="Aptos" w:eastAsia="Times New Roman" w:hAnsi="Aptos" w:cs="Times New Roman"/>
                <w:b/>
                <w:bCs/>
                <w:kern w:val="0"/>
                <w:szCs w:val="24"/>
                <w14:ligatures w14:val="none"/>
              </w:rPr>
              <w:t xml:space="preserve">Sub-Total </w:t>
            </w:r>
            <w:r w:rsidR="00AF640F">
              <w:rPr>
                <w:rFonts w:ascii="Aptos" w:eastAsia="Times New Roman" w:hAnsi="Aptos" w:cs="Times New Roman"/>
                <w:b/>
                <w:bCs/>
                <w:kern w:val="0"/>
                <w:szCs w:val="24"/>
                <w14:ligatures w14:val="none"/>
              </w:rPr>
              <w:t>c</w:t>
            </w:r>
            <w:r w:rsidRPr="00FF41ED">
              <w:rPr>
                <w:rFonts w:ascii="Aptos" w:eastAsia="Times New Roman" w:hAnsi="Aptos" w:cs="Times New Roman"/>
                <w:b/>
                <w:bCs/>
                <w:kern w:val="0"/>
                <w:szCs w:val="24"/>
                <w14:ligatures w14:val="none"/>
              </w:rPr>
              <w:t>ore and non-cash</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92B075" w14:textId="77777777" w:rsidR="005929F6" w:rsidRPr="00FF41ED" w:rsidRDefault="005929F6" w:rsidP="00476770">
            <w:pPr>
              <w:spacing w:after="0" w:line="240" w:lineRule="auto"/>
              <w:ind w:right="313"/>
              <w:jc w:val="right"/>
              <w:rPr>
                <w:rFonts w:ascii="Aptos" w:eastAsia="Times New Roman" w:hAnsi="Aptos" w:cs="Times New Roman"/>
                <w:b/>
                <w:bCs/>
                <w:color w:val="FF0000"/>
                <w:kern w:val="0"/>
                <w:szCs w:val="24"/>
                <w14:ligatures w14:val="none"/>
              </w:rPr>
            </w:pPr>
            <w:r w:rsidRPr="00FF41ED">
              <w:rPr>
                <w:rFonts w:ascii="Aptos" w:eastAsia="Times New Roman" w:hAnsi="Aptos" w:cs="Times New Roman"/>
                <w:b/>
                <w:bCs/>
                <w:kern w:val="0"/>
                <w:szCs w:val="24"/>
                <w14:ligatures w14:val="none"/>
              </w:rPr>
              <w:t>15,950</w:t>
            </w:r>
          </w:p>
        </w:tc>
      </w:tr>
      <w:tr w:rsidR="005929F6" w:rsidRPr="00FF41ED" w14:paraId="1E8C1521" w14:textId="77777777" w:rsidTr="00476770">
        <w:trPr>
          <w:trHeight w:hRule="exact" w:val="332"/>
        </w:trPr>
        <w:tc>
          <w:tcPr>
            <w:tcW w:w="8364" w:type="dxa"/>
            <w:tcBorders>
              <w:top w:val="single" w:sz="4" w:space="0" w:color="auto"/>
              <w:left w:val="single" w:sz="4" w:space="0" w:color="auto"/>
              <w:bottom w:val="nil"/>
              <w:right w:val="single" w:sz="4" w:space="0" w:color="auto"/>
            </w:tcBorders>
            <w:vAlign w:val="center"/>
          </w:tcPr>
          <w:p w14:paraId="112083FA" w14:textId="77777777" w:rsidR="005929F6" w:rsidRPr="00FF41ED" w:rsidRDefault="005929F6" w:rsidP="00543857">
            <w:pPr>
              <w:spacing w:after="0" w:line="240" w:lineRule="auto"/>
              <w:rPr>
                <w:rFonts w:ascii="Aptos" w:eastAsia="Times New Roman" w:hAnsi="Aptos" w:cs="Times New Roman"/>
                <w:kern w:val="0"/>
                <w:szCs w:val="24"/>
                <w14:ligatures w14:val="none"/>
              </w:rPr>
            </w:pPr>
            <w:r w:rsidRPr="00FF41ED">
              <w:rPr>
                <w:rFonts w:ascii="Aptos" w:eastAsia="Times New Roman" w:hAnsi="Aptos" w:cs="Times New Roman"/>
                <w:kern w:val="0"/>
                <w:szCs w:val="24"/>
                <w14:ligatures w14:val="none"/>
              </w:rPr>
              <w:t>Retained superannuation receipts</w:t>
            </w:r>
          </w:p>
        </w:tc>
        <w:tc>
          <w:tcPr>
            <w:tcW w:w="1559" w:type="dxa"/>
            <w:tcBorders>
              <w:top w:val="single" w:sz="4" w:space="0" w:color="auto"/>
              <w:left w:val="single" w:sz="4" w:space="0" w:color="auto"/>
              <w:bottom w:val="nil"/>
              <w:right w:val="single" w:sz="4" w:space="0" w:color="auto"/>
            </w:tcBorders>
            <w:vAlign w:val="center"/>
          </w:tcPr>
          <w:p w14:paraId="2773BFA6" w14:textId="77777777" w:rsidR="005929F6" w:rsidRPr="00FF41ED" w:rsidRDefault="005929F6" w:rsidP="00476770">
            <w:pPr>
              <w:spacing w:after="0" w:line="240" w:lineRule="auto"/>
              <w:ind w:right="313"/>
              <w:jc w:val="right"/>
              <w:rPr>
                <w:rFonts w:ascii="Aptos" w:eastAsia="Times New Roman" w:hAnsi="Aptos" w:cs="Times New Roman"/>
                <w:b/>
                <w:kern w:val="0"/>
                <w:szCs w:val="24"/>
                <w14:ligatures w14:val="none"/>
              </w:rPr>
            </w:pPr>
            <w:r w:rsidRPr="00FF41ED">
              <w:rPr>
                <w:rFonts w:ascii="Aptos" w:eastAsia="Times New Roman" w:hAnsi="Aptos" w:cs="Times New Roman"/>
                <w:b/>
                <w:kern w:val="0"/>
                <w:szCs w:val="24"/>
                <w14:ligatures w14:val="none"/>
              </w:rPr>
              <w:t>250</w:t>
            </w:r>
          </w:p>
        </w:tc>
      </w:tr>
      <w:tr w:rsidR="005929F6" w:rsidRPr="00FF41ED" w14:paraId="5A5DB82A" w14:textId="77777777" w:rsidTr="00476770">
        <w:trPr>
          <w:trHeight w:hRule="exact" w:val="332"/>
        </w:trPr>
        <w:tc>
          <w:tcPr>
            <w:tcW w:w="8364" w:type="dxa"/>
            <w:tcBorders>
              <w:top w:val="nil"/>
              <w:left w:val="single" w:sz="4" w:space="0" w:color="auto"/>
              <w:bottom w:val="nil"/>
              <w:right w:val="single" w:sz="4" w:space="0" w:color="auto"/>
            </w:tcBorders>
            <w:vAlign w:val="center"/>
          </w:tcPr>
          <w:p w14:paraId="7F1353F3" w14:textId="6B6D4346" w:rsidR="005929F6" w:rsidRPr="00FF41ED" w:rsidRDefault="005929F6" w:rsidP="00543857">
            <w:pPr>
              <w:spacing w:after="0" w:line="240" w:lineRule="auto"/>
              <w:rPr>
                <w:rFonts w:ascii="Aptos" w:eastAsia="Times New Roman" w:hAnsi="Aptos" w:cs="Times New Roman"/>
                <w:kern w:val="0"/>
                <w:szCs w:val="24"/>
                <w14:ligatures w14:val="none"/>
              </w:rPr>
            </w:pPr>
            <w:r w:rsidRPr="00FF41ED">
              <w:rPr>
                <w:rFonts w:ascii="Aptos" w:eastAsia="Times New Roman" w:hAnsi="Aptos" w:cs="Times New Roman"/>
                <w:kern w:val="0"/>
                <w:szCs w:val="24"/>
                <w14:ligatures w14:val="none"/>
              </w:rPr>
              <w:t xml:space="preserve">Additional funding for Grant Funding/SWRC </w:t>
            </w:r>
          </w:p>
        </w:tc>
        <w:tc>
          <w:tcPr>
            <w:tcW w:w="1559" w:type="dxa"/>
            <w:tcBorders>
              <w:top w:val="nil"/>
              <w:left w:val="single" w:sz="4" w:space="0" w:color="auto"/>
              <w:bottom w:val="nil"/>
              <w:right w:val="single" w:sz="4" w:space="0" w:color="auto"/>
            </w:tcBorders>
            <w:vAlign w:val="center"/>
          </w:tcPr>
          <w:p w14:paraId="23887DA0" w14:textId="59BAB529" w:rsidR="005929F6" w:rsidRPr="00FF41ED" w:rsidRDefault="005929F6" w:rsidP="00476770">
            <w:pPr>
              <w:spacing w:after="0" w:line="240" w:lineRule="auto"/>
              <w:ind w:right="313"/>
              <w:jc w:val="right"/>
              <w:rPr>
                <w:rFonts w:ascii="Aptos" w:eastAsia="Times New Roman" w:hAnsi="Aptos" w:cs="Times New Roman"/>
                <w:b/>
                <w:kern w:val="0"/>
                <w:szCs w:val="24"/>
                <w:vertAlign w:val="superscript"/>
                <w14:ligatures w14:val="none"/>
              </w:rPr>
            </w:pPr>
            <w:r w:rsidRPr="00FF41ED">
              <w:rPr>
                <w:rFonts w:ascii="Aptos" w:eastAsia="Times New Roman" w:hAnsi="Aptos" w:cs="Times New Roman"/>
                <w:b/>
                <w:kern w:val="0"/>
                <w:szCs w:val="24"/>
                <w14:ligatures w14:val="none"/>
              </w:rPr>
              <w:t>20</w:t>
            </w:r>
          </w:p>
          <w:p w14:paraId="46482FC7" w14:textId="77777777" w:rsidR="005929F6" w:rsidRPr="00FF41ED" w:rsidRDefault="005929F6" w:rsidP="00476770">
            <w:pPr>
              <w:spacing w:after="0" w:line="240" w:lineRule="auto"/>
              <w:ind w:right="313"/>
              <w:jc w:val="right"/>
              <w:rPr>
                <w:rFonts w:ascii="Aptos" w:eastAsia="Times New Roman" w:hAnsi="Aptos" w:cs="Times New Roman"/>
                <w:b/>
                <w:kern w:val="0"/>
                <w:szCs w:val="24"/>
                <w14:ligatures w14:val="none"/>
              </w:rPr>
            </w:pPr>
          </w:p>
        </w:tc>
      </w:tr>
      <w:tr w:rsidR="005929F6" w:rsidRPr="00FF41ED" w14:paraId="45A16468" w14:textId="77777777" w:rsidTr="00476770">
        <w:trPr>
          <w:trHeight w:hRule="exact" w:val="332"/>
        </w:trPr>
        <w:tc>
          <w:tcPr>
            <w:tcW w:w="8364" w:type="dxa"/>
            <w:tcBorders>
              <w:top w:val="nil"/>
              <w:left w:val="single" w:sz="4" w:space="0" w:color="auto"/>
              <w:bottom w:val="nil"/>
              <w:right w:val="single" w:sz="4" w:space="0" w:color="auto"/>
            </w:tcBorders>
            <w:vAlign w:val="center"/>
          </w:tcPr>
          <w:p w14:paraId="586EF90D" w14:textId="77777777" w:rsidR="005929F6" w:rsidRPr="00FF41ED" w:rsidRDefault="005929F6" w:rsidP="00543857">
            <w:pPr>
              <w:spacing w:after="0" w:line="240" w:lineRule="auto"/>
              <w:rPr>
                <w:rFonts w:ascii="Aptos" w:eastAsia="Times New Roman" w:hAnsi="Aptos" w:cs="Times New Roman"/>
                <w:kern w:val="0"/>
                <w:szCs w:val="24"/>
                <w14:ligatures w14:val="none"/>
              </w:rPr>
            </w:pPr>
            <w:r w:rsidRPr="00FF41ED">
              <w:rPr>
                <w:rFonts w:ascii="Aptos" w:eastAsia="Times New Roman" w:hAnsi="Aptos" w:cs="Times New Roman"/>
                <w:kern w:val="0"/>
                <w:szCs w:val="24"/>
                <w14:ligatures w14:val="none"/>
              </w:rPr>
              <w:t>Pension Pressure (additional funding from SG</w:t>
            </w:r>
            <w:r>
              <w:rPr>
                <w:rFonts w:ascii="Aptos" w:eastAsia="Times New Roman" w:hAnsi="Aptos" w:cs="Times New Roman"/>
                <w:kern w:val="0"/>
                <w:szCs w:val="24"/>
                <w14:ligatures w14:val="none"/>
              </w:rPr>
              <w:t xml:space="preserve"> if pensions exceed £2.2m)</w:t>
            </w:r>
          </w:p>
        </w:tc>
        <w:tc>
          <w:tcPr>
            <w:tcW w:w="1559" w:type="dxa"/>
            <w:tcBorders>
              <w:top w:val="nil"/>
              <w:left w:val="single" w:sz="4" w:space="0" w:color="auto"/>
              <w:bottom w:val="nil"/>
              <w:right w:val="single" w:sz="4" w:space="0" w:color="auto"/>
            </w:tcBorders>
            <w:vAlign w:val="center"/>
          </w:tcPr>
          <w:p w14:paraId="345540BD" w14:textId="77777777" w:rsidR="005929F6" w:rsidRPr="00FF41ED" w:rsidRDefault="005929F6" w:rsidP="00476770">
            <w:pPr>
              <w:spacing w:after="0" w:line="240" w:lineRule="auto"/>
              <w:ind w:right="313"/>
              <w:jc w:val="right"/>
              <w:rPr>
                <w:rFonts w:ascii="Aptos" w:eastAsia="Times New Roman" w:hAnsi="Aptos" w:cs="Times New Roman"/>
                <w:b/>
                <w:kern w:val="0"/>
                <w:szCs w:val="24"/>
                <w14:ligatures w14:val="none"/>
              </w:rPr>
            </w:pPr>
            <w:r w:rsidRPr="00FF41ED">
              <w:rPr>
                <w:rFonts w:ascii="Aptos" w:eastAsia="Times New Roman" w:hAnsi="Aptos" w:cs="Times New Roman"/>
                <w:b/>
                <w:kern w:val="0"/>
                <w:szCs w:val="24"/>
                <w14:ligatures w14:val="none"/>
              </w:rPr>
              <w:t>-</w:t>
            </w:r>
          </w:p>
        </w:tc>
      </w:tr>
      <w:tr w:rsidR="005929F6" w:rsidRPr="00FF41ED" w14:paraId="58668433" w14:textId="77777777" w:rsidTr="00476770">
        <w:trPr>
          <w:trHeight w:hRule="exact" w:val="332"/>
        </w:trPr>
        <w:tc>
          <w:tcPr>
            <w:tcW w:w="8364" w:type="dxa"/>
            <w:tcBorders>
              <w:top w:val="nil"/>
              <w:left w:val="single" w:sz="4" w:space="0" w:color="auto"/>
              <w:bottom w:val="single" w:sz="4" w:space="0" w:color="auto"/>
              <w:right w:val="single" w:sz="4" w:space="0" w:color="auto"/>
            </w:tcBorders>
            <w:vAlign w:val="center"/>
          </w:tcPr>
          <w:p w14:paraId="5B95CA23" w14:textId="77777777" w:rsidR="005929F6" w:rsidRPr="00FF41ED" w:rsidRDefault="005929F6" w:rsidP="00543857">
            <w:pPr>
              <w:spacing w:after="0" w:line="240" w:lineRule="auto"/>
              <w:rPr>
                <w:rFonts w:ascii="Aptos" w:eastAsia="Times New Roman" w:hAnsi="Aptos" w:cs="Times New Roman"/>
                <w:kern w:val="0"/>
                <w:szCs w:val="24"/>
                <w14:ligatures w14:val="none"/>
              </w:rPr>
            </w:pPr>
            <w:r w:rsidRPr="00FF41ED">
              <w:rPr>
                <w:rFonts w:ascii="Aptos" w:eastAsia="Times New Roman" w:hAnsi="Aptos" w:cs="Times New Roman"/>
                <w:kern w:val="0"/>
                <w:szCs w:val="24"/>
                <w14:ligatures w14:val="none"/>
              </w:rPr>
              <w:t xml:space="preserve">Additional Funding </w:t>
            </w:r>
            <w:r>
              <w:rPr>
                <w:rFonts w:ascii="Aptos" w:eastAsia="Times New Roman" w:hAnsi="Aptos" w:cs="Times New Roman"/>
                <w:kern w:val="0"/>
                <w:szCs w:val="24"/>
                <w14:ligatures w14:val="none"/>
              </w:rPr>
              <w:t xml:space="preserve">60% of additional </w:t>
            </w:r>
            <w:r w:rsidRPr="00FF41ED">
              <w:rPr>
                <w:rFonts w:ascii="Aptos" w:eastAsia="Times New Roman" w:hAnsi="Aptos" w:cs="Times New Roman"/>
                <w:kern w:val="0"/>
                <w:szCs w:val="24"/>
                <w14:ligatures w14:val="none"/>
              </w:rPr>
              <w:t>ERNIC</w:t>
            </w:r>
            <w:r>
              <w:rPr>
                <w:rFonts w:ascii="Aptos" w:eastAsia="Times New Roman" w:hAnsi="Aptos" w:cs="Times New Roman"/>
                <w:kern w:val="0"/>
                <w:szCs w:val="24"/>
                <w14:ligatures w14:val="none"/>
              </w:rPr>
              <w:t xml:space="preserve"> costs</w:t>
            </w:r>
          </w:p>
        </w:tc>
        <w:tc>
          <w:tcPr>
            <w:tcW w:w="1559" w:type="dxa"/>
            <w:tcBorders>
              <w:top w:val="nil"/>
              <w:left w:val="single" w:sz="4" w:space="0" w:color="auto"/>
              <w:bottom w:val="single" w:sz="4" w:space="0" w:color="auto"/>
              <w:right w:val="single" w:sz="4" w:space="0" w:color="auto"/>
            </w:tcBorders>
            <w:vAlign w:val="center"/>
          </w:tcPr>
          <w:p w14:paraId="1C78912F" w14:textId="77777777" w:rsidR="005929F6" w:rsidRPr="00FF41ED" w:rsidRDefault="005929F6" w:rsidP="00476770">
            <w:pPr>
              <w:spacing w:after="0" w:line="240" w:lineRule="auto"/>
              <w:ind w:right="313"/>
              <w:jc w:val="right"/>
              <w:rPr>
                <w:rFonts w:ascii="Aptos" w:eastAsia="Times New Roman" w:hAnsi="Aptos" w:cs="Times New Roman"/>
                <w:b/>
                <w:kern w:val="0"/>
                <w:szCs w:val="24"/>
                <w14:ligatures w14:val="none"/>
              </w:rPr>
            </w:pPr>
            <w:r w:rsidRPr="00FF41ED">
              <w:rPr>
                <w:rFonts w:ascii="Aptos" w:eastAsia="Times New Roman" w:hAnsi="Aptos" w:cs="Times New Roman"/>
                <w:b/>
                <w:kern w:val="0"/>
                <w:szCs w:val="24"/>
                <w14:ligatures w14:val="none"/>
              </w:rPr>
              <w:t>79</w:t>
            </w:r>
          </w:p>
        </w:tc>
      </w:tr>
      <w:tr w:rsidR="005929F6" w:rsidRPr="00FF41ED" w14:paraId="127D9038" w14:textId="77777777" w:rsidTr="00476770">
        <w:trPr>
          <w:trHeight w:hRule="exact" w:val="415"/>
        </w:trPr>
        <w:tc>
          <w:tcPr>
            <w:tcW w:w="8364" w:type="dxa"/>
            <w:tcBorders>
              <w:top w:val="single" w:sz="4" w:space="0" w:color="auto"/>
              <w:bottom w:val="single" w:sz="4" w:space="0" w:color="auto"/>
            </w:tcBorders>
            <w:shd w:val="clear" w:color="auto" w:fill="BFBFBF" w:themeFill="background1" w:themeFillShade="BF"/>
            <w:vAlign w:val="center"/>
          </w:tcPr>
          <w:p w14:paraId="6FEA8758" w14:textId="77777777" w:rsidR="005929F6" w:rsidRPr="00FF41ED" w:rsidRDefault="005929F6" w:rsidP="00543857">
            <w:pPr>
              <w:spacing w:after="0" w:line="240" w:lineRule="auto"/>
              <w:rPr>
                <w:rFonts w:ascii="Aptos" w:eastAsia="Times New Roman" w:hAnsi="Aptos" w:cs="Times New Roman"/>
                <w:b/>
                <w:bCs/>
                <w:kern w:val="0"/>
                <w:szCs w:val="24"/>
                <w14:ligatures w14:val="none"/>
              </w:rPr>
            </w:pPr>
            <w:r w:rsidRPr="00FF41ED">
              <w:rPr>
                <w:rFonts w:ascii="Aptos" w:eastAsia="Times New Roman" w:hAnsi="Aptos" w:cs="Times New Roman"/>
                <w:b/>
                <w:bCs/>
                <w:kern w:val="0"/>
                <w:szCs w:val="24"/>
                <w14:ligatures w14:val="none"/>
              </w:rPr>
              <w:t>Total available in year funding</w:t>
            </w:r>
          </w:p>
        </w:tc>
        <w:tc>
          <w:tcPr>
            <w:tcW w:w="1559" w:type="dxa"/>
            <w:tcBorders>
              <w:top w:val="single" w:sz="4" w:space="0" w:color="auto"/>
              <w:bottom w:val="single" w:sz="4" w:space="0" w:color="auto"/>
            </w:tcBorders>
            <w:shd w:val="clear" w:color="auto" w:fill="BFBFBF" w:themeFill="background1" w:themeFillShade="BF"/>
            <w:vAlign w:val="center"/>
          </w:tcPr>
          <w:p w14:paraId="13572D9D" w14:textId="77777777" w:rsidR="005929F6" w:rsidRPr="00FF41ED" w:rsidRDefault="005929F6" w:rsidP="00476770">
            <w:pPr>
              <w:spacing w:after="0" w:line="240" w:lineRule="auto"/>
              <w:ind w:right="313"/>
              <w:jc w:val="right"/>
              <w:rPr>
                <w:rFonts w:ascii="Aptos" w:eastAsia="Times New Roman" w:hAnsi="Aptos" w:cs="Times New Roman"/>
                <w:b/>
                <w:bCs/>
                <w:kern w:val="0"/>
                <w:szCs w:val="20"/>
                <w14:ligatures w14:val="none"/>
              </w:rPr>
            </w:pPr>
            <w:r w:rsidRPr="00FF41ED">
              <w:rPr>
                <w:rFonts w:ascii="Aptos" w:eastAsia="Times New Roman" w:hAnsi="Aptos" w:cs="Times New Roman"/>
                <w:b/>
                <w:bCs/>
                <w:kern w:val="0"/>
                <w:szCs w:val="20"/>
                <w14:ligatures w14:val="none"/>
              </w:rPr>
              <w:t>16,299</w:t>
            </w:r>
          </w:p>
        </w:tc>
      </w:tr>
    </w:tbl>
    <w:p w14:paraId="15605AB1" w14:textId="77777777" w:rsidR="005929F6" w:rsidRPr="005929F6" w:rsidRDefault="005929F6" w:rsidP="001F48D4">
      <w:pPr>
        <w:spacing w:after="0"/>
        <w:rPr>
          <w:lang w:val="en-US"/>
        </w:rPr>
      </w:pPr>
    </w:p>
    <w:p w14:paraId="21E2238C" w14:textId="6058941C" w:rsidR="00AB4C34" w:rsidRDefault="00211F0D" w:rsidP="00211F0D">
      <w:pPr>
        <w:pStyle w:val="Heading2"/>
      </w:pPr>
      <w:r>
        <w:t>KPI Performance</w:t>
      </w:r>
    </w:p>
    <w:p w14:paraId="16051551" w14:textId="09F5AEE4" w:rsidR="00211F0D" w:rsidRPr="00211F0D" w:rsidRDefault="00211F0D" w:rsidP="00211F0D">
      <w:pPr>
        <w:pStyle w:val="Heading3"/>
      </w:pPr>
      <w:r>
        <w:t xml:space="preserve">Invoice </w:t>
      </w:r>
      <w:r w:rsidR="00B33B2E">
        <w:t>t</w:t>
      </w:r>
      <w:r>
        <w:t xml:space="preserve">urnaround </w:t>
      </w:r>
      <w:r w:rsidR="00B33B2E">
        <w:t>t</w:t>
      </w:r>
      <w:r>
        <w:t>imes</w:t>
      </w:r>
    </w:p>
    <w:p w14:paraId="60468BA7" w14:textId="77777777" w:rsidR="00211F0D" w:rsidRDefault="00211F0D" w:rsidP="00211F0D">
      <w:pPr>
        <w:numPr>
          <w:ilvl w:val="0"/>
          <w:numId w:val="9"/>
        </w:numPr>
      </w:pPr>
      <w:r w:rsidRPr="00211F0D">
        <w:t>The table below shows invoice payment performance for both 10 and 30 days, the former being our operational target and the latter being our normal contractual obligation. Both remain steady, above the Scottish Government threshold of 95%.</w:t>
      </w:r>
    </w:p>
    <w:tbl>
      <w:tblPr>
        <w:tblW w:w="10184" w:type="dxa"/>
        <w:tblInd w:w="-10" w:type="dxa"/>
        <w:tblCellMar>
          <w:left w:w="0" w:type="dxa"/>
          <w:right w:w="0" w:type="dxa"/>
        </w:tblCellMar>
        <w:tblLook w:val="04A0" w:firstRow="1" w:lastRow="0" w:firstColumn="1" w:lastColumn="0" w:noHBand="0" w:noVBand="1"/>
        <w:tblCaption w:val="Table showing invoice turnaround times for the year to 30 June 2025."/>
        <w:tblDescription w:val="2024-25 Admin paid within 10 days was 99% and 30 days was 99%&#10;2024-25 Fund paid within 10 days was 96% and 30 days was 99%.&#10;2025-26 Admin paid within 10 days was 100% and 30 days was 100%.&#10;2025-26 Fund paid within 10 days was 100% and 30 days was 100%."/>
      </w:tblPr>
      <w:tblGrid>
        <w:gridCol w:w="2263"/>
        <w:gridCol w:w="1898"/>
        <w:gridCol w:w="2007"/>
        <w:gridCol w:w="2007"/>
        <w:gridCol w:w="2009"/>
      </w:tblGrid>
      <w:tr w:rsidR="00211F0D" w:rsidRPr="00C424CA" w14:paraId="14B61FD7" w14:textId="77777777" w:rsidTr="008573CD">
        <w:trPr>
          <w:trHeight w:val="343"/>
        </w:trPr>
        <w:tc>
          <w:tcPr>
            <w:tcW w:w="10184" w:type="dxa"/>
            <w:gridSpan w:val="5"/>
            <w:tcBorders>
              <w:top w:val="single" w:sz="8" w:space="0" w:color="auto"/>
              <w:left w:val="single" w:sz="8" w:space="0" w:color="auto"/>
              <w:right w:val="single" w:sz="8" w:space="0" w:color="000000"/>
            </w:tcBorders>
            <w:shd w:val="clear" w:color="auto" w:fill="174DA3"/>
            <w:tcMar>
              <w:top w:w="0" w:type="dxa"/>
              <w:left w:w="108" w:type="dxa"/>
              <w:bottom w:w="0" w:type="dxa"/>
              <w:right w:w="108" w:type="dxa"/>
            </w:tcMar>
            <w:vAlign w:val="center"/>
            <w:hideMark/>
          </w:tcPr>
          <w:p w14:paraId="1C661EBE" w14:textId="77777777" w:rsidR="00211F0D" w:rsidRPr="004A3844" w:rsidRDefault="00211F0D" w:rsidP="00543857">
            <w:pPr>
              <w:spacing w:after="0" w:line="240" w:lineRule="auto"/>
              <w:jc w:val="center"/>
              <w:rPr>
                <w:rFonts w:ascii="Aptos" w:eastAsia="Times New Roman" w:hAnsi="Aptos" w:cs="Times New Roman"/>
                <w:b/>
                <w:bCs/>
                <w:color w:val="000000"/>
                <w:kern w:val="0"/>
                <w:szCs w:val="24"/>
                <w:lang w:eastAsia="en-GB"/>
                <w14:ligatures w14:val="none"/>
              </w:rPr>
            </w:pPr>
            <w:r w:rsidRPr="008573CD">
              <w:rPr>
                <w:rFonts w:ascii="Aptos" w:eastAsia="Times New Roman" w:hAnsi="Aptos" w:cs="Times New Roman"/>
                <w:b/>
                <w:bCs/>
                <w:color w:val="FFFFFF" w:themeColor="background1"/>
                <w:kern w:val="0"/>
                <w:szCs w:val="24"/>
                <w:lang w:eastAsia="en-GB"/>
                <w14:ligatures w14:val="none"/>
              </w:rPr>
              <w:t>            For the Year to 30-June-25</w:t>
            </w:r>
          </w:p>
        </w:tc>
      </w:tr>
      <w:tr w:rsidR="00211F0D" w:rsidRPr="00C424CA" w14:paraId="7640A907" w14:textId="77777777" w:rsidTr="008573CD">
        <w:trPr>
          <w:trHeight w:val="341"/>
        </w:trPr>
        <w:tc>
          <w:tcPr>
            <w:tcW w:w="2263" w:type="dxa"/>
            <w:vMerge w:val="restart"/>
            <w:tcBorders>
              <w:right w:val="single" w:sz="4" w:space="0" w:color="auto"/>
            </w:tcBorders>
            <w:tcMar>
              <w:top w:w="0" w:type="dxa"/>
              <w:left w:w="108" w:type="dxa"/>
              <w:bottom w:w="0" w:type="dxa"/>
              <w:right w:w="108" w:type="dxa"/>
            </w:tcMar>
            <w:vAlign w:val="center"/>
            <w:hideMark/>
          </w:tcPr>
          <w:p w14:paraId="29F03327" w14:textId="77777777" w:rsidR="00211F0D" w:rsidRPr="004A3844" w:rsidRDefault="00211F0D" w:rsidP="00543857">
            <w:pPr>
              <w:spacing w:after="0" w:line="240" w:lineRule="auto"/>
              <w:rPr>
                <w:rFonts w:ascii="Aptos" w:eastAsia="Times New Roman" w:hAnsi="Aptos" w:cs="Times New Roman"/>
                <w:b/>
                <w:bCs/>
                <w:color w:val="000000"/>
                <w:kern w:val="0"/>
                <w:szCs w:val="24"/>
                <w:highlight w:val="yellow"/>
                <w:lang w:eastAsia="en-GB"/>
                <w14:ligatures w14:val="none"/>
              </w:rPr>
            </w:pPr>
          </w:p>
        </w:tc>
        <w:tc>
          <w:tcPr>
            <w:tcW w:w="39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733E9" w14:textId="77777777" w:rsidR="00211F0D" w:rsidRPr="004A3844" w:rsidRDefault="00211F0D" w:rsidP="00543857">
            <w:pPr>
              <w:spacing w:after="0" w:line="240" w:lineRule="auto"/>
              <w:jc w:val="center"/>
              <w:rPr>
                <w:rFonts w:ascii="Aptos" w:eastAsia="Times New Roman" w:hAnsi="Aptos" w:cs="Times New Roman"/>
                <w:b/>
                <w:bCs/>
                <w:color w:val="000000"/>
                <w:kern w:val="0"/>
                <w:szCs w:val="24"/>
                <w:lang w:eastAsia="en-GB"/>
                <w14:ligatures w14:val="none"/>
              </w:rPr>
            </w:pPr>
            <w:r w:rsidRPr="004A3844">
              <w:rPr>
                <w:rFonts w:ascii="Aptos" w:eastAsia="Times New Roman" w:hAnsi="Aptos" w:cs="Times New Roman"/>
                <w:b/>
                <w:bCs/>
                <w:kern w:val="0"/>
                <w:szCs w:val="24"/>
                <w14:ligatures w14:val="none"/>
              </w:rPr>
              <w:t>YTD % paid within 10 days</w:t>
            </w:r>
          </w:p>
        </w:tc>
        <w:tc>
          <w:tcPr>
            <w:tcW w:w="40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F5C32" w14:textId="77777777" w:rsidR="00211F0D" w:rsidRPr="004A3844" w:rsidRDefault="00211F0D" w:rsidP="00543857">
            <w:pPr>
              <w:spacing w:after="0" w:line="240" w:lineRule="auto"/>
              <w:jc w:val="center"/>
              <w:rPr>
                <w:rFonts w:ascii="Aptos" w:eastAsia="Times New Roman" w:hAnsi="Aptos" w:cs="Times New Roman"/>
                <w:b/>
                <w:bCs/>
                <w:color w:val="000000"/>
                <w:kern w:val="0"/>
                <w:szCs w:val="24"/>
                <w:lang w:eastAsia="en-GB"/>
                <w14:ligatures w14:val="none"/>
              </w:rPr>
            </w:pPr>
            <w:r w:rsidRPr="004A3844">
              <w:rPr>
                <w:rFonts w:ascii="Aptos" w:eastAsia="Times New Roman" w:hAnsi="Aptos" w:cs="Times New Roman"/>
                <w:b/>
                <w:bCs/>
                <w:kern w:val="0"/>
                <w:szCs w:val="24"/>
                <w14:ligatures w14:val="none"/>
              </w:rPr>
              <w:t>YTD % paid within 30 days</w:t>
            </w:r>
          </w:p>
        </w:tc>
      </w:tr>
      <w:tr w:rsidR="00211F0D" w:rsidRPr="00C424CA" w14:paraId="6FFF7379" w14:textId="77777777" w:rsidTr="008573CD">
        <w:trPr>
          <w:trHeight w:val="392"/>
        </w:trPr>
        <w:tc>
          <w:tcPr>
            <w:tcW w:w="2263" w:type="dxa"/>
            <w:vMerge/>
            <w:tcBorders>
              <w:bottom w:val="single" w:sz="4" w:space="0" w:color="auto"/>
              <w:right w:val="single" w:sz="4" w:space="0" w:color="auto"/>
            </w:tcBorders>
            <w:vAlign w:val="center"/>
            <w:hideMark/>
          </w:tcPr>
          <w:p w14:paraId="29A15A98" w14:textId="77777777" w:rsidR="00211F0D" w:rsidRPr="004A3844" w:rsidRDefault="00211F0D" w:rsidP="00543857">
            <w:pPr>
              <w:spacing w:after="0" w:line="240" w:lineRule="auto"/>
              <w:rPr>
                <w:rFonts w:ascii="Aptos" w:eastAsia="Calibri" w:hAnsi="Aptos" w:cs="Times New Roman"/>
                <w:b/>
                <w:bCs/>
                <w:color w:val="000000"/>
                <w:kern w:val="0"/>
                <w:szCs w:val="24"/>
                <w:highlight w:val="yellow"/>
                <w:lang w:eastAsia="en-GB"/>
                <w14:ligatures w14:val="none"/>
              </w:rPr>
            </w:pP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1D462C" w14:textId="64A6FC56" w:rsidR="00211F0D" w:rsidRPr="004A3844" w:rsidRDefault="00211F0D" w:rsidP="00543857">
            <w:pPr>
              <w:spacing w:after="0" w:line="240" w:lineRule="auto"/>
              <w:jc w:val="center"/>
              <w:rPr>
                <w:rFonts w:ascii="Aptos" w:eastAsia="Times New Roman" w:hAnsi="Aptos" w:cs="Times New Roman"/>
                <w:b/>
                <w:bCs/>
                <w:color w:val="000000"/>
                <w:kern w:val="0"/>
                <w:szCs w:val="24"/>
                <w:highlight w:val="yellow"/>
                <w:lang w:eastAsia="en-GB"/>
                <w14:ligatures w14:val="none"/>
              </w:rPr>
            </w:pPr>
            <w:r w:rsidRPr="008573CD">
              <w:rPr>
                <w:rFonts w:ascii="Aptos" w:eastAsia="Times New Roman" w:hAnsi="Aptos" w:cs="Calibri"/>
                <w:b/>
                <w:bCs/>
                <w:color w:val="174DA3"/>
                <w:kern w:val="0"/>
                <w:szCs w:val="24"/>
                <w14:ligatures w14:val="none"/>
              </w:rPr>
              <w:t>2025-26</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9CE5E" w14:textId="752B688C" w:rsidR="00211F0D" w:rsidRPr="004A3844" w:rsidRDefault="00211F0D" w:rsidP="00543857">
            <w:pPr>
              <w:spacing w:after="0" w:line="240" w:lineRule="auto"/>
              <w:jc w:val="center"/>
              <w:rPr>
                <w:rFonts w:ascii="Aptos" w:eastAsia="Times New Roman" w:hAnsi="Aptos" w:cs="Times New Roman"/>
                <w:b/>
                <w:bCs/>
                <w:color w:val="000000"/>
                <w:kern w:val="0"/>
                <w:szCs w:val="24"/>
                <w:lang w:eastAsia="en-GB"/>
                <w14:ligatures w14:val="none"/>
              </w:rPr>
            </w:pPr>
            <w:r w:rsidRPr="004A3844">
              <w:rPr>
                <w:rFonts w:ascii="Aptos" w:eastAsia="Times New Roman" w:hAnsi="Aptos" w:cs="Calibri"/>
                <w:b/>
                <w:bCs/>
                <w:color w:val="000000"/>
                <w:kern w:val="0"/>
                <w:szCs w:val="24"/>
                <w14:ligatures w14:val="none"/>
              </w:rPr>
              <w:t>2024-25</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0EB175" w14:textId="1D56C5FD" w:rsidR="00211F0D" w:rsidRPr="004A3844" w:rsidRDefault="00211F0D" w:rsidP="00543857">
            <w:pPr>
              <w:spacing w:after="0" w:line="240" w:lineRule="auto"/>
              <w:jc w:val="center"/>
              <w:rPr>
                <w:rFonts w:ascii="Aptos" w:eastAsia="Times New Roman" w:hAnsi="Aptos" w:cs="Times New Roman"/>
                <w:b/>
                <w:bCs/>
                <w:color w:val="000000"/>
                <w:kern w:val="0"/>
                <w:szCs w:val="24"/>
                <w:lang w:eastAsia="en-GB"/>
                <w14:ligatures w14:val="none"/>
              </w:rPr>
            </w:pPr>
            <w:r w:rsidRPr="008573CD">
              <w:rPr>
                <w:rFonts w:ascii="Aptos" w:eastAsia="Times New Roman" w:hAnsi="Aptos" w:cs="Calibri"/>
                <w:b/>
                <w:bCs/>
                <w:color w:val="174DA3"/>
                <w:kern w:val="0"/>
                <w:szCs w:val="24"/>
                <w14:ligatures w14:val="none"/>
              </w:rPr>
              <w:t>2025-26</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BAB005" w14:textId="24F62998" w:rsidR="00211F0D" w:rsidRPr="004A3844" w:rsidRDefault="00211F0D" w:rsidP="00543857">
            <w:pPr>
              <w:spacing w:after="0" w:line="240" w:lineRule="auto"/>
              <w:jc w:val="center"/>
              <w:rPr>
                <w:rFonts w:ascii="Aptos" w:eastAsia="Times New Roman" w:hAnsi="Aptos" w:cs="Times New Roman"/>
                <w:b/>
                <w:bCs/>
                <w:color w:val="000000"/>
                <w:kern w:val="0"/>
                <w:szCs w:val="24"/>
                <w:lang w:eastAsia="en-GB"/>
                <w14:ligatures w14:val="none"/>
              </w:rPr>
            </w:pPr>
            <w:r w:rsidRPr="004A3844">
              <w:rPr>
                <w:rFonts w:ascii="Aptos" w:eastAsia="Times New Roman" w:hAnsi="Aptos" w:cs="Calibri"/>
                <w:b/>
                <w:bCs/>
                <w:color w:val="000000"/>
                <w:kern w:val="0"/>
                <w:szCs w:val="24"/>
                <w14:ligatures w14:val="none"/>
              </w:rPr>
              <w:t>2024-25</w:t>
            </w:r>
          </w:p>
        </w:tc>
      </w:tr>
      <w:tr w:rsidR="00211F0D" w:rsidRPr="00C424CA" w14:paraId="5D2B7AAB" w14:textId="77777777" w:rsidTr="008573CD">
        <w:trPr>
          <w:trHeight w:val="313"/>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FDE9FC" w14:textId="77777777" w:rsidR="00211F0D" w:rsidRPr="004A3844" w:rsidRDefault="00211F0D" w:rsidP="00543857">
            <w:pPr>
              <w:spacing w:after="0" w:line="240" w:lineRule="auto"/>
              <w:rPr>
                <w:rFonts w:ascii="Aptos" w:eastAsia="Times New Roman" w:hAnsi="Aptos" w:cs="Calibri"/>
                <w:b/>
                <w:bCs/>
                <w:color w:val="000000"/>
                <w:kern w:val="0"/>
                <w:szCs w:val="24"/>
                <w:lang w:eastAsia="en-GB"/>
                <w14:ligatures w14:val="none"/>
              </w:rPr>
            </w:pPr>
            <w:r w:rsidRPr="004A3844">
              <w:rPr>
                <w:rFonts w:ascii="Aptos" w:eastAsia="Times New Roman" w:hAnsi="Aptos" w:cs="Calibri"/>
                <w:b/>
                <w:bCs/>
                <w:color w:val="000000"/>
                <w:kern w:val="0"/>
                <w:szCs w:val="24"/>
                <w14:ligatures w14:val="none"/>
              </w:rPr>
              <w:t>Admin</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63A4B" w14:textId="77777777" w:rsidR="00211F0D" w:rsidRPr="004A3844" w:rsidRDefault="00211F0D" w:rsidP="00543857">
            <w:pPr>
              <w:spacing w:after="0" w:line="240" w:lineRule="auto"/>
              <w:jc w:val="center"/>
              <w:rPr>
                <w:rFonts w:eastAsia="Times New Roman" w:cs="Calibri"/>
                <w:color w:val="000000"/>
                <w:kern w:val="0"/>
                <w:szCs w:val="24"/>
                <w:highlight w:val="yellow"/>
                <w:lang w:eastAsia="en-GB"/>
                <w14:ligatures w14:val="none"/>
              </w:rPr>
            </w:pPr>
            <w:r w:rsidRPr="004A3844">
              <w:rPr>
                <w:rFonts w:cs="Calibri"/>
                <w:color w:val="000000"/>
                <w:szCs w:val="24"/>
              </w:rPr>
              <w:t>100%</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72F9B" w14:textId="77777777" w:rsidR="00211F0D" w:rsidRPr="004A3844" w:rsidRDefault="00211F0D" w:rsidP="00543857">
            <w:pPr>
              <w:spacing w:after="0" w:line="240" w:lineRule="auto"/>
              <w:jc w:val="center"/>
              <w:rPr>
                <w:rFonts w:eastAsia="Times New Roman" w:cs="Calibri"/>
                <w:color w:val="000000"/>
                <w:kern w:val="0"/>
                <w:szCs w:val="24"/>
                <w:highlight w:val="yellow"/>
                <w14:ligatures w14:val="none"/>
              </w:rPr>
            </w:pPr>
            <w:r w:rsidRPr="004A3844">
              <w:rPr>
                <w:rFonts w:cs="Calibri"/>
                <w:color w:val="000000"/>
                <w:szCs w:val="24"/>
              </w:rPr>
              <w:t>99%</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EA1769" w14:textId="77777777" w:rsidR="00211F0D" w:rsidRPr="004A3844" w:rsidRDefault="00211F0D" w:rsidP="00543857">
            <w:pPr>
              <w:spacing w:after="0" w:line="240" w:lineRule="auto"/>
              <w:jc w:val="center"/>
              <w:rPr>
                <w:rFonts w:eastAsia="Times New Roman" w:cs="Calibri"/>
                <w:color w:val="000000"/>
                <w:kern w:val="0"/>
                <w:szCs w:val="24"/>
                <w:highlight w:val="yellow"/>
                <w14:ligatures w14:val="none"/>
              </w:rPr>
            </w:pPr>
            <w:r w:rsidRPr="004A3844">
              <w:rPr>
                <w:rFont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109A3" w14:textId="77777777" w:rsidR="00211F0D" w:rsidRPr="004A3844" w:rsidRDefault="00211F0D" w:rsidP="00543857">
            <w:pPr>
              <w:spacing w:after="0" w:line="240" w:lineRule="auto"/>
              <w:jc w:val="center"/>
              <w:rPr>
                <w:rFonts w:eastAsia="Times New Roman" w:cs="Calibri"/>
                <w:color w:val="000000"/>
                <w:kern w:val="0"/>
                <w:szCs w:val="24"/>
                <w:highlight w:val="yellow"/>
                <w14:ligatures w14:val="none"/>
              </w:rPr>
            </w:pPr>
            <w:r w:rsidRPr="004A3844">
              <w:rPr>
                <w:rFonts w:cs="Calibri"/>
                <w:color w:val="000000"/>
                <w:szCs w:val="24"/>
              </w:rPr>
              <w:t>99%</w:t>
            </w:r>
          </w:p>
        </w:tc>
      </w:tr>
      <w:tr w:rsidR="00211F0D" w:rsidRPr="00C424CA" w14:paraId="0756F1C8" w14:textId="77777777" w:rsidTr="008573CD">
        <w:trPr>
          <w:trHeight w:val="313"/>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0DE4C2" w14:textId="77777777" w:rsidR="00211F0D" w:rsidRPr="004A3844" w:rsidRDefault="00211F0D" w:rsidP="00543857">
            <w:pPr>
              <w:spacing w:after="0" w:line="240" w:lineRule="auto"/>
              <w:rPr>
                <w:rFonts w:ascii="Aptos" w:eastAsia="Times New Roman" w:hAnsi="Aptos" w:cs="Calibri"/>
                <w:b/>
                <w:bCs/>
                <w:color w:val="000000"/>
                <w:kern w:val="0"/>
                <w:szCs w:val="24"/>
                <w14:ligatures w14:val="none"/>
              </w:rPr>
            </w:pPr>
            <w:r w:rsidRPr="004A3844">
              <w:rPr>
                <w:rFonts w:ascii="Aptos" w:eastAsia="Times New Roman" w:hAnsi="Aptos" w:cs="Calibri"/>
                <w:b/>
                <w:bCs/>
                <w:color w:val="000000"/>
                <w:kern w:val="0"/>
                <w:szCs w:val="24"/>
                <w14:ligatures w14:val="none"/>
              </w:rPr>
              <w:t>Fund</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DE33B" w14:textId="77777777" w:rsidR="00211F0D" w:rsidRPr="004A3844" w:rsidRDefault="00211F0D" w:rsidP="00543857">
            <w:pPr>
              <w:spacing w:after="0" w:line="240" w:lineRule="auto"/>
              <w:jc w:val="center"/>
              <w:rPr>
                <w:rFonts w:eastAsia="Times New Roman" w:cs="Calibri"/>
                <w:color w:val="000000"/>
                <w:kern w:val="0"/>
                <w:szCs w:val="24"/>
                <w:highlight w:val="yellow"/>
                <w14:ligatures w14:val="none"/>
              </w:rPr>
            </w:pPr>
            <w:r w:rsidRPr="004A3844">
              <w:rPr>
                <w:rFonts w:cs="Calibri"/>
                <w:color w:val="000000"/>
                <w:szCs w:val="24"/>
              </w:rPr>
              <w:t>100%</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338D5" w14:textId="77777777" w:rsidR="00211F0D" w:rsidRPr="004A3844" w:rsidRDefault="00211F0D" w:rsidP="00543857">
            <w:pPr>
              <w:spacing w:after="0" w:line="240" w:lineRule="auto"/>
              <w:jc w:val="center"/>
              <w:rPr>
                <w:rFonts w:eastAsia="Times New Roman" w:cs="Calibri"/>
                <w:color w:val="000000"/>
                <w:kern w:val="0"/>
                <w:szCs w:val="24"/>
                <w:highlight w:val="yellow"/>
                <w14:ligatures w14:val="none"/>
              </w:rPr>
            </w:pPr>
            <w:r w:rsidRPr="004A3844">
              <w:rPr>
                <w:rFonts w:cs="Calibri"/>
                <w:color w:val="000000"/>
                <w:szCs w:val="24"/>
              </w:rPr>
              <w:t>96%</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81A86" w14:textId="77777777" w:rsidR="00211F0D" w:rsidRPr="004A3844" w:rsidRDefault="00211F0D" w:rsidP="00543857">
            <w:pPr>
              <w:spacing w:after="0" w:line="240" w:lineRule="auto"/>
              <w:jc w:val="center"/>
              <w:rPr>
                <w:rFonts w:eastAsia="Times New Roman" w:cs="Calibri"/>
                <w:color w:val="000000"/>
                <w:kern w:val="0"/>
                <w:szCs w:val="24"/>
                <w:highlight w:val="yellow"/>
                <w14:ligatures w14:val="none"/>
              </w:rPr>
            </w:pPr>
            <w:r w:rsidRPr="004A3844">
              <w:rPr>
                <w:rFont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E43AC" w14:textId="77777777" w:rsidR="00211F0D" w:rsidRPr="004A3844" w:rsidRDefault="00211F0D" w:rsidP="00543857">
            <w:pPr>
              <w:spacing w:after="0" w:line="240" w:lineRule="auto"/>
              <w:jc w:val="center"/>
              <w:rPr>
                <w:rFonts w:eastAsia="Times New Roman" w:cs="Calibri"/>
                <w:color w:val="000000"/>
                <w:kern w:val="0"/>
                <w:szCs w:val="24"/>
                <w:highlight w:val="yellow"/>
                <w14:ligatures w14:val="none"/>
              </w:rPr>
            </w:pPr>
            <w:r w:rsidRPr="004A3844">
              <w:rPr>
                <w:rFonts w:cs="Calibri"/>
                <w:color w:val="000000"/>
                <w:szCs w:val="24"/>
              </w:rPr>
              <w:t>99%</w:t>
            </w:r>
          </w:p>
        </w:tc>
      </w:tr>
      <w:tr w:rsidR="00211F0D" w:rsidRPr="00C424CA" w14:paraId="1A6413EC" w14:textId="77777777" w:rsidTr="008573CD">
        <w:trPr>
          <w:trHeight w:val="313"/>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64665" w14:textId="77777777" w:rsidR="00211F0D" w:rsidRPr="004A3844" w:rsidRDefault="00211F0D" w:rsidP="00543857">
            <w:pPr>
              <w:spacing w:after="0" w:line="240" w:lineRule="auto"/>
              <w:rPr>
                <w:rFonts w:ascii="Aptos" w:eastAsia="Times New Roman" w:hAnsi="Aptos" w:cs="Calibri"/>
                <w:b/>
                <w:bCs/>
                <w:color w:val="2758A8"/>
                <w:kern w:val="0"/>
                <w:szCs w:val="24"/>
                <w14:ligatures w14:val="none"/>
              </w:rPr>
            </w:pPr>
            <w:r w:rsidRPr="004A3844">
              <w:rPr>
                <w:rFonts w:ascii="Aptos" w:eastAsia="Times New Roman" w:hAnsi="Aptos" w:cs="Calibri"/>
                <w:b/>
                <w:bCs/>
                <w:kern w:val="0"/>
                <w:szCs w:val="24"/>
                <w14:ligatures w14:val="none"/>
              </w:rPr>
              <w:t>Total</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76823" w14:textId="77777777" w:rsidR="00211F0D" w:rsidRPr="004A3844" w:rsidRDefault="00211F0D" w:rsidP="00543857">
            <w:pPr>
              <w:spacing w:after="0" w:line="240" w:lineRule="auto"/>
              <w:jc w:val="center"/>
              <w:rPr>
                <w:rFonts w:eastAsia="Times New Roman" w:cs="Calibri"/>
                <w:b/>
                <w:bCs/>
                <w:color w:val="2758A8"/>
                <w:kern w:val="0"/>
                <w:szCs w:val="24"/>
                <w:highlight w:val="yellow"/>
                <w14:ligatures w14:val="none"/>
              </w:rPr>
            </w:pPr>
            <w:r w:rsidRPr="004A3844">
              <w:rPr>
                <w:rFonts w:cs="Calibri"/>
                <w:color w:val="000000"/>
                <w:szCs w:val="24"/>
              </w:rPr>
              <w:t>100%</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2B938" w14:textId="77777777" w:rsidR="00211F0D" w:rsidRPr="004A3844" w:rsidRDefault="00211F0D" w:rsidP="00543857">
            <w:pPr>
              <w:spacing w:after="0" w:line="240" w:lineRule="auto"/>
              <w:jc w:val="center"/>
              <w:rPr>
                <w:rFonts w:eastAsia="Times New Roman" w:cs="Calibri"/>
                <w:b/>
                <w:bCs/>
                <w:color w:val="2758A8"/>
                <w:kern w:val="0"/>
                <w:szCs w:val="24"/>
                <w:highlight w:val="yellow"/>
                <w14:ligatures w14:val="none"/>
              </w:rPr>
            </w:pPr>
            <w:r w:rsidRPr="004A3844">
              <w:rPr>
                <w:rFonts w:cs="Calibri"/>
                <w:color w:val="000000"/>
                <w:szCs w:val="24"/>
              </w:rPr>
              <w:t>98%</w:t>
            </w:r>
          </w:p>
        </w:tc>
        <w:tc>
          <w:tcPr>
            <w:tcW w:w="2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85D28" w14:textId="77777777" w:rsidR="00211F0D" w:rsidRPr="004A3844" w:rsidRDefault="00211F0D" w:rsidP="00543857">
            <w:pPr>
              <w:spacing w:after="0" w:line="240" w:lineRule="auto"/>
              <w:jc w:val="center"/>
              <w:rPr>
                <w:rFonts w:eastAsia="Times New Roman" w:cs="Calibri"/>
                <w:b/>
                <w:bCs/>
                <w:color w:val="2758A8"/>
                <w:kern w:val="0"/>
                <w:szCs w:val="24"/>
                <w:highlight w:val="yellow"/>
                <w14:ligatures w14:val="none"/>
              </w:rPr>
            </w:pPr>
            <w:r w:rsidRPr="004A3844">
              <w:rPr>
                <w:rFonts w:cs="Calibri"/>
                <w:color w:val="000000"/>
                <w:szCs w:val="24"/>
              </w:rPr>
              <w:t>100%</w:t>
            </w:r>
          </w:p>
        </w:tc>
        <w:tc>
          <w:tcPr>
            <w:tcW w:w="2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A89C5" w14:textId="77777777" w:rsidR="00211F0D" w:rsidRPr="004A3844" w:rsidRDefault="00211F0D" w:rsidP="00543857">
            <w:pPr>
              <w:spacing w:after="0" w:line="240" w:lineRule="auto"/>
              <w:jc w:val="center"/>
              <w:rPr>
                <w:rFonts w:eastAsia="Times New Roman" w:cs="Calibri"/>
                <w:b/>
                <w:bCs/>
                <w:color w:val="2758A8"/>
                <w:kern w:val="0"/>
                <w:szCs w:val="24"/>
                <w:highlight w:val="yellow"/>
                <w14:ligatures w14:val="none"/>
              </w:rPr>
            </w:pPr>
            <w:r w:rsidRPr="004A3844">
              <w:rPr>
                <w:rFonts w:cs="Calibri"/>
                <w:color w:val="000000"/>
                <w:szCs w:val="24"/>
              </w:rPr>
              <w:t>99%</w:t>
            </w:r>
          </w:p>
        </w:tc>
      </w:tr>
    </w:tbl>
    <w:p w14:paraId="793CEB70" w14:textId="77777777" w:rsidR="00D10A8E" w:rsidRPr="00D2350C" w:rsidRDefault="00D10A8E">
      <w:pPr>
        <w:rPr>
          <w:rStyle w:val="Heading1Char"/>
          <w:highlight w:val="yellow"/>
        </w:rPr>
        <w:sectPr w:rsidR="00D10A8E" w:rsidRPr="00D2350C" w:rsidSect="00114434">
          <w:footerReference w:type="default" r:id="rId12"/>
          <w:pgSz w:w="11906" w:h="16838"/>
          <w:pgMar w:top="720" w:right="720" w:bottom="720" w:left="720" w:header="708" w:footer="708" w:gutter="0"/>
          <w:cols w:space="708"/>
          <w:docGrid w:linePitch="360"/>
        </w:sectPr>
      </w:pPr>
    </w:p>
    <w:p w14:paraId="0D1F5581" w14:textId="0EDA9BF6" w:rsidR="00D10A8E" w:rsidRDefault="00211F0D" w:rsidP="00D10A8E">
      <w:pPr>
        <w:pStyle w:val="Heading2"/>
      </w:pPr>
      <w:r>
        <w:lastRenderedPageBreak/>
        <w:t>Financial Position as at June 2025</w:t>
      </w:r>
    </w:p>
    <w:p w14:paraId="67BA289D" w14:textId="55E91A1A" w:rsidR="00211F0D" w:rsidRPr="00211F0D" w:rsidRDefault="00211F0D" w:rsidP="00211F0D">
      <w:pPr>
        <w:pStyle w:val="Heading3"/>
      </w:pPr>
      <w:r>
        <w:t>Administration expenditure compared to annual and year to date budgets</w:t>
      </w:r>
    </w:p>
    <w:tbl>
      <w:tblPr>
        <w:tblW w:w="14207" w:type="dxa"/>
        <w:tblLook w:val="04A0" w:firstRow="1" w:lastRow="0" w:firstColumn="1" w:lastColumn="0" w:noHBand="0" w:noVBand="1"/>
      </w:tblPr>
      <w:tblGrid>
        <w:gridCol w:w="1657"/>
        <w:gridCol w:w="1748"/>
        <w:gridCol w:w="1475"/>
        <w:gridCol w:w="1361"/>
        <w:gridCol w:w="2249"/>
        <w:gridCol w:w="1429"/>
        <w:gridCol w:w="1361"/>
        <w:gridCol w:w="1361"/>
        <w:gridCol w:w="1566"/>
      </w:tblGrid>
      <w:tr w:rsidR="00B33B2E" w:rsidRPr="00B33B2E" w14:paraId="305FE09F" w14:textId="77777777" w:rsidTr="001F48D4">
        <w:trPr>
          <w:trHeight w:val="1155"/>
        </w:trPr>
        <w:tc>
          <w:tcPr>
            <w:tcW w:w="1657" w:type="dxa"/>
            <w:tcBorders>
              <w:top w:val="nil"/>
              <w:left w:val="nil"/>
              <w:bottom w:val="nil"/>
              <w:right w:val="nil"/>
            </w:tcBorders>
            <w:noWrap/>
            <w:vAlign w:val="bottom"/>
            <w:hideMark/>
          </w:tcPr>
          <w:p w14:paraId="5155C8D8"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1748" w:type="dxa"/>
            <w:tcBorders>
              <w:top w:val="nil"/>
              <w:left w:val="nil"/>
              <w:bottom w:val="nil"/>
              <w:right w:val="nil"/>
            </w:tcBorders>
            <w:vAlign w:val="bottom"/>
            <w:hideMark/>
          </w:tcPr>
          <w:p w14:paraId="6306F570" w14:textId="77777777" w:rsidR="00B33B2E" w:rsidRPr="00B33B2E" w:rsidRDefault="00B33B2E" w:rsidP="00BA02EF">
            <w:pPr>
              <w:spacing w:after="0" w:line="240" w:lineRule="auto"/>
              <w:jc w:val="right"/>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Annual Budget £k</w:t>
            </w:r>
          </w:p>
        </w:tc>
        <w:tc>
          <w:tcPr>
            <w:tcW w:w="1475" w:type="dxa"/>
            <w:tcBorders>
              <w:top w:val="nil"/>
              <w:left w:val="nil"/>
              <w:bottom w:val="nil"/>
              <w:right w:val="nil"/>
            </w:tcBorders>
            <w:vAlign w:val="bottom"/>
            <w:hideMark/>
          </w:tcPr>
          <w:p w14:paraId="1D02BAE8" w14:textId="77777777" w:rsidR="00B33B2E" w:rsidRPr="00B33B2E" w:rsidRDefault="00B33B2E" w:rsidP="00BA02EF">
            <w:pPr>
              <w:spacing w:after="0" w:line="240" w:lineRule="auto"/>
              <w:jc w:val="right"/>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Actual Spend £k</w:t>
            </w:r>
          </w:p>
        </w:tc>
        <w:tc>
          <w:tcPr>
            <w:tcW w:w="1361" w:type="dxa"/>
            <w:tcBorders>
              <w:top w:val="nil"/>
              <w:left w:val="nil"/>
              <w:bottom w:val="nil"/>
              <w:right w:val="nil"/>
            </w:tcBorders>
            <w:noWrap/>
            <w:vAlign w:val="bottom"/>
            <w:hideMark/>
          </w:tcPr>
          <w:p w14:paraId="0CC91B5E" w14:textId="77777777" w:rsidR="00B33B2E" w:rsidRPr="00B33B2E" w:rsidRDefault="00B33B2E" w:rsidP="00B33B2E">
            <w:pPr>
              <w:spacing w:after="0" w:line="240" w:lineRule="auto"/>
              <w:jc w:val="center"/>
              <w:rPr>
                <w:rFonts w:ascii="Aptos" w:eastAsia="Times New Roman" w:hAnsi="Aptos" w:cs="Calibri"/>
                <w:b/>
                <w:bCs/>
                <w:kern w:val="0"/>
                <w:szCs w:val="24"/>
                <w:lang w:eastAsia="en-GB"/>
                <w14:ligatures w14:val="none"/>
              </w:rPr>
            </w:pPr>
          </w:p>
        </w:tc>
        <w:tc>
          <w:tcPr>
            <w:tcW w:w="2249" w:type="dxa"/>
            <w:tcBorders>
              <w:top w:val="nil"/>
              <w:left w:val="nil"/>
              <w:bottom w:val="nil"/>
              <w:right w:val="nil"/>
            </w:tcBorders>
            <w:vAlign w:val="bottom"/>
            <w:hideMark/>
          </w:tcPr>
          <w:p w14:paraId="1A2BAAC2"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1429" w:type="dxa"/>
            <w:tcBorders>
              <w:top w:val="nil"/>
              <w:left w:val="nil"/>
              <w:bottom w:val="nil"/>
              <w:right w:val="nil"/>
            </w:tcBorders>
            <w:vAlign w:val="bottom"/>
            <w:hideMark/>
          </w:tcPr>
          <w:p w14:paraId="1842A481" w14:textId="77777777" w:rsidR="00B33B2E" w:rsidRPr="00B33B2E" w:rsidRDefault="00B33B2E" w:rsidP="00BA02EF">
            <w:pPr>
              <w:spacing w:after="0" w:line="240" w:lineRule="auto"/>
              <w:jc w:val="right"/>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Annual Budget £k</w:t>
            </w:r>
          </w:p>
        </w:tc>
        <w:tc>
          <w:tcPr>
            <w:tcW w:w="1361" w:type="dxa"/>
            <w:tcBorders>
              <w:top w:val="nil"/>
              <w:left w:val="nil"/>
              <w:bottom w:val="nil"/>
              <w:right w:val="nil"/>
            </w:tcBorders>
            <w:vAlign w:val="bottom"/>
          </w:tcPr>
          <w:p w14:paraId="55BFD157" w14:textId="0BD7A2CB" w:rsidR="001F48D4" w:rsidRPr="00B33B2E" w:rsidRDefault="001F48D4" w:rsidP="001F48D4">
            <w:pPr>
              <w:spacing w:after="0" w:line="240" w:lineRule="auto"/>
              <w:jc w:val="center"/>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 xml:space="preserve"> </w:t>
            </w:r>
            <w:r>
              <w:rPr>
                <w:rFonts w:ascii="Aptos" w:eastAsia="Times New Roman" w:hAnsi="Aptos" w:cs="Calibri"/>
                <w:b/>
                <w:bCs/>
                <w:kern w:val="0"/>
                <w:szCs w:val="24"/>
                <w:lang w:eastAsia="en-GB"/>
                <w14:ligatures w14:val="none"/>
              </w:rPr>
              <w:t>YTD Budget</w:t>
            </w:r>
            <w:r w:rsidRPr="00B33B2E">
              <w:rPr>
                <w:rFonts w:ascii="Aptos" w:eastAsia="Times New Roman" w:hAnsi="Aptos" w:cs="Calibri"/>
                <w:b/>
                <w:bCs/>
                <w:kern w:val="0"/>
                <w:szCs w:val="24"/>
                <w:lang w:eastAsia="en-GB"/>
                <w14:ligatures w14:val="none"/>
              </w:rPr>
              <w:t xml:space="preserve"> £k</w:t>
            </w:r>
          </w:p>
        </w:tc>
        <w:tc>
          <w:tcPr>
            <w:tcW w:w="1361" w:type="dxa"/>
            <w:tcBorders>
              <w:top w:val="nil"/>
              <w:left w:val="nil"/>
              <w:bottom w:val="nil"/>
              <w:right w:val="nil"/>
            </w:tcBorders>
            <w:vAlign w:val="bottom"/>
            <w:hideMark/>
          </w:tcPr>
          <w:p w14:paraId="4FAD9C0A" w14:textId="58A4783C" w:rsidR="00B33B2E" w:rsidRPr="00B33B2E" w:rsidRDefault="001F48D4" w:rsidP="00BA02EF">
            <w:pPr>
              <w:spacing w:after="0" w:line="240" w:lineRule="auto"/>
              <w:jc w:val="right"/>
              <w:rPr>
                <w:rFonts w:ascii="Aptos" w:eastAsia="Times New Roman" w:hAnsi="Aptos" w:cs="Calibri"/>
                <w:b/>
                <w:bCs/>
                <w:kern w:val="0"/>
                <w:szCs w:val="24"/>
                <w:lang w:eastAsia="en-GB"/>
                <w14:ligatures w14:val="none"/>
              </w:rPr>
            </w:pPr>
            <w:r>
              <w:rPr>
                <w:rFonts w:ascii="Aptos" w:eastAsia="Times New Roman" w:hAnsi="Aptos" w:cs="Calibri"/>
                <w:b/>
                <w:bCs/>
                <w:kern w:val="0"/>
                <w:szCs w:val="24"/>
                <w:lang w:eastAsia="en-GB"/>
                <w14:ligatures w14:val="none"/>
              </w:rPr>
              <w:t>YTD</w:t>
            </w:r>
            <w:r w:rsidR="00B33B2E" w:rsidRPr="00B33B2E">
              <w:rPr>
                <w:rFonts w:ascii="Aptos" w:eastAsia="Times New Roman" w:hAnsi="Aptos" w:cs="Calibri"/>
                <w:b/>
                <w:bCs/>
                <w:kern w:val="0"/>
                <w:szCs w:val="24"/>
                <w:lang w:eastAsia="en-GB"/>
                <w14:ligatures w14:val="none"/>
              </w:rPr>
              <w:t xml:space="preserve"> Spend £k</w:t>
            </w:r>
          </w:p>
        </w:tc>
        <w:tc>
          <w:tcPr>
            <w:tcW w:w="1566" w:type="dxa"/>
            <w:tcBorders>
              <w:top w:val="nil"/>
              <w:left w:val="nil"/>
              <w:bottom w:val="nil"/>
              <w:right w:val="nil"/>
            </w:tcBorders>
            <w:vAlign w:val="bottom"/>
            <w:hideMark/>
          </w:tcPr>
          <w:p w14:paraId="524807CB" w14:textId="77777777" w:rsidR="00B33B2E" w:rsidRPr="00B33B2E" w:rsidRDefault="00B33B2E" w:rsidP="00B33B2E">
            <w:pPr>
              <w:spacing w:after="0" w:line="240" w:lineRule="auto"/>
              <w:jc w:val="center"/>
              <w:rPr>
                <w:rFonts w:ascii="Aptos" w:eastAsia="Times New Roman" w:hAnsi="Aptos" w:cs="Calibri"/>
                <w:b/>
                <w:bCs/>
                <w:kern w:val="0"/>
                <w:szCs w:val="24"/>
                <w:lang w:eastAsia="en-GB"/>
                <w14:ligatures w14:val="none"/>
              </w:rPr>
            </w:pPr>
          </w:p>
        </w:tc>
      </w:tr>
      <w:tr w:rsidR="00B33B2E" w:rsidRPr="00B33B2E" w14:paraId="776F2BBA" w14:textId="77777777" w:rsidTr="001F48D4">
        <w:trPr>
          <w:trHeight w:val="360"/>
        </w:trPr>
        <w:tc>
          <w:tcPr>
            <w:tcW w:w="1657" w:type="dxa"/>
            <w:tcBorders>
              <w:top w:val="nil"/>
              <w:left w:val="nil"/>
              <w:bottom w:val="nil"/>
              <w:right w:val="nil"/>
            </w:tcBorders>
            <w:noWrap/>
            <w:vAlign w:val="bottom"/>
            <w:hideMark/>
          </w:tcPr>
          <w:p w14:paraId="6939007C"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Staff</w:t>
            </w:r>
          </w:p>
        </w:tc>
        <w:tc>
          <w:tcPr>
            <w:tcW w:w="1748" w:type="dxa"/>
            <w:tcBorders>
              <w:top w:val="nil"/>
              <w:left w:val="nil"/>
              <w:bottom w:val="nil"/>
              <w:right w:val="nil"/>
            </w:tcBorders>
            <w:noWrap/>
            <w:vAlign w:val="bottom"/>
            <w:hideMark/>
          </w:tcPr>
          <w:p w14:paraId="4AD49540"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12,191 </w:t>
            </w:r>
          </w:p>
        </w:tc>
        <w:tc>
          <w:tcPr>
            <w:tcW w:w="1475" w:type="dxa"/>
            <w:tcBorders>
              <w:top w:val="nil"/>
              <w:left w:val="nil"/>
              <w:bottom w:val="nil"/>
              <w:right w:val="nil"/>
            </w:tcBorders>
            <w:noWrap/>
            <w:vAlign w:val="bottom"/>
            <w:hideMark/>
          </w:tcPr>
          <w:p w14:paraId="586E89EC"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2,848 </w:t>
            </w:r>
          </w:p>
        </w:tc>
        <w:tc>
          <w:tcPr>
            <w:tcW w:w="1361" w:type="dxa"/>
            <w:tcBorders>
              <w:top w:val="nil"/>
              <w:left w:val="nil"/>
              <w:bottom w:val="nil"/>
              <w:right w:val="nil"/>
            </w:tcBorders>
            <w:noWrap/>
            <w:vAlign w:val="bottom"/>
            <w:hideMark/>
          </w:tcPr>
          <w:p w14:paraId="23ADFC20"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c>
          <w:tcPr>
            <w:tcW w:w="2249" w:type="dxa"/>
            <w:tcBorders>
              <w:top w:val="nil"/>
              <w:left w:val="nil"/>
              <w:bottom w:val="nil"/>
              <w:right w:val="nil"/>
            </w:tcBorders>
            <w:noWrap/>
            <w:vAlign w:val="bottom"/>
            <w:hideMark/>
          </w:tcPr>
          <w:p w14:paraId="64AE25D9"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Corporate</w:t>
            </w:r>
          </w:p>
        </w:tc>
        <w:tc>
          <w:tcPr>
            <w:tcW w:w="1429" w:type="dxa"/>
            <w:tcBorders>
              <w:top w:val="nil"/>
              <w:left w:val="nil"/>
              <w:bottom w:val="nil"/>
              <w:right w:val="nil"/>
            </w:tcBorders>
            <w:noWrap/>
            <w:vAlign w:val="bottom"/>
            <w:hideMark/>
          </w:tcPr>
          <w:p w14:paraId="07EEE7F4"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544 </w:t>
            </w:r>
          </w:p>
        </w:tc>
        <w:tc>
          <w:tcPr>
            <w:tcW w:w="1361" w:type="dxa"/>
            <w:tcBorders>
              <w:top w:val="nil"/>
              <w:left w:val="nil"/>
              <w:bottom w:val="nil"/>
              <w:right w:val="nil"/>
            </w:tcBorders>
          </w:tcPr>
          <w:p w14:paraId="13E00324" w14:textId="1AA79AF2" w:rsidR="001F48D4" w:rsidRPr="00AD07C2" w:rsidRDefault="001F48D4" w:rsidP="001F48D4">
            <w:pPr>
              <w:spacing w:after="0" w:line="240" w:lineRule="auto"/>
              <w:jc w:val="right"/>
            </w:pPr>
            <w:r w:rsidRPr="00AD07C2">
              <w:t>1</w:t>
            </w:r>
            <w:r w:rsidR="00DF6436" w:rsidRPr="00AD07C2">
              <w:t>34</w:t>
            </w:r>
            <w:r w:rsidRPr="00AD07C2">
              <w:t xml:space="preserve"> </w:t>
            </w:r>
          </w:p>
        </w:tc>
        <w:tc>
          <w:tcPr>
            <w:tcW w:w="1361" w:type="dxa"/>
            <w:tcBorders>
              <w:top w:val="nil"/>
              <w:left w:val="nil"/>
              <w:bottom w:val="nil"/>
              <w:right w:val="nil"/>
            </w:tcBorders>
            <w:noWrap/>
            <w:hideMark/>
          </w:tcPr>
          <w:p w14:paraId="73452140" w14:textId="645F4656"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t xml:space="preserve">128 </w:t>
            </w:r>
          </w:p>
        </w:tc>
        <w:tc>
          <w:tcPr>
            <w:tcW w:w="1566" w:type="dxa"/>
            <w:tcBorders>
              <w:top w:val="nil"/>
              <w:left w:val="nil"/>
              <w:bottom w:val="nil"/>
              <w:right w:val="nil"/>
            </w:tcBorders>
            <w:noWrap/>
            <w:vAlign w:val="bottom"/>
            <w:hideMark/>
          </w:tcPr>
          <w:p w14:paraId="3E199B7F"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r>
      <w:tr w:rsidR="00B33B2E" w:rsidRPr="00B33B2E" w14:paraId="6863326B" w14:textId="77777777" w:rsidTr="001F48D4">
        <w:trPr>
          <w:trHeight w:val="360"/>
        </w:trPr>
        <w:tc>
          <w:tcPr>
            <w:tcW w:w="1657" w:type="dxa"/>
            <w:tcBorders>
              <w:top w:val="nil"/>
              <w:left w:val="nil"/>
              <w:bottom w:val="nil"/>
              <w:right w:val="nil"/>
            </w:tcBorders>
            <w:noWrap/>
            <w:vAlign w:val="bottom"/>
            <w:hideMark/>
          </w:tcPr>
          <w:p w14:paraId="7EED818B"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Running</w:t>
            </w:r>
          </w:p>
        </w:tc>
        <w:tc>
          <w:tcPr>
            <w:tcW w:w="1748" w:type="dxa"/>
            <w:tcBorders>
              <w:top w:val="nil"/>
              <w:left w:val="nil"/>
              <w:bottom w:val="nil"/>
              <w:right w:val="nil"/>
            </w:tcBorders>
            <w:noWrap/>
            <w:vAlign w:val="bottom"/>
            <w:hideMark/>
          </w:tcPr>
          <w:p w14:paraId="788F9ED0"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2,869 </w:t>
            </w:r>
          </w:p>
        </w:tc>
        <w:tc>
          <w:tcPr>
            <w:tcW w:w="1475" w:type="dxa"/>
            <w:tcBorders>
              <w:top w:val="nil"/>
              <w:left w:val="nil"/>
              <w:bottom w:val="nil"/>
              <w:right w:val="nil"/>
            </w:tcBorders>
            <w:noWrap/>
            <w:vAlign w:val="bottom"/>
            <w:hideMark/>
          </w:tcPr>
          <w:p w14:paraId="38CC925D"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981</w:t>
            </w:r>
          </w:p>
        </w:tc>
        <w:tc>
          <w:tcPr>
            <w:tcW w:w="1361" w:type="dxa"/>
            <w:tcBorders>
              <w:top w:val="nil"/>
              <w:left w:val="nil"/>
              <w:bottom w:val="nil"/>
              <w:right w:val="nil"/>
            </w:tcBorders>
            <w:noWrap/>
            <w:vAlign w:val="bottom"/>
            <w:hideMark/>
          </w:tcPr>
          <w:p w14:paraId="1B17DCEB"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c>
          <w:tcPr>
            <w:tcW w:w="2249" w:type="dxa"/>
            <w:tcBorders>
              <w:top w:val="nil"/>
              <w:left w:val="nil"/>
              <w:bottom w:val="nil"/>
              <w:right w:val="nil"/>
            </w:tcBorders>
            <w:noWrap/>
            <w:vAlign w:val="bottom"/>
            <w:hideMark/>
          </w:tcPr>
          <w:p w14:paraId="7D82E2C2"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Corp Services</w:t>
            </w:r>
          </w:p>
        </w:tc>
        <w:tc>
          <w:tcPr>
            <w:tcW w:w="1429" w:type="dxa"/>
            <w:tcBorders>
              <w:top w:val="nil"/>
              <w:left w:val="nil"/>
              <w:bottom w:val="nil"/>
              <w:right w:val="nil"/>
            </w:tcBorders>
            <w:noWrap/>
            <w:vAlign w:val="bottom"/>
            <w:hideMark/>
          </w:tcPr>
          <w:p w14:paraId="21421FF1"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7,369 </w:t>
            </w:r>
          </w:p>
        </w:tc>
        <w:tc>
          <w:tcPr>
            <w:tcW w:w="1361" w:type="dxa"/>
            <w:tcBorders>
              <w:top w:val="nil"/>
              <w:left w:val="nil"/>
              <w:bottom w:val="nil"/>
              <w:right w:val="nil"/>
            </w:tcBorders>
          </w:tcPr>
          <w:p w14:paraId="6D7EBE9B" w14:textId="6A4CED38" w:rsidR="001F48D4" w:rsidRPr="00AD07C2" w:rsidRDefault="001F48D4" w:rsidP="001F48D4">
            <w:pPr>
              <w:spacing w:after="0" w:line="240" w:lineRule="auto"/>
              <w:jc w:val="right"/>
            </w:pPr>
            <w:r w:rsidRPr="00AD07C2">
              <w:t>2,</w:t>
            </w:r>
            <w:r w:rsidR="00DF6436" w:rsidRPr="00AD07C2">
              <w:t>412</w:t>
            </w:r>
            <w:r w:rsidRPr="00AD07C2">
              <w:t xml:space="preserve"> </w:t>
            </w:r>
          </w:p>
        </w:tc>
        <w:tc>
          <w:tcPr>
            <w:tcW w:w="1361" w:type="dxa"/>
            <w:tcBorders>
              <w:top w:val="nil"/>
              <w:left w:val="nil"/>
              <w:bottom w:val="nil"/>
              <w:right w:val="nil"/>
            </w:tcBorders>
            <w:noWrap/>
            <w:hideMark/>
          </w:tcPr>
          <w:p w14:paraId="00D036F3" w14:textId="68E65B78"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t xml:space="preserve">2,298 </w:t>
            </w:r>
          </w:p>
        </w:tc>
        <w:tc>
          <w:tcPr>
            <w:tcW w:w="1566" w:type="dxa"/>
            <w:tcBorders>
              <w:top w:val="nil"/>
              <w:left w:val="nil"/>
              <w:bottom w:val="nil"/>
              <w:right w:val="nil"/>
            </w:tcBorders>
            <w:noWrap/>
            <w:vAlign w:val="bottom"/>
            <w:hideMark/>
          </w:tcPr>
          <w:p w14:paraId="4ED8A5F3"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r>
      <w:tr w:rsidR="00B33B2E" w:rsidRPr="00B33B2E" w14:paraId="5403D887" w14:textId="77777777" w:rsidTr="001F48D4">
        <w:trPr>
          <w:trHeight w:val="360"/>
        </w:trPr>
        <w:tc>
          <w:tcPr>
            <w:tcW w:w="1657" w:type="dxa"/>
            <w:tcBorders>
              <w:top w:val="nil"/>
              <w:left w:val="nil"/>
              <w:bottom w:val="nil"/>
              <w:right w:val="nil"/>
            </w:tcBorders>
            <w:noWrap/>
            <w:vAlign w:val="bottom"/>
            <w:hideMark/>
          </w:tcPr>
          <w:p w14:paraId="409221B1"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Income</w:t>
            </w:r>
          </w:p>
        </w:tc>
        <w:tc>
          <w:tcPr>
            <w:tcW w:w="1748" w:type="dxa"/>
            <w:tcBorders>
              <w:top w:val="nil"/>
              <w:left w:val="nil"/>
              <w:bottom w:val="nil"/>
              <w:right w:val="nil"/>
            </w:tcBorders>
            <w:noWrap/>
            <w:vAlign w:val="bottom"/>
            <w:hideMark/>
          </w:tcPr>
          <w:p w14:paraId="41234F94"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D6AC6">
              <w:rPr>
                <w:rFonts w:ascii="Aptos" w:eastAsia="Times New Roman" w:hAnsi="Aptos" w:cs="Calibri"/>
                <w:color w:val="A20000"/>
                <w:kern w:val="0"/>
                <w:szCs w:val="24"/>
                <w:lang w:eastAsia="en-GB"/>
                <w14:ligatures w14:val="none"/>
              </w:rPr>
              <w:t xml:space="preserve">(1,126) </w:t>
            </w:r>
          </w:p>
        </w:tc>
        <w:tc>
          <w:tcPr>
            <w:tcW w:w="1475" w:type="dxa"/>
            <w:tcBorders>
              <w:top w:val="nil"/>
              <w:left w:val="nil"/>
              <w:bottom w:val="nil"/>
              <w:right w:val="nil"/>
            </w:tcBorders>
            <w:noWrap/>
            <w:vAlign w:val="bottom"/>
            <w:hideMark/>
          </w:tcPr>
          <w:p w14:paraId="02B0B729"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0 </w:t>
            </w:r>
          </w:p>
        </w:tc>
        <w:tc>
          <w:tcPr>
            <w:tcW w:w="1361" w:type="dxa"/>
            <w:tcBorders>
              <w:top w:val="nil"/>
              <w:left w:val="nil"/>
              <w:bottom w:val="nil"/>
              <w:right w:val="nil"/>
            </w:tcBorders>
            <w:noWrap/>
            <w:vAlign w:val="bottom"/>
            <w:hideMark/>
          </w:tcPr>
          <w:p w14:paraId="506F63EE"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c>
          <w:tcPr>
            <w:tcW w:w="2249" w:type="dxa"/>
            <w:tcBorders>
              <w:top w:val="nil"/>
              <w:left w:val="nil"/>
              <w:bottom w:val="nil"/>
              <w:right w:val="nil"/>
            </w:tcBorders>
            <w:noWrap/>
            <w:vAlign w:val="bottom"/>
            <w:hideMark/>
          </w:tcPr>
          <w:p w14:paraId="5C59789A"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Operations</w:t>
            </w:r>
          </w:p>
        </w:tc>
        <w:tc>
          <w:tcPr>
            <w:tcW w:w="1429" w:type="dxa"/>
            <w:tcBorders>
              <w:top w:val="nil"/>
              <w:left w:val="nil"/>
              <w:bottom w:val="nil"/>
              <w:right w:val="nil"/>
            </w:tcBorders>
            <w:noWrap/>
            <w:vAlign w:val="bottom"/>
            <w:hideMark/>
          </w:tcPr>
          <w:p w14:paraId="6F74A64D"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4,761 </w:t>
            </w:r>
          </w:p>
        </w:tc>
        <w:tc>
          <w:tcPr>
            <w:tcW w:w="1361" w:type="dxa"/>
            <w:tcBorders>
              <w:top w:val="nil"/>
              <w:left w:val="nil"/>
              <w:bottom w:val="nil"/>
              <w:right w:val="nil"/>
            </w:tcBorders>
          </w:tcPr>
          <w:p w14:paraId="749B2618" w14:textId="3F3760BF" w:rsidR="001F48D4" w:rsidRPr="00AD07C2" w:rsidRDefault="001F48D4" w:rsidP="001F48D4">
            <w:pPr>
              <w:spacing w:after="0" w:line="240" w:lineRule="auto"/>
              <w:jc w:val="right"/>
            </w:pPr>
            <w:r w:rsidRPr="00AD07C2">
              <w:t>1,</w:t>
            </w:r>
            <w:r w:rsidR="00AD07C2" w:rsidRPr="00AD07C2">
              <w:t>188</w:t>
            </w:r>
            <w:r w:rsidRPr="00AD07C2">
              <w:t xml:space="preserve"> </w:t>
            </w:r>
          </w:p>
        </w:tc>
        <w:tc>
          <w:tcPr>
            <w:tcW w:w="1361" w:type="dxa"/>
            <w:tcBorders>
              <w:top w:val="nil"/>
              <w:left w:val="nil"/>
              <w:bottom w:val="nil"/>
              <w:right w:val="nil"/>
            </w:tcBorders>
            <w:noWrap/>
            <w:hideMark/>
          </w:tcPr>
          <w:p w14:paraId="691CC990" w14:textId="5883A1C0"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t xml:space="preserve">1,098 </w:t>
            </w:r>
          </w:p>
        </w:tc>
        <w:tc>
          <w:tcPr>
            <w:tcW w:w="1566" w:type="dxa"/>
            <w:tcBorders>
              <w:top w:val="nil"/>
              <w:left w:val="nil"/>
              <w:bottom w:val="nil"/>
              <w:right w:val="nil"/>
            </w:tcBorders>
            <w:noWrap/>
            <w:vAlign w:val="bottom"/>
            <w:hideMark/>
          </w:tcPr>
          <w:p w14:paraId="106D813E"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r>
      <w:tr w:rsidR="00B33B2E" w:rsidRPr="00B33B2E" w14:paraId="07B5C7DD" w14:textId="77777777" w:rsidTr="001F48D4">
        <w:trPr>
          <w:trHeight w:val="360"/>
        </w:trPr>
        <w:tc>
          <w:tcPr>
            <w:tcW w:w="1657" w:type="dxa"/>
            <w:tcBorders>
              <w:top w:val="nil"/>
              <w:left w:val="nil"/>
              <w:bottom w:val="nil"/>
              <w:right w:val="nil"/>
            </w:tcBorders>
            <w:noWrap/>
            <w:vAlign w:val="bottom"/>
            <w:hideMark/>
          </w:tcPr>
          <w:p w14:paraId="329684F1"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Capital</w:t>
            </w:r>
          </w:p>
        </w:tc>
        <w:tc>
          <w:tcPr>
            <w:tcW w:w="1748" w:type="dxa"/>
            <w:tcBorders>
              <w:top w:val="nil"/>
              <w:left w:val="nil"/>
              <w:bottom w:val="nil"/>
              <w:right w:val="nil"/>
            </w:tcBorders>
            <w:noWrap/>
            <w:vAlign w:val="bottom"/>
            <w:hideMark/>
          </w:tcPr>
          <w:p w14:paraId="5376D97B"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100 </w:t>
            </w:r>
          </w:p>
        </w:tc>
        <w:tc>
          <w:tcPr>
            <w:tcW w:w="1475" w:type="dxa"/>
            <w:tcBorders>
              <w:top w:val="nil"/>
              <w:left w:val="nil"/>
              <w:bottom w:val="nil"/>
              <w:right w:val="nil"/>
            </w:tcBorders>
            <w:noWrap/>
            <w:vAlign w:val="bottom"/>
            <w:hideMark/>
          </w:tcPr>
          <w:p w14:paraId="11822BE9"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20 </w:t>
            </w:r>
          </w:p>
        </w:tc>
        <w:tc>
          <w:tcPr>
            <w:tcW w:w="1361" w:type="dxa"/>
            <w:tcBorders>
              <w:top w:val="nil"/>
              <w:left w:val="nil"/>
              <w:bottom w:val="nil"/>
              <w:right w:val="nil"/>
            </w:tcBorders>
            <w:noWrap/>
            <w:vAlign w:val="bottom"/>
            <w:hideMark/>
          </w:tcPr>
          <w:p w14:paraId="49DB5685"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c>
          <w:tcPr>
            <w:tcW w:w="2249" w:type="dxa"/>
            <w:tcBorders>
              <w:top w:val="nil"/>
              <w:left w:val="nil"/>
              <w:bottom w:val="nil"/>
              <w:right w:val="nil"/>
            </w:tcBorders>
            <w:noWrap/>
            <w:vAlign w:val="bottom"/>
            <w:hideMark/>
          </w:tcPr>
          <w:p w14:paraId="7E931417"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Strat Dev</w:t>
            </w:r>
          </w:p>
        </w:tc>
        <w:tc>
          <w:tcPr>
            <w:tcW w:w="1429" w:type="dxa"/>
            <w:tcBorders>
              <w:top w:val="nil"/>
              <w:left w:val="nil"/>
              <w:bottom w:val="nil"/>
              <w:right w:val="nil"/>
            </w:tcBorders>
            <w:noWrap/>
            <w:vAlign w:val="bottom"/>
            <w:hideMark/>
          </w:tcPr>
          <w:p w14:paraId="6B76A625"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1,304 </w:t>
            </w:r>
          </w:p>
        </w:tc>
        <w:tc>
          <w:tcPr>
            <w:tcW w:w="1361" w:type="dxa"/>
            <w:tcBorders>
              <w:top w:val="nil"/>
              <w:left w:val="nil"/>
              <w:bottom w:val="nil"/>
              <w:right w:val="nil"/>
            </w:tcBorders>
          </w:tcPr>
          <w:p w14:paraId="4CBE0F05" w14:textId="3A69118A" w:rsidR="00AD07C2" w:rsidRPr="00AD07C2" w:rsidRDefault="00AD07C2" w:rsidP="001F48D4">
            <w:pPr>
              <w:spacing w:after="0" w:line="240" w:lineRule="auto"/>
              <w:jc w:val="right"/>
            </w:pPr>
            <w:r w:rsidRPr="00AD07C2">
              <w:t>329</w:t>
            </w:r>
            <w:r w:rsidR="001F48D4" w:rsidRPr="00AD07C2">
              <w:t xml:space="preserve"> </w:t>
            </w:r>
          </w:p>
        </w:tc>
        <w:tc>
          <w:tcPr>
            <w:tcW w:w="1361" w:type="dxa"/>
            <w:tcBorders>
              <w:top w:val="nil"/>
              <w:left w:val="nil"/>
              <w:bottom w:val="nil"/>
              <w:right w:val="nil"/>
            </w:tcBorders>
            <w:noWrap/>
            <w:hideMark/>
          </w:tcPr>
          <w:p w14:paraId="41D0D9F2" w14:textId="2538F73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t xml:space="preserve">272 </w:t>
            </w:r>
          </w:p>
        </w:tc>
        <w:tc>
          <w:tcPr>
            <w:tcW w:w="1566" w:type="dxa"/>
            <w:tcBorders>
              <w:top w:val="nil"/>
              <w:left w:val="nil"/>
              <w:bottom w:val="nil"/>
              <w:right w:val="nil"/>
            </w:tcBorders>
            <w:noWrap/>
            <w:vAlign w:val="bottom"/>
            <w:hideMark/>
          </w:tcPr>
          <w:p w14:paraId="0445E02D"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r>
      <w:tr w:rsidR="00B33B2E" w:rsidRPr="00B33B2E" w14:paraId="1B3C5C53" w14:textId="77777777" w:rsidTr="001F48D4">
        <w:trPr>
          <w:trHeight w:val="360"/>
        </w:trPr>
        <w:tc>
          <w:tcPr>
            <w:tcW w:w="1657" w:type="dxa"/>
            <w:tcBorders>
              <w:top w:val="nil"/>
              <w:left w:val="nil"/>
              <w:bottom w:val="nil"/>
              <w:right w:val="nil"/>
            </w:tcBorders>
            <w:noWrap/>
            <w:vAlign w:val="bottom"/>
            <w:hideMark/>
          </w:tcPr>
          <w:p w14:paraId="63C10E86"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Pension</w:t>
            </w:r>
          </w:p>
        </w:tc>
        <w:tc>
          <w:tcPr>
            <w:tcW w:w="1748" w:type="dxa"/>
            <w:tcBorders>
              <w:top w:val="nil"/>
              <w:left w:val="nil"/>
              <w:bottom w:val="nil"/>
              <w:right w:val="nil"/>
            </w:tcBorders>
            <w:noWrap/>
            <w:vAlign w:val="bottom"/>
            <w:hideMark/>
          </w:tcPr>
          <w:p w14:paraId="00570F16"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2,200 </w:t>
            </w:r>
          </w:p>
        </w:tc>
        <w:tc>
          <w:tcPr>
            <w:tcW w:w="1475" w:type="dxa"/>
            <w:tcBorders>
              <w:top w:val="nil"/>
              <w:left w:val="nil"/>
              <w:bottom w:val="nil"/>
              <w:right w:val="nil"/>
            </w:tcBorders>
            <w:noWrap/>
            <w:vAlign w:val="bottom"/>
            <w:hideMark/>
          </w:tcPr>
          <w:p w14:paraId="26EA81C1"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633 </w:t>
            </w:r>
          </w:p>
        </w:tc>
        <w:tc>
          <w:tcPr>
            <w:tcW w:w="1361" w:type="dxa"/>
            <w:tcBorders>
              <w:top w:val="nil"/>
              <w:left w:val="nil"/>
              <w:bottom w:val="nil"/>
              <w:right w:val="nil"/>
            </w:tcBorders>
            <w:noWrap/>
            <w:vAlign w:val="bottom"/>
            <w:hideMark/>
          </w:tcPr>
          <w:p w14:paraId="0D809CE3"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c>
          <w:tcPr>
            <w:tcW w:w="2249" w:type="dxa"/>
            <w:tcBorders>
              <w:top w:val="nil"/>
              <w:left w:val="nil"/>
              <w:bottom w:val="nil"/>
              <w:right w:val="nil"/>
            </w:tcBorders>
            <w:noWrap/>
            <w:vAlign w:val="bottom"/>
            <w:hideMark/>
          </w:tcPr>
          <w:p w14:paraId="1A0F752D"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Legal Services</w:t>
            </w:r>
          </w:p>
        </w:tc>
        <w:tc>
          <w:tcPr>
            <w:tcW w:w="1429" w:type="dxa"/>
            <w:tcBorders>
              <w:top w:val="nil"/>
              <w:left w:val="nil"/>
              <w:bottom w:val="nil"/>
              <w:right w:val="nil"/>
            </w:tcBorders>
            <w:noWrap/>
            <w:vAlign w:val="bottom"/>
            <w:hideMark/>
          </w:tcPr>
          <w:p w14:paraId="5E0F087A"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306 </w:t>
            </w:r>
          </w:p>
        </w:tc>
        <w:tc>
          <w:tcPr>
            <w:tcW w:w="1361" w:type="dxa"/>
            <w:tcBorders>
              <w:top w:val="nil"/>
              <w:left w:val="nil"/>
              <w:bottom w:val="nil"/>
              <w:right w:val="nil"/>
            </w:tcBorders>
          </w:tcPr>
          <w:p w14:paraId="7F7BA295" w14:textId="43904237" w:rsidR="00AD07C2" w:rsidRPr="00AD07C2" w:rsidRDefault="00AD07C2" w:rsidP="001F48D4">
            <w:pPr>
              <w:spacing w:after="0" w:line="240" w:lineRule="auto"/>
              <w:jc w:val="right"/>
            </w:pPr>
            <w:r w:rsidRPr="00AD07C2">
              <w:t>80</w:t>
            </w:r>
            <w:r w:rsidR="001F48D4" w:rsidRPr="00AD07C2">
              <w:t xml:space="preserve"> </w:t>
            </w:r>
          </w:p>
        </w:tc>
        <w:tc>
          <w:tcPr>
            <w:tcW w:w="1361" w:type="dxa"/>
            <w:tcBorders>
              <w:top w:val="nil"/>
              <w:left w:val="nil"/>
              <w:bottom w:val="nil"/>
              <w:right w:val="nil"/>
            </w:tcBorders>
            <w:noWrap/>
            <w:hideMark/>
          </w:tcPr>
          <w:p w14:paraId="01C514F4" w14:textId="5922A806"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t xml:space="preserve">52 </w:t>
            </w:r>
          </w:p>
        </w:tc>
        <w:tc>
          <w:tcPr>
            <w:tcW w:w="1566" w:type="dxa"/>
            <w:tcBorders>
              <w:top w:val="nil"/>
              <w:left w:val="nil"/>
              <w:bottom w:val="nil"/>
              <w:right w:val="nil"/>
            </w:tcBorders>
            <w:noWrap/>
            <w:vAlign w:val="bottom"/>
            <w:hideMark/>
          </w:tcPr>
          <w:p w14:paraId="00C185F3"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r>
      <w:tr w:rsidR="00B33B2E" w:rsidRPr="00B33B2E" w14:paraId="5D0B99EC" w14:textId="77777777" w:rsidTr="001F48D4">
        <w:trPr>
          <w:trHeight w:val="375"/>
        </w:trPr>
        <w:tc>
          <w:tcPr>
            <w:tcW w:w="1657" w:type="dxa"/>
            <w:tcBorders>
              <w:top w:val="nil"/>
              <w:left w:val="nil"/>
              <w:bottom w:val="nil"/>
              <w:right w:val="nil"/>
            </w:tcBorders>
            <w:noWrap/>
            <w:vAlign w:val="bottom"/>
            <w:hideMark/>
          </w:tcPr>
          <w:p w14:paraId="75AEAA98" w14:textId="77777777" w:rsidR="00B33B2E" w:rsidRPr="00B33B2E" w:rsidRDefault="00B33B2E" w:rsidP="00B33B2E">
            <w:pPr>
              <w:spacing w:after="0" w:line="240" w:lineRule="auto"/>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Total</w:t>
            </w:r>
          </w:p>
        </w:tc>
        <w:tc>
          <w:tcPr>
            <w:tcW w:w="1748" w:type="dxa"/>
            <w:tcBorders>
              <w:top w:val="single" w:sz="4" w:space="0" w:color="auto"/>
              <w:left w:val="nil"/>
              <w:bottom w:val="double" w:sz="6" w:space="0" w:color="auto"/>
              <w:right w:val="nil"/>
            </w:tcBorders>
            <w:noWrap/>
            <w:vAlign w:val="bottom"/>
            <w:hideMark/>
          </w:tcPr>
          <w:p w14:paraId="48D37D18" w14:textId="77777777" w:rsidR="00B33B2E" w:rsidRPr="00B33B2E" w:rsidRDefault="00B33B2E" w:rsidP="00BA02EF">
            <w:pPr>
              <w:spacing w:after="0" w:line="240" w:lineRule="auto"/>
              <w:jc w:val="right"/>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 xml:space="preserve">16,234 </w:t>
            </w:r>
          </w:p>
        </w:tc>
        <w:tc>
          <w:tcPr>
            <w:tcW w:w="1475" w:type="dxa"/>
            <w:tcBorders>
              <w:top w:val="single" w:sz="4" w:space="0" w:color="auto"/>
              <w:left w:val="nil"/>
              <w:bottom w:val="double" w:sz="6" w:space="0" w:color="auto"/>
              <w:right w:val="nil"/>
            </w:tcBorders>
            <w:noWrap/>
            <w:vAlign w:val="bottom"/>
            <w:hideMark/>
          </w:tcPr>
          <w:p w14:paraId="7472EB4A" w14:textId="77777777" w:rsidR="00B33B2E" w:rsidRPr="00B33B2E" w:rsidRDefault="00B33B2E" w:rsidP="00BA02EF">
            <w:pPr>
              <w:spacing w:after="0" w:line="240" w:lineRule="auto"/>
              <w:jc w:val="right"/>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 xml:space="preserve">4,481 </w:t>
            </w:r>
          </w:p>
        </w:tc>
        <w:tc>
          <w:tcPr>
            <w:tcW w:w="1361" w:type="dxa"/>
            <w:tcBorders>
              <w:top w:val="nil"/>
              <w:left w:val="nil"/>
              <w:bottom w:val="nil"/>
              <w:right w:val="nil"/>
            </w:tcBorders>
            <w:noWrap/>
            <w:vAlign w:val="bottom"/>
            <w:hideMark/>
          </w:tcPr>
          <w:p w14:paraId="77B97376" w14:textId="77777777" w:rsidR="00B33B2E" w:rsidRPr="00B33B2E" w:rsidRDefault="00B33B2E" w:rsidP="00B33B2E">
            <w:pPr>
              <w:spacing w:after="0" w:line="240" w:lineRule="auto"/>
              <w:jc w:val="right"/>
              <w:rPr>
                <w:rFonts w:ascii="Aptos" w:eastAsia="Times New Roman" w:hAnsi="Aptos" w:cs="Calibri"/>
                <w:b/>
                <w:bCs/>
                <w:kern w:val="0"/>
                <w:szCs w:val="24"/>
                <w:lang w:eastAsia="en-GB"/>
                <w14:ligatures w14:val="none"/>
              </w:rPr>
            </w:pPr>
          </w:p>
        </w:tc>
        <w:tc>
          <w:tcPr>
            <w:tcW w:w="2249" w:type="dxa"/>
            <w:tcBorders>
              <w:top w:val="nil"/>
              <w:left w:val="nil"/>
              <w:bottom w:val="nil"/>
              <w:right w:val="nil"/>
            </w:tcBorders>
            <w:noWrap/>
            <w:vAlign w:val="bottom"/>
            <w:hideMark/>
          </w:tcPr>
          <w:p w14:paraId="208F6031"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 xml:space="preserve">Vacancy Gap </w:t>
            </w:r>
          </w:p>
        </w:tc>
        <w:tc>
          <w:tcPr>
            <w:tcW w:w="1429" w:type="dxa"/>
            <w:tcBorders>
              <w:top w:val="nil"/>
              <w:left w:val="nil"/>
              <w:bottom w:val="nil"/>
              <w:right w:val="nil"/>
            </w:tcBorders>
            <w:noWrap/>
            <w:vAlign w:val="bottom"/>
            <w:hideMark/>
          </w:tcPr>
          <w:p w14:paraId="376A080D"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D6AC6">
              <w:rPr>
                <w:rFonts w:ascii="Aptos" w:eastAsia="Times New Roman" w:hAnsi="Aptos" w:cs="Calibri"/>
                <w:color w:val="A20000"/>
                <w:kern w:val="0"/>
                <w:szCs w:val="24"/>
                <w:lang w:eastAsia="en-GB"/>
                <w14:ligatures w14:val="none"/>
              </w:rPr>
              <w:t xml:space="preserve">(250) </w:t>
            </w:r>
          </w:p>
        </w:tc>
        <w:tc>
          <w:tcPr>
            <w:tcW w:w="1361" w:type="dxa"/>
            <w:tcBorders>
              <w:top w:val="nil"/>
              <w:left w:val="nil"/>
              <w:bottom w:val="nil"/>
              <w:right w:val="nil"/>
            </w:tcBorders>
          </w:tcPr>
          <w:p w14:paraId="6A422427" w14:textId="14B48246" w:rsidR="001F48D4" w:rsidRPr="00AD07C2" w:rsidRDefault="001F48D4" w:rsidP="001F48D4">
            <w:pPr>
              <w:spacing w:after="0" w:line="240" w:lineRule="auto"/>
              <w:jc w:val="right"/>
            </w:pPr>
            <w:r w:rsidRPr="00AD07C2">
              <w:t xml:space="preserve">0 </w:t>
            </w:r>
          </w:p>
        </w:tc>
        <w:tc>
          <w:tcPr>
            <w:tcW w:w="1361" w:type="dxa"/>
            <w:tcBorders>
              <w:top w:val="nil"/>
              <w:left w:val="nil"/>
              <w:bottom w:val="nil"/>
              <w:right w:val="nil"/>
            </w:tcBorders>
            <w:noWrap/>
            <w:hideMark/>
          </w:tcPr>
          <w:p w14:paraId="79C3A2CD" w14:textId="223FC879"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t xml:space="preserve">0 </w:t>
            </w:r>
          </w:p>
        </w:tc>
        <w:tc>
          <w:tcPr>
            <w:tcW w:w="1566" w:type="dxa"/>
            <w:tcBorders>
              <w:top w:val="nil"/>
              <w:left w:val="nil"/>
              <w:bottom w:val="nil"/>
              <w:right w:val="nil"/>
            </w:tcBorders>
            <w:noWrap/>
            <w:vAlign w:val="bottom"/>
            <w:hideMark/>
          </w:tcPr>
          <w:p w14:paraId="614988A2"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r>
      <w:tr w:rsidR="00B33B2E" w:rsidRPr="00B33B2E" w14:paraId="0B8A6643" w14:textId="77777777" w:rsidTr="001F48D4">
        <w:trPr>
          <w:trHeight w:val="375"/>
        </w:trPr>
        <w:tc>
          <w:tcPr>
            <w:tcW w:w="1657" w:type="dxa"/>
            <w:tcBorders>
              <w:top w:val="nil"/>
              <w:left w:val="nil"/>
              <w:bottom w:val="nil"/>
              <w:right w:val="nil"/>
            </w:tcBorders>
            <w:noWrap/>
            <w:vAlign w:val="bottom"/>
            <w:hideMark/>
          </w:tcPr>
          <w:p w14:paraId="211CE23B"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1748" w:type="dxa"/>
            <w:tcBorders>
              <w:top w:val="nil"/>
              <w:left w:val="nil"/>
              <w:bottom w:val="nil"/>
              <w:right w:val="nil"/>
            </w:tcBorders>
            <w:noWrap/>
            <w:vAlign w:val="bottom"/>
            <w:hideMark/>
          </w:tcPr>
          <w:p w14:paraId="6C1FAFB2"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1475" w:type="dxa"/>
            <w:tcBorders>
              <w:top w:val="nil"/>
              <w:left w:val="nil"/>
              <w:bottom w:val="nil"/>
              <w:right w:val="nil"/>
            </w:tcBorders>
            <w:noWrap/>
            <w:vAlign w:val="bottom"/>
            <w:hideMark/>
          </w:tcPr>
          <w:p w14:paraId="16A43DB2"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1361" w:type="dxa"/>
            <w:tcBorders>
              <w:top w:val="nil"/>
              <w:left w:val="nil"/>
              <w:bottom w:val="nil"/>
              <w:right w:val="nil"/>
            </w:tcBorders>
            <w:noWrap/>
            <w:vAlign w:val="bottom"/>
            <w:hideMark/>
          </w:tcPr>
          <w:p w14:paraId="35DF9D39"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2249" w:type="dxa"/>
            <w:tcBorders>
              <w:top w:val="nil"/>
              <w:left w:val="nil"/>
              <w:bottom w:val="nil"/>
              <w:right w:val="nil"/>
            </w:tcBorders>
            <w:noWrap/>
            <w:vAlign w:val="bottom"/>
            <w:hideMark/>
          </w:tcPr>
          <w:p w14:paraId="5E9F5917" w14:textId="77777777" w:rsidR="00B33B2E" w:rsidRPr="00B33B2E" w:rsidRDefault="00B33B2E" w:rsidP="00B33B2E">
            <w:pPr>
              <w:spacing w:after="0" w:line="240" w:lineRule="auto"/>
              <w:rPr>
                <w:rFonts w:ascii="Aptos" w:eastAsia="Times New Roman" w:hAnsi="Aptos" w:cs="Calibri"/>
                <w:kern w:val="0"/>
                <w:szCs w:val="24"/>
                <w:lang w:eastAsia="en-GB"/>
                <w14:ligatures w14:val="none"/>
              </w:rPr>
            </w:pPr>
            <w:r w:rsidRPr="00B33B2E">
              <w:rPr>
                <w:rFonts w:ascii="Aptos" w:eastAsia="Times New Roman" w:hAnsi="Aptos" w:cs="Calibri"/>
                <w:kern w:val="0"/>
                <w:szCs w:val="24"/>
                <w:lang w:eastAsia="en-GB"/>
                <w14:ligatures w14:val="none"/>
              </w:rPr>
              <w:t>Pension</w:t>
            </w:r>
          </w:p>
        </w:tc>
        <w:tc>
          <w:tcPr>
            <w:tcW w:w="1429" w:type="dxa"/>
            <w:tcBorders>
              <w:top w:val="nil"/>
              <w:left w:val="nil"/>
              <w:bottom w:val="nil"/>
              <w:right w:val="nil"/>
            </w:tcBorders>
            <w:noWrap/>
            <w:vAlign w:val="bottom"/>
            <w:hideMark/>
          </w:tcPr>
          <w:p w14:paraId="2229A8D7" w14:textId="77777777"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rPr>
                <w:rFonts w:ascii="Aptos" w:eastAsia="Times New Roman" w:hAnsi="Aptos" w:cs="Calibri"/>
                <w:color w:val="000000"/>
                <w:kern w:val="0"/>
                <w:szCs w:val="24"/>
                <w:lang w:eastAsia="en-GB"/>
                <w14:ligatures w14:val="none"/>
              </w:rPr>
              <w:t xml:space="preserve">2,200 </w:t>
            </w:r>
          </w:p>
        </w:tc>
        <w:tc>
          <w:tcPr>
            <w:tcW w:w="1361" w:type="dxa"/>
            <w:tcBorders>
              <w:top w:val="nil"/>
              <w:left w:val="nil"/>
              <w:bottom w:val="nil"/>
              <w:right w:val="nil"/>
            </w:tcBorders>
          </w:tcPr>
          <w:p w14:paraId="3F69F1D8" w14:textId="655756E9" w:rsidR="001F48D4" w:rsidRPr="00AD07C2" w:rsidRDefault="001F48D4" w:rsidP="001F48D4">
            <w:pPr>
              <w:spacing w:after="0" w:line="240" w:lineRule="auto"/>
              <w:jc w:val="right"/>
            </w:pPr>
            <w:r w:rsidRPr="00AD07C2">
              <w:t>6</w:t>
            </w:r>
            <w:r w:rsidR="00AD07C2" w:rsidRPr="00AD07C2">
              <w:t>82</w:t>
            </w:r>
            <w:r w:rsidRPr="00AD07C2">
              <w:t xml:space="preserve"> </w:t>
            </w:r>
          </w:p>
        </w:tc>
        <w:tc>
          <w:tcPr>
            <w:tcW w:w="1361" w:type="dxa"/>
            <w:tcBorders>
              <w:top w:val="nil"/>
              <w:left w:val="nil"/>
              <w:bottom w:val="nil"/>
              <w:right w:val="nil"/>
            </w:tcBorders>
            <w:noWrap/>
            <w:hideMark/>
          </w:tcPr>
          <w:p w14:paraId="333EFFA5" w14:textId="4D39AEF9" w:rsidR="00B33B2E" w:rsidRPr="00B33B2E" w:rsidRDefault="00B33B2E" w:rsidP="00BA02EF">
            <w:pPr>
              <w:spacing w:after="0" w:line="240" w:lineRule="auto"/>
              <w:jc w:val="right"/>
              <w:rPr>
                <w:rFonts w:ascii="Aptos" w:eastAsia="Times New Roman" w:hAnsi="Aptos" w:cs="Calibri"/>
                <w:color w:val="000000"/>
                <w:kern w:val="0"/>
                <w:szCs w:val="24"/>
                <w:lang w:eastAsia="en-GB"/>
                <w14:ligatures w14:val="none"/>
              </w:rPr>
            </w:pPr>
            <w:r w:rsidRPr="00B33B2E">
              <w:t xml:space="preserve">633 </w:t>
            </w:r>
          </w:p>
        </w:tc>
        <w:tc>
          <w:tcPr>
            <w:tcW w:w="1566" w:type="dxa"/>
            <w:tcBorders>
              <w:top w:val="nil"/>
              <w:left w:val="nil"/>
              <w:bottom w:val="nil"/>
              <w:right w:val="nil"/>
            </w:tcBorders>
            <w:noWrap/>
            <w:vAlign w:val="bottom"/>
            <w:hideMark/>
          </w:tcPr>
          <w:p w14:paraId="12E237FB" w14:textId="77777777" w:rsidR="00B33B2E" w:rsidRPr="00B33B2E" w:rsidRDefault="00B33B2E" w:rsidP="00B33B2E">
            <w:pPr>
              <w:spacing w:after="0" w:line="240" w:lineRule="auto"/>
              <w:jc w:val="right"/>
              <w:rPr>
                <w:rFonts w:ascii="Aptos" w:eastAsia="Times New Roman" w:hAnsi="Aptos" w:cs="Calibri"/>
                <w:color w:val="000000"/>
                <w:kern w:val="0"/>
                <w:szCs w:val="24"/>
                <w:lang w:eastAsia="en-GB"/>
                <w14:ligatures w14:val="none"/>
              </w:rPr>
            </w:pPr>
          </w:p>
        </w:tc>
      </w:tr>
      <w:tr w:rsidR="00B33B2E" w:rsidRPr="00B33B2E" w14:paraId="54A2D9B4" w14:textId="77777777" w:rsidTr="001F48D4">
        <w:trPr>
          <w:trHeight w:val="375"/>
        </w:trPr>
        <w:tc>
          <w:tcPr>
            <w:tcW w:w="1657" w:type="dxa"/>
            <w:tcBorders>
              <w:top w:val="nil"/>
              <w:left w:val="nil"/>
              <w:bottom w:val="nil"/>
              <w:right w:val="nil"/>
            </w:tcBorders>
            <w:noWrap/>
            <w:vAlign w:val="bottom"/>
            <w:hideMark/>
          </w:tcPr>
          <w:p w14:paraId="5781D628"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1748" w:type="dxa"/>
            <w:tcBorders>
              <w:top w:val="nil"/>
              <w:left w:val="nil"/>
              <w:bottom w:val="nil"/>
              <w:right w:val="nil"/>
            </w:tcBorders>
            <w:noWrap/>
            <w:vAlign w:val="bottom"/>
            <w:hideMark/>
          </w:tcPr>
          <w:p w14:paraId="2B0190C1"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1475" w:type="dxa"/>
            <w:tcBorders>
              <w:top w:val="nil"/>
              <w:left w:val="nil"/>
              <w:bottom w:val="nil"/>
              <w:right w:val="nil"/>
            </w:tcBorders>
            <w:noWrap/>
            <w:vAlign w:val="bottom"/>
            <w:hideMark/>
          </w:tcPr>
          <w:p w14:paraId="761AF5E1"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1361" w:type="dxa"/>
            <w:tcBorders>
              <w:top w:val="nil"/>
              <w:left w:val="nil"/>
              <w:bottom w:val="nil"/>
              <w:right w:val="nil"/>
            </w:tcBorders>
            <w:noWrap/>
            <w:vAlign w:val="bottom"/>
            <w:hideMark/>
          </w:tcPr>
          <w:p w14:paraId="0357BAAB" w14:textId="77777777" w:rsidR="00B33B2E" w:rsidRPr="00B33B2E" w:rsidRDefault="00B33B2E" w:rsidP="00B33B2E">
            <w:pPr>
              <w:spacing w:after="0" w:line="240" w:lineRule="auto"/>
              <w:rPr>
                <w:rFonts w:ascii="Times New Roman" w:eastAsia="Times New Roman" w:hAnsi="Times New Roman" w:cs="Times New Roman"/>
                <w:kern w:val="0"/>
                <w:sz w:val="20"/>
                <w:szCs w:val="20"/>
                <w:lang w:eastAsia="en-GB"/>
                <w14:ligatures w14:val="none"/>
              </w:rPr>
            </w:pPr>
          </w:p>
        </w:tc>
        <w:tc>
          <w:tcPr>
            <w:tcW w:w="2249" w:type="dxa"/>
            <w:tcBorders>
              <w:top w:val="nil"/>
              <w:left w:val="nil"/>
              <w:bottom w:val="nil"/>
              <w:right w:val="nil"/>
            </w:tcBorders>
            <w:noWrap/>
            <w:vAlign w:val="bottom"/>
            <w:hideMark/>
          </w:tcPr>
          <w:p w14:paraId="57A0E466" w14:textId="77777777" w:rsidR="00B33B2E" w:rsidRPr="00B33B2E" w:rsidRDefault="00B33B2E" w:rsidP="00B33B2E">
            <w:pPr>
              <w:spacing w:after="0" w:line="240" w:lineRule="auto"/>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Total</w:t>
            </w:r>
          </w:p>
        </w:tc>
        <w:tc>
          <w:tcPr>
            <w:tcW w:w="1429" w:type="dxa"/>
            <w:tcBorders>
              <w:top w:val="single" w:sz="4" w:space="0" w:color="auto"/>
              <w:left w:val="nil"/>
              <w:bottom w:val="double" w:sz="6" w:space="0" w:color="auto"/>
              <w:right w:val="nil"/>
            </w:tcBorders>
            <w:noWrap/>
            <w:vAlign w:val="bottom"/>
            <w:hideMark/>
          </w:tcPr>
          <w:p w14:paraId="5266F253" w14:textId="77777777" w:rsidR="00B33B2E" w:rsidRPr="00B33B2E" w:rsidRDefault="00B33B2E" w:rsidP="00BA02EF">
            <w:pPr>
              <w:spacing w:after="0" w:line="240" w:lineRule="auto"/>
              <w:jc w:val="right"/>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 xml:space="preserve">16,234 </w:t>
            </w:r>
          </w:p>
        </w:tc>
        <w:tc>
          <w:tcPr>
            <w:tcW w:w="1361" w:type="dxa"/>
            <w:tcBorders>
              <w:top w:val="single" w:sz="4" w:space="0" w:color="auto"/>
              <w:left w:val="nil"/>
              <w:bottom w:val="double" w:sz="6" w:space="0" w:color="auto"/>
              <w:right w:val="nil"/>
            </w:tcBorders>
            <w:vAlign w:val="bottom"/>
          </w:tcPr>
          <w:p w14:paraId="5C02DF1E" w14:textId="618467E3" w:rsidR="001F48D4" w:rsidRPr="00AD07C2" w:rsidRDefault="001F48D4" w:rsidP="001F48D4">
            <w:pPr>
              <w:spacing w:after="0" w:line="240" w:lineRule="auto"/>
              <w:jc w:val="right"/>
              <w:rPr>
                <w:rFonts w:ascii="Aptos" w:eastAsia="Times New Roman" w:hAnsi="Aptos" w:cs="Calibri"/>
                <w:b/>
                <w:bCs/>
                <w:kern w:val="0"/>
                <w:szCs w:val="24"/>
                <w:lang w:eastAsia="en-GB"/>
                <w14:ligatures w14:val="none"/>
              </w:rPr>
            </w:pPr>
            <w:r w:rsidRPr="00AD07C2">
              <w:rPr>
                <w:rFonts w:ascii="Aptos" w:eastAsia="Times New Roman" w:hAnsi="Aptos" w:cs="Calibri"/>
                <w:b/>
                <w:bCs/>
                <w:kern w:val="0"/>
                <w:szCs w:val="24"/>
                <w:lang w:eastAsia="en-GB"/>
                <w14:ligatures w14:val="none"/>
              </w:rPr>
              <w:t>4,</w:t>
            </w:r>
            <w:r w:rsidR="00AD07C2" w:rsidRPr="00AD07C2">
              <w:rPr>
                <w:rFonts w:ascii="Aptos" w:eastAsia="Times New Roman" w:hAnsi="Aptos" w:cs="Calibri"/>
                <w:b/>
                <w:bCs/>
                <w:kern w:val="0"/>
                <w:szCs w:val="24"/>
                <w:lang w:eastAsia="en-GB"/>
                <w14:ligatures w14:val="none"/>
              </w:rPr>
              <w:t>825</w:t>
            </w:r>
            <w:r w:rsidRPr="00AD07C2">
              <w:rPr>
                <w:rFonts w:ascii="Aptos" w:eastAsia="Times New Roman" w:hAnsi="Aptos" w:cs="Calibri"/>
                <w:b/>
                <w:bCs/>
                <w:kern w:val="0"/>
                <w:szCs w:val="24"/>
                <w:lang w:eastAsia="en-GB"/>
                <w14:ligatures w14:val="none"/>
              </w:rPr>
              <w:t xml:space="preserve"> </w:t>
            </w:r>
          </w:p>
        </w:tc>
        <w:tc>
          <w:tcPr>
            <w:tcW w:w="1361" w:type="dxa"/>
            <w:tcBorders>
              <w:top w:val="single" w:sz="4" w:space="0" w:color="auto"/>
              <w:left w:val="nil"/>
              <w:bottom w:val="double" w:sz="6" w:space="0" w:color="auto"/>
              <w:right w:val="nil"/>
            </w:tcBorders>
            <w:noWrap/>
            <w:vAlign w:val="bottom"/>
            <w:hideMark/>
          </w:tcPr>
          <w:p w14:paraId="526B28C0" w14:textId="04548E11" w:rsidR="00B33B2E" w:rsidRPr="00B33B2E" w:rsidRDefault="00B33B2E" w:rsidP="00BA02EF">
            <w:pPr>
              <w:spacing w:after="0" w:line="240" w:lineRule="auto"/>
              <w:jc w:val="right"/>
              <w:rPr>
                <w:rFonts w:ascii="Aptos" w:eastAsia="Times New Roman" w:hAnsi="Aptos" w:cs="Calibri"/>
                <w:b/>
                <w:bCs/>
                <w:kern w:val="0"/>
                <w:szCs w:val="24"/>
                <w:lang w:eastAsia="en-GB"/>
                <w14:ligatures w14:val="none"/>
              </w:rPr>
            </w:pPr>
            <w:r w:rsidRPr="00B33B2E">
              <w:rPr>
                <w:rFonts w:ascii="Aptos" w:eastAsia="Times New Roman" w:hAnsi="Aptos" w:cs="Calibri"/>
                <w:b/>
                <w:bCs/>
                <w:kern w:val="0"/>
                <w:szCs w:val="24"/>
                <w:lang w:eastAsia="en-GB"/>
                <w14:ligatures w14:val="none"/>
              </w:rPr>
              <w:t xml:space="preserve">4,481 </w:t>
            </w:r>
          </w:p>
        </w:tc>
        <w:tc>
          <w:tcPr>
            <w:tcW w:w="1566" w:type="dxa"/>
            <w:tcBorders>
              <w:top w:val="nil"/>
              <w:left w:val="nil"/>
              <w:bottom w:val="nil"/>
              <w:right w:val="nil"/>
            </w:tcBorders>
            <w:noWrap/>
            <w:vAlign w:val="bottom"/>
            <w:hideMark/>
          </w:tcPr>
          <w:p w14:paraId="74073C57" w14:textId="77777777" w:rsidR="00B33B2E" w:rsidRPr="00B33B2E" w:rsidRDefault="00B33B2E" w:rsidP="00B33B2E">
            <w:pPr>
              <w:spacing w:after="0" w:line="240" w:lineRule="auto"/>
              <w:jc w:val="right"/>
              <w:rPr>
                <w:rFonts w:ascii="Aptos" w:eastAsia="Times New Roman" w:hAnsi="Aptos" w:cs="Calibri"/>
                <w:b/>
                <w:bCs/>
                <w:kern w:val="0"/>
                <w:szCs w:val="24"/>
                <w:lang w:eastAsia="en-GB"/>
                <w14:ligatures w14:val="none"/>
              </w:rPr>
            </w:pPr>
          </w:p>
        </w:tc>
      </w:tr>
    </w:tbl>
    <w:p w14:paraId="0686B13A" w14:textId="77777777" w:rsidR="00B33B2E" w:rsidRPr="00B33B2E" w:rsidRDefault="00B33B2E" w:rsidP="00B33B2E">
      <w:pPr>
        <w:keepNext/>
        <w:keepLines/>
        <w:spacing w:before="40" w:after="0"/>
        <w:outlineLvl w:val="2"/>
        <w:rPr>
          <w:rFonts w:eastAsiaTheme="majorEastAsia" w:cstheme="majorBidi"/>
          <w:b/>
          <w:color w:val="174DA3"/>
          <w:sz w:val="28"/>
          <w:szCs w:val="24"/>
        </w:rPr>
      </w:pPr>
    </w:p>
    <w:p w14:paraId="68DA5BF5" w14:textId="77777777" w:rsidR="00B33B2E" w:rsidRDefault="00B33B2E" w:rsidP="000D6ABF">
      <w:pPr>
        <w:pStyle w:val="Heading2"/>
        <w:rPr>
          <w:rFonts w:eastAsia="Times New Roman"/>
          <w:lang w:eastAsia="en-GB"/>
        </w:rPr>
      </w:pPr>
    </w:p>
    <w:p w14:paraId="10DEB48D" w14:textId="4A5B1984" w:rsidR="000D6ABF" w:rsidRDefault="0093386C" w:rsidP="00B33B2E">
      <w:pPr>
        <w:pStyle w:val="Heading3"/>
        <w:rPr>
          <w:rFonts w:eastAsia="Times New Roman"/>
          <w:lang w:eastAsia="en-GB"/>
        </w:rPr>
      </w:pPr>
      <w:r>
        <w:rPr>
          <w:rFonts w:eastAsia="Times New Roman"/>
          <w:lang w:eastAsia="en-GB"/>
        </w:rPr>
        <w:t>Administration b</w:t>
      </w:r>
      <w:r w:rsidR="000D6ABF" w:rsidRPr="00DE2B66">
        <w:rPr>
          <w:rFonts w:eastAsia="Times New Roman"/>
          <w:lang w:eastAsia="en-GB"/>
        </w:rPr>
        <w:t xml:space="preserve">udget </w:t>
      </w:r>
      <w:r w:rsidR="00B33B2E">
        <w:rPr>
          <w:rFonts w:eastAsia="Times New Roman"/>
          <w:lang w:eastAsia="en-GB"/>
        </w:rPr>
        <w:t>u</w:t>
      </w:r>
      <w:r w:rsidR="000D6ABF" w:rsidRPr="00DE2B66">
        <w:rPr>
          <w:rFonts w:eastAsia="Times New Roman"/>
          <w:lang w:eastAsia="en-GB"/>
        </w:rPr>
        <w:t xml:space="preserve">tilisation </w:t>
      </w:r>
      <w:r>
        <w:rPr>
          <w:rFonts w:eastAsia="Times New Roman"/>
          <w:lang w:eastAsia="en-GB"/>
        </w:rPr>
        <w:t>to end June 2025</w:t>
      </w:r>
    </w:p>
    <w:p w14:paraId="174662AA" w14:textId="732DBB8D" w:rsidR="0093386C" w:rsidRPr="0093386C" w:rsidRDefault="0020608B" w:rsidP="0093386C">
      <w:pPr>
        <w:rPr>
          <w:lang w:eastAsia="en-GB"/>
        </w:rPr>
      </w:pPr>
      <w:r w:rsidRPr="00C6316A">
        <w:rPr>
          <w:rFonts w:ascii="Calibri" w:eastAsia="Times New Roman" w:hAnsi="Calibri" w:cs="Calibri"/>
          <w:noProof/>
          <w:color w:val="000000"/>
          <w:kern w:val="0"/>
          <w:sz w:val="22"/>
          <w:lang w:eastAsia="en-GB"/>
          <w14:ligatures w14:val="none"/>
        </w:rPr>
        <w:drawing>
          <wp:anchor distT="0" distB="0" distL="114300" distR="114300" simplePos="0" relativeHeight="251677184" behindDoc="0" locked="0" layoutInCell="1" allowOverlap="1" wp14:anchorId="260757EA" wp14:editId="63A739FB">
            <wp:simplePos x="0" y="0"/>
            <wp:positionH relativeFrom="column">
              <wp:posOffset>3390900</wp:posOffset>
            </wp:positionH>
            <wp:positionV relativeFrom="paragraph">
              <wp:posOffset>266699</wp:posOffset>
            </wp:positionV>
            <wp:extent cx="1803400" cy="1590675"/>
            <wp:effectExtent l="0" t="0" r="6350" b="9525"/>
            <wp:wrapNone/>
            <wp:docPr id="110063949" name="Chart 18">
              <a:extLst xmlns:a="http://schemas.openxmlformats.org/drawingml/2006/main">
                <a:ext uri="{FF2B5EF4-FFF2-40B4-BE49-F238E27FC236}">
                  <a16:creationId xmlns:a16="http://schemas.microsoft.com/office/drawing/2014/main" id="{C559F994-A40C-45B4-9354-6CEF2D81446F}"/>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bl>
      <w:tblPr>
        <w:tblW w:w="16216" w:type="dxa"/>
        <w:tblLook w:val="04A0" w:firstRow="1" w:lastRow="0" w:firstColumn="1" w:lastColumn="0" w:noHBand="0" w:noVBand="1"/>
      </w:tblPr>
      <w:tblGrid>
        <w:gridCol w:w="1176"/>
        <w:gridCol w:w="1456"/>
        <w:gridCol w:w="1536"/>
        <w:gridCol w:w="1296"/>
        <w:gridCol w:w="1796"/>
        <w:gridCol w:w="1676"/>
        <w:gridCol w:w="1656"/>
        <w:gridCol w:w="1256"/>
        <w:gridCol w:w="1856"/>
        <w:gridCol w:w="1376"/>
        <w:gridCol w:w="1336"/>
      </w:tblGrid>
      <w:tr w:rsidR="0093386C" w:rsidRPr="00C6316A" w14:paraId="1A61C1A0" w14:textId="77777777" w:rsidTr="00295224">
        <w:trPr>
          <w:trHeight w:val="360"/>
        </w:trPr>
        <w:tc>
          <w:tcPr>
            <w:tcW w:w="976" w:type="dxa"/>
            <w:tcBorders>
              <w:top w:val="nil"/>
              <w:left w:val="nil"/>
              <w:bottom w:val="nil"/>
              <w:right w:val="nil"/>
            </w:tcBorders>
            <w:noWrap/>
            <w:vAlign w:val="bottom"/>
            <w:hideMark/>
          </w:tcPr>
          <w:p w14:paraId="38FA183E" w14:textId="0590F9DD" w:rsidR="0093386C" w:rsidRPr="00C6316A" w:rsidRDefault="0093386C" w:rsidP="00543857">
            <w:pPr>
              <w:spacing w:after="0" w:line="240" w:lineRule="auto"/>
              <w:rPr>
                <w:rFonts w:ascii="Calibri" w:eastAsia="Times New Roman" w:hAnsi="Calibri" w:cs="Calibri"/>
                <w:color w:val="000000"/>
                <w:kern w:val="0"/>
                <w:sz w:val="22"/>
                <w:lang w:eastAsia="en-GB"/>
                <w14:ligatures w14:val="none"/>
              </w:rPr>
            </w:pPr>
            <w:r w:rsidRPr="00C6316A">
              <w:rPr>
                <w:rFonts w:ascii="Calibri" w:eastAsia="Times New Roman" w:hAnsi="Calibri" w:cs="Calibri"/>
                <w:noProof/>
                <w:color w:val="000000"/>
                <w:kern w:val="0"/>
                <w:sz w:val="22"/>
                <w:lang w:eastAsia="en-GB"/>
                <w14:ligatures w14:val="none"/>
              </w:rPr>
              <w:drawing>
                <wp:anchor distT="0" distB="0" distL="114300" distR="114300" simplePos="0" relativeHeight="251640320" behindDoc="0" locked="0" layoutInCell="1" allowOverlap="1" wp14:anchorId="334DD04C" wp14:editId="2F2200C0">
                  <wp:simplePos x="0" y="0"/>
                  <wp:positionH relativeFrom="column">
                    <wp:posOffset>0</wp:posOffset>
                  </wp:positionH>
                  <wp:positionV relativeFrom="paragraph">
                    <wp:posOffset>-28575</wp:posOffset>
                  </wp:positionV>
                  <wp:extent cx="1571625" cy="1590675"/>
                  <wp:effectExtent l="0" t="0" r="9525" b="9525"/>
                  <wp:wrapNone/>
                  <wp:docPr id="509891432" name="Chart 22">
                    <a:extLst xmlns:a="http://schemas.openxmlformats.org/drawingml/2006/main">
                      <a:ext uri="{FF2B5EF4-FFF2-40B4-BE49-F238E27FC236}">
                        <a16:creationId xmlns:a16="http://schemas.microsoft.com/office/drawing/2014/main" id="{7B6CC02C-041A-4BE6-86E4-541FD0179276}"/>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93386C" w:rsidRPr="00C6316A" w14:paraId="024DDC13" w14:textId="77777777" w:rsidTr="00295224">
              <w:trPr>
                <w:trHeight w:val="360"/>
                <w:tblCellSpacing w:w="0" w:type="dxa"/>
              </w:trPr>
              <w:tc>
                <w:tcPr>
                  <w:tcW w:w="960" w:type="dxa"/>
                  <w:tcBorders>
                    <w:top w:val="nil"/>
                    <w:left w:val="nil"/>
                    <w:bottom w:val="nil"/>
                    <w:right w:val="nil"/>
                  </w:tcBorders>
                  <w:noWrap/>
                  <w:vAlign w:val="bottom"/>
                  <w:hideMark/>
                </w:tcPr>
                <w:p w14:paraId="6D80D3E5" w14:textId="77777777" w:rsidR="0093386C" w:rsidRPr="00C6316A" w:rsidRDefault="0093386C" w:rsidP="00543857">
                  <w:pPr>
                    <w:spacing w:after="0" w:line="240" w:lineRule="auto"/>
                    <w:rPr>
                      <w:rFonts w:ascii="Calibri" w:eastAsia="Times New Roman" w:hAnsi="Calibri" w:cs="Calibri"/>
                      <w:color w:val="000000"/>
                      <w:kern w:val="0"/>
                      <w:sz w:val="22"/>
                      <w:lang w:eastAsia="en-GB"/>
                      <w14:ligatures w14:val="none"/>
                    </w:rPr>
                  </w:pPr>
                </w:p>
              </w:tc>
            </w:tr>
          </w:tbl>
          <w:p w14:paraId="00007D54" w14:textId="77777777" w:rsidR="0093386C" w:rsidRPr="00C6316A" w:rsidRDefault="0093386C" w:rsidP="00543857">
            <w:pPr>
              <w:spacing w:after="0" w:line="240" w:lineRule="auto"/>
              <w:rPr>
                <w:rFonts w:ascii="Calibri" w:eastAsia="Times New Roman" w:hAnsi="Calibri" w:cs="Calibri"/>
                <w:color w:val="000000"/>
                <w:kern w:val="0"/>
                <w:sz w:val="22"/>
                <w:lang w:eastAsia="en-GB"/>
                <w14:ligatures w14:val="none"/>
              </w:rPr>
            </w:pPr>
          </w:p>
        </w:tc>
        <w:tc>
          <w:tcPr>
            <w:tcW w:w="1456" w:type="dxa"/>
            <w:tcBorders>
              <w:top w:val="nil"/>
              <w:left w:val="nil"/>
              <w:bottom w:val="nil"/>
              <w:right w:val="nil"/>
            </w:tcBorders>
            <w:noWrap/>
            <w:vAlign w:val="bottom"/>
            <w:hideMark/>
          </w:tcPr>
          <w:p w14:paraId="2DD4AA61" w14:textId="77777777" w:rsidR="0093386C" w:rsidRPr="00C6316A" w:rsidRDefault="0093386C" w:rsidP="00543857">
            <w:pPr>
              <w:spacing w:after="0" w:line="240" w:lineRule="auto"/>
              <w:rPr>
                <w:rFonts w:ascii="Times New Roman" w:eastAsia="Times New Roman" w:hAnsi="Times New Roman" w:cs="Times New Roman"/>
                <w:kern w:val="0"/>
                <w:sz w:val="20"/>
                <w:szCs w:val="20"/>
                <w:lang w:eastAsia="en-GB"/>
                <w14:ligatures w14:val="none"/>
              </w:rPr>
            </w:pPr>
          </w:p>
        </w:tc>
        <w:tc>
          <w:tcPr>
            <w:tcW w:w="1536" w:type="dxa"/>
            <w:tcBorders>
              <w:top w:val="nil"/>
              <w:left w:val="nil"/>
              <w:bottom w:val="nil"/>
              <w:right w:val="nil"/>
            </w:tcBorders>
            <w:noWrap/>
            <w:vAlign w:val="bottom"/>
            <w:hideMark/>
          </w:tcPr>
          <w:p w14:paraId="529911D0" w14:textId="2014A40D" w:rsidR="0093386C" w:rsidRPr="00C6316A" w:rsidRDefault="0093386C" w:rsidP="00543857">
            <w:pPr>
              <w:spacing w:after="0" w:line="240" w:lineRule="auto"/>
              <w:rPr>
                <w:rFonts w:ascii="Times New Roman" w:eastAsia="Times New Roman" w:hAnsi="Times New Roman" w:cs="Times New Roman"/>
                <w:kern w:val="0"/>
                <w:sz w:val="20"/>
                <w:szCs w:val="20"/>
                <w:lang w:eastAsia="en-GB"/>
                <w14:ligatures w14:val="none"/>
              </w:rPr>
            </w:pPr>
          </w:p>
        </w:tc>
        <w:tc>
          <w:tcPr>
            <w:tcW w:w="1296" w:type="dxa"/>
            <w:tcBorders>
              <w:top w:val="nil"/>
              <w:left w:val="nil"/>
              <w:bottom w:val="nil"/>
              <w:right w:val="nil"/>
            </w:tcBorders>
            <w:noWrap/>
            <w:vAlign w:val="bottom"/>
            <w:hideMark/>
          </w:tcPr>
          <w:p w14:paraId="554D4BFD" w14:textId="52E64CB4" w:rsidR="0093386C" w:rsidRPr="00C6316A" w:rsidRDefault="0020608B" w:rsidP="00543857">
            <w:pPr>
              <w:spacing w:after="0" w:line="240" w:lineRule="auto"/>
              <w:rPr>
                <w:rFonts w:ascii="Times New Roman" w:eastAsia="Times New Roman" w:hAnsi="Times New Roman" w:cs="Times New Roman"/>
                <w:kern w:val="0"/>
                <w:sz w:val="20"/>
                <w:szCs w:val="20"/>
                <w:lang w:eastAsia="en-GB"/>
                <w14:ligatures w14:val="none"/>
              </w:rPr>
            </w:pPr>
            <w:r w:rsidRPr="00C6316A">
              <w:rPr>
                <w:rFonts w:ascii="Calibri" w:eastAsia="Times New Roman" w:hAnsi="Calibri" w:cs="Calibri"/>
                <w:noProof/>
                <w:color w:val="000000"/>
                <w:kern w:val="0"/>
                <w:sz w:val="22"/>
                <w:lang w:eastAsia="en-GB"/>
                <w14:ligatures w14:val="none"/>
              </w:rPr>
              <w:drawing>
                <wp:anchor distT="0" distB="0" distL="114300" distR="114300" simplePos="0" relativeHeight="251653632" behindDoc="0" locked="0" layoutInCell="1" allowOverlap="1" wp14:anchorId="7449C17A" wp14:editId="0B78D241">
                  <wp:simplePos x="0" y="0"/>
                  <wp:positionH relativeFrom="column">
                    <wp:posOffset>-1078230</wp:posOffset>
                  </wp:positionH>
                  <wp:positionV relativeFrom="paragraph">
                    <wp:posOffset>-36830</wp:posOffset>
                  </wp:positionV>
                  <wp:extent cx="1752600" cy="1590675"/>
                  <wp:effectExtent l="0" t="0" r="0" b="9525"/>
                  <wp:wrapNone/>
                  <wp:docPr id="91073733" name="Chart 21">
                    <a:extLst xmlns:a="http://schemas.openxmlformats.org/drawingml/2006/main">
                      <a:ext uri="{FF2B5EF4-FFF2-40B4-BE49-F238E27FC236}">
                        <a16:creationId xmlns:a16="http://schemas.microsoft.com/office/drawing/2014/main" id="{0FAB3D5C-B4C0-491E-A28C-A9ABBDD5FF49}"/>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c>
        <w:tc>
          <w:tcPr>
            <w:tcW w:w="1796" w:type="dxa"/>
            <w:tcBorders>
              <w:top w:val="nil"/>
              <w:left w:val="nil"/>
              <w:bottom w:val="nil"/>
              <w:right w:val="nil"/>
            </w:tcBorders>
            <w:noWrap/>
            <w:vAlign w:val="bottom"/>
            <w:hideMark/>
          </w:tcPr>
          <w:p w14:paraId="11690EF7" w14:textId="38B98EAD" w:rsidR="0093386C" w:rsidRPr="00C6316A" w:rsidRDefault="0093386C" w:rsidP="00543857">
            <w:pPr>
              <w:spacing w:after="0" w:line="240" w:lineRule="auto"/>
              <w:rPr>
                <w:rFonts w:ascii="Times New Roman" w:eastAsia="Times New Roman" w:hAnsi="Times New Roman" w:cs="Times New Roman"/>
                <w:kern w:val="0"/>
                <w:sz w:val="20"/>
                <w:szCs w:val="20"/>
                <w:lang w:eastAsia="en-GB"/>
                <w14:ligatures w14:val="none"/>
              </w:rPr>
            </w:pPr>
          </w:p>
        </w:tc>
        <w:tc>
          <w:tcPr>
            <w:tcW w:w="1676" w:type="dxa"/>
            <w:tcBorders>
              <w:top w:val="nil"/>
              <w:left w:val="nil"/>
              <w:bottom w:val="nil"/>
              <w:right w:val="nil"/>
            </w:tcBorders>
            <w:noWrap/>
            <w:vAlign w:val="bottom"/>
            <w:hideMark/>
          </w:tcPr>
          <w:p w14:paraId="066FDC58" w14:textId="402C00F6" w:rsidR="0093386C" w:rsidRPr="00C6316A" w:rsidRDefault="0093386C" w:rsidP="00543857">
            <w:pPr>
              <w:spacing w:after="0" w:line="240" w:lineRule="auto"/>
              <w:rPr>
                <w:rFonts w:ascii="Times New Roman" w:eastAsia="Times New Roman" w:hAnsi="Times New Roman" w:cs="Times New Roman"/>
                <w:kern w:val="0"/>
                <w:sz w:val="20"/>
                <w:szCs w:val="20"/>
                <w:lang w:eastAsia="en-GB"/>
                <w14:ligatures w14:val="none"/>
              </w:rPr>
            </w:pPr>
          </w:p>
        </w:tc>
        <w:tc>
          <w:tcPr>
            <w:tcW w:w="1656" w:type="dxa"/>
            <w:tcBorders>
              <w:top w:val="nil"/>
              <w:left w:val="nil"/>
              <w:bottom w:val="nil"/>
              <w:right w:val="nil"/>
            </w:tcBorders>
            <w:noWrap/>
            <w:vAlign w:val="bottom"/>
            <w:hideMark/>
          </w:tcPr>
          <w:p w14:paraId="0C64E1CE" w14:textId="0D23F13D" w:rsidR="0093386C" w:rsidRPr="00C6316A" w:rsidRDefault="0020608B" w:rsidP="00543857">
            <w:pPr>
              <w:spacing w:after="0" w:line="240" w:lineRule="auto"/>
              <w:rPr>
                <w:rFonts w:ascii="Times New Roman" w:eastAsia="Times New Roman" w:hAnsi="Times New Roman" w:cs="Times New Roman"/>
                <w:kern w:val="0"/>
                <w:sz w:val="20"/>
                <w:szCs w:val="20"/>
                <w:lang w:eastAsia="en-GB"/>
                <w14:ligatures w14:val="none"/>
              </w:rPr>
            </w:pPr>
            <w:r w:rsidRPr="00C6316A">
              <w:rPr>
                <w:rFonts w:ascii="Calibri" w:eastAsia="Times New Roman" w:hAnsi="Calibri" w:cs="Calibri"/>
                <w:noProof/>
                <w:color w:val="000000"/>
                <w:kern w:val="0"/>
                <w:sz w:val="22"/>
                <w:lang w:eastAsia="en-GB"/>
                <w14:ligatures w14:val="none"/>
              </w:rPr>
              <w:drawing>
                <wp:anchor distT="0" distB="0" distL="114300" distR="114300" simplePos="0" relativeHeight="251670016" behindDoc="0" locked="0" layoutInCell="1" allowOverlap="1" wp14:anchorId="6733FD05" wp14:editId="4668AF79">
                  <wp:simplePos x="0" y="0"/>
                  <wp:positionH relativeFrom="column">
                    <wp:posOffset>-551180</wp:posOffset>
                  </wp:positionH>
                  <wp:positionV relativeFrom="paragraph">
                    <wp:posOffset>-44450</wp:posOffset>
                  </wp:positionV>
                  <wp:extent cx="1822450" cy="1590675"/>
                  <wp:effectExtent l="0" t="0" r="6350" b="9525"/>
                  <wp:wrapNone/>
                  <wp:docPr id="1458970107" name="Chart 19">
                    <a:extLst xmlns:a="http://schemas.openxmlformats.org/drawingml/2006/main">
                      <a:ext uri="{FF2B5EF4-FFF2-40B4-BE49-F238E27FC236}">
                        <a16:creationId xmlns:a16="http://schemas.microsoft.com/office/drawing/2014/main" id="{0FF98DDF-32AB-41A2-B75A-8D18542104DB}"/>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c>
        <w:tc>
          <w:tcPr>
            <w:tcW w:w="1256" w:type="dxa"/>
            <w:tcBorders>
              <w:top w:val="nil"/>
              <w:left w:val="nil"/>
              <w:bottom w:val="nil"/>
              <w:right w:val="nil"/>
            </w:tcBorders>
            <w:noWrap/>
            <w:vAlign w:val="bottom"/>
            <w:hideMark/>
          </w:tcPr>
          <w:p w14:paraId="15375A67" w14:textId="2B8B6759" w:rsidR="0093386C" w:rsidRPr="00C6316A" w:rsidRDefault="0093386C" w:rsidP="00543857">
            <w:pPr>
              <w:spacing w:after="0" w:line="240" w:lineRule="auto"/>
              <w:rPr>
                <w:rFonts w:ascii="Times New Roman" w:eastAsia="Times New Roman" w:hAnsi="Times New Roman" w:cs="Times New Roman"/>
                <w:kern w:val="0"/>
                <w:sz w:val="20"/>
                <w:szCs w:val="20"/>
                <w:lang w:eastAsia="en-GB"/>
                <w14:ligatures w14:val="none"/>
              </w:rPr>
            </w:pPr>
          </w:p>
        </w:tc>
        <w:tc>
          <w:tcPr>
            <w:tcW w:w="1856" w:type="dxa"/>
            <w:tcBorders>
              <w:top w:val="nil"/>
              <w:left w:val="nil"/>
              <w:bottom w:val="nil"/>
              <w:right w:val="nil"/>
            </w:tcBorders>
            <w:noWrap/>
            <w:vAlign w:val="bottom"/>
            <w:hideMark/>
          </w:tcPr>
          <w:p w14:paraId="0793EE99" w14:textId="25CE371A" w:rsidR="0093386C" w:rsidRPr="00C6316A" w:rsidRDefault="0020608B" w:rsidP="00543857">
            <w:pPr>
              <w:spacing w:after="0" w:line="240" w:lineRule="auto"/>
              <w:rPr>
                <w:rFonts w:ascii="Times New Roman" w:eastAsia="Times New Roman" w:hAnsi="Times New Roman" w:cs="Times New Roman"/>
                <w:kern w:val="0"/>
                <w:sz w:val="20"/>
                <w:szCs w:val="20"/>
                <w:lang w:eastAsia="en-GB"/>
                <w14:ligatures w14:val="none"/>
              </w:rPr>
            </w:pPr>
            <w:r w:rsidRPr="00C6316A">
              <w:rPr>
                <w:rFonts w:ascii="Calibri" w:eastAsia="Times New Roman" w:hAnsi="Calibri" w:cs="Calibri"/>
                <w:noProof/>
                <w:color w:val="000000"/>
                <w:kern w:val="0"/>
                <w:sz w:val="22"/>
                <w:lang w:eastAsia="en-GB"/>
                <w14:ligatures w14:val="none"/>
              </w:rPr>
              <w:drawing>
                <wp:anchor distT="0" distB="0" distL="114300" distR="114300" simplePos="0" relativeHeight="251660800" behindDoc="0" locked="0" layoutInCell="1" allowOverlap="1" wp14:anchorId="575A9C78" wp14:editId="11CCE528">
                  <wp:simplePos x="0" y="0"/>
                  <wp:positionH relativeFrom="column">
                    <wp:posOffset>-576580</wp:posOffset>
                  </wp:positionH>
                  <wp:positionV relativeFrom="paragraph">
                    <wp:posOffset>-50800</wp:posOffset>
                  </wp:positionV>
                  <wp:extent cx="1955800" cy="1600200"/>
                  <wp:effectExtent l="0" t="0" r="0" b="0"/>
                  <wp:wrapNone/>
                  <wp:docPr id="1529149954" name="Chart 20">
                    <a:extLst xmlns:a="http://schemas.openxmlformats.org/drawingml/2006/main">
                      <a:ext uri="{FF2B5EF4-FFF2-40B4-BE49-F238E27FC236}">
                        <a16:creationId xmlns:a16="http://schemas.microsoft.com/office/drawing/2014/main" id="{38EC5BA5-039F-4354-8E01-19ACD73339DD}"/>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c>
          <w:tcPr>
            <w:tcW w:w="1376" w:type="dxa"/>
            <w:tcBorders>
              <w:top w:val="nil"/>
              <w:left w:val="nil"/>
              <w:bottom w:val="nil"/>
              <w:right w:val="nil"/>
            </w:tcBorders>
            <w:noWrap/>
            <w:vAlign w:val="bottom"/>
            <w:hideMark/>
          </w:tcPr>
          <w:p w14:paraId="51351A81" w14:textId="77777777" w:rsidR="0093386C" w:rsidRPr="00C6316A" w:rsidRDefault="0093386C" w:rsidP="00543857">
            <w:pPr>
              <w:spacing w:after="0" w:line="240" w:lineRule="auto"/>
              <w:rPr>
                <w:rFonts w:ascii="Times New Roman" w:eastAsia="Times New Roman" w:hAnsi="Times New Roman" w:cs="Times New Roman"/>
                <w:kern w:val="0"/>
                <w:sz w:val="20"/>
                <w:szCs w:val="20"/>
                <w:lang w:eastAsia="en-GB"/>
                <w14:ligatures w14:val="none"/>
              </w:rPr>
            </w:pPr>
          </w:p>
        </w:tc>
        <w:tc>
          <w:tcPr>
            <w:tcW w:w="1336" w:type="dxa"/>
            <w:tcBorders>
              <w:top w:val="nil"/>
              <w:left w:val="nil"/>
              <w:bottom w:val="nil"/>
              <w:right w:val="nil"/>
            </w:tcBorders>
            <w:noWrap/>
            <w:vAlign w:val="bottom"/>
            <w:hideMark/>
          </w:tcPr>
          <w:p w14:paraId="7D46A62B" w14:textId="77777777" w:rsidR="0093386C" w:rsidRPr="00C6316A" w:rsidRDefault="0093386C" w:rsidP="00543857">
            <w:pPr>
              <w:spacing w:after="0" w:line="240" w:lineRule="auto"/>
              <w:rPr>
                <w:rFonts w:ascii="Times New Roman" w:eastAsia="Times New Roman" w:hAnsi="Times New Roman" w:cs="Times New Roman"/>
                <w:kern w:val="0"/>
                <w:sz w:val="20"/>
                <w:szCs w:val="20"/>
                <w:lang w:eastAsia="en-GB"/>
                <w14:ligatures w14:val="none"/>
              </w:rPr>
            </w:pPr>
          </w:p>
        </w:tc>
      </w:tr>
    </w:tbl>
    <w:p w14:paraId="0FAEB3CA" w14:textId="77777777" w:rsidR="008A5A68" w:rsidRDefault="008A5A68">
      <w:pPr>
        <w:rPr>
          <w:rFonts w:asciiTheme="majorHAnsi" w:eastAsiaTheme="majorEastAsia" w:hAnsiTheme="majorHAnsi" w:cstheme="majorBidi"/>
          <w:b/>
          <w:sz w:val="32"/>
          <w:szCs w:val="26"/>
        </w:rPr>
      </w:pPr>
      <w:r>
        <w:br w:type="page"/>
      </w:r>
    </w:p>
    <w:p w14:paraId="03ACB7C0" w14:textId="6B4708A9" w:rsidR="00D10A8E" w:rsidRDefault="0093386C" w:rsidP="0093386C">
      <w:pPr>
        <w:pStyle w:val="Heading3"/>
      </w:pPr>
      <w:r>
        <w:lastRenderedPageBreak/>
        <w:t>Administration s</w:t>
      </w:r>
      <w:r w:rsidR="00495BA1" w:rsidRPr="00BC40F0">
        <w:t xml:space="preserve">pend </w:t>
      </w:r>
      <w:r>
        <w:t>v</w:t>
      </w:r>
      <w:r w:rsidR="00495BA1" w:rsidRPr="00BC40F0">
        <w:t xml:space="preserve"> budget</w:t>
      </w:r>
      <w:r>
        <w:t xml:space="preserve"> to end of June 2025</w:t>
      </w:r>
    </w:p>
    <w:p w14:paraId="5297E2AF" w14:textId="77777777" w:rsidR="00B262F3" w:rsidRDefault="00B262F3" w:rsidP="00B262F3"/>
    <w:p w14:paraId="5D6656C0" w14:textId="172CA0ED" w:rsidR="00B262F3" w:rsidRPr="00B262F3" w:rsidRDefault="00B262F3" w:rsidP="00B262F3">
      <w:r>
        <w:rPr>
          <w:noProof/>
        </w:rPr>
        <w:drawing>
          <wp:inline distT="0" distB="0" distL="0" distR="0" wp14:anchorId="26266271" wp14:editId="57852FBA">
            <wp:extent cx="9777730" cy="3489325"/>
            <wp:effectExtent l="0" t="0" r="13970" b="15875"/>
            <wp:docPr id="1675424076" name="Chart 1">
              <a:extLst xmlns:a="http://schemas.openxmlformats.org/drawingml/2006/main">
                <a:ext uri="{FF2B5EF4-FFF2-40B4-BE49-F238E27FC236}">
                  <a16:creationId xmlns:a16="http://schemas.microsoft.com/office/drawing/2014/main" id="{B66CA80C-DD84-482A-B708-306508A1F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C5CF6B" w14:textId="6513A528" w:rsidR="00D10A8E" w:rsidRPr="00D50227" w:rsidRDefault="00495BA1" w:rsidP="00B262F3">
      <w:pPr>
        <w:pStyle w:val="Heading3"/>
        <w:rPr>
          <w:rStyle w:val="Heading1Char"/>
          <w:b/>
          <w:color w:val="auto"/>
          <w:sz w:val="32"/>
          <w:szCs w:val="26"/>
          <w:lang w:val="en-GB"/>
        </w:rPr>
      </w:pPr>
      <w:r w:rsidRPr="00D50227">
        <w:t>A</w:t>
      </w:r>
      <w:r w:rsidR="00B262F3">
        <w:t>dministration a</w:t>
      </w:r>
      <w:r w:rsidRPr="00D50227">
        <w:t>nalysis of spend</w:t>
      </w:r>
      <w:r w:rsidR="00B262F3">
        <w:t xml:space="preserve"> to end June 2025</w:t>
      </w:r>
      <w:r w:rsidRPr="00D50227">
        <w:t xml:space="preserve"> </w:t>
      </w:r>
    </w:p>
    <w:p w14:paraId="4FACFFDA" w14:textId="77777777" w:rsidR="0097179C" w:rsidRDefault="00A91572" w:rsidP="0097179C">
      <w:pPr>
        <w:pStyle w:val="ListParagraph"/>
        <w:numPr>
          <w:ilvl w:val="0"/>
          <w:numId w:val="10"/>
        </w:numPr>
      </w:pPr>
      <w:bookmarkStart w:id="1" w:name="_Hlk182916682"/>
      <w:r w:rsidRPr="00C231EF">
        <w:t>There are currently no areas of concern. Staff costs are underspent as the annual budget assumed a possible 4% pay policy uplift</w:t>
      </w:r>
      <w:r>
        <w:t xml:space="preserve"> </w:t>
      </w:r>
      <w:r w:rsidR="001A5A98">
        <w:t>from April 2025</w:t>
      </w:r>
      <w:r>
        <w:t xml:space="preserve"> (which has not been agreed </w:t>
      </w:r>
      <w:proofErr w:type="gramStart"/>
      <w:r>
        <w:t>yet</w:t>
      </w:r>
      <w:proofErr w:type="gramEnd"/>
      <w:r w:rsidR="00A24538">
        <w:t xml:space="preserve"> so no payments have been made</w:t>
      </w:r>
      <w:r>
        <w:t>)</w:t>
      </w:r>
      <w:r w:rsidRPr="00C231EF">
        <w:t xml:space="preserve">, and there are vacancies accruing in Facilities, Accounts Assessment, Criminal Applications, Policy &amp; Research. </w:t>
      </w:r>
      <w:r w:rsidR="0094166A">
        <w:t xml:space="preserve">The current staff establishment shows 10fte not currently filled. </w:t>
      </w:r>
    </w:p>
    <w:p w14:paraId="5473DDBF" w14:textId="77777777" w:rsidR="0097179C" w:rsidRDefault="00A91572" w:rsidP="0097179C">
      <w:pPr>
        <w:pStyle w:val="ListParagraph"/>
        <w:numPr>
          <w:ilvl w:val="0"/>
          <w:numId w:val="10"/>
        </w:numPr>
      </w:pPr>
      <w:r w:rsidRPr="00C231EF">
        <w:t xml:space="preserve">Running costs are in line with the expected year to date position. </w:t>
      </w:r>
    </w:p>
    <w:p w14:paraId="02B2B983" w14:textId="77777777" w:rsidR="0097179C" w:rsidRDefault="00BA02EF" w:rsidP="0097179C">
      <w:pPr>
        <w:pStyle w:val="ListParagraph"/>
        <w:numPr>
          <w:ilvl w:val="0"/>
          <w:numId w:val="10"/>
        </w:numPr>
      </w:pPr>
      <w:r>
        <w:t>The first income receipts are not due until the end of July</w:t>
      </w:r>
    </w:p>
    <w:p w14:paraId="7E313702" w14:textId="7C346FD2" w:rsidR="00A91572" w:rsidRPr="00C231EF" w:rsidRDefault="00A91572" w:rsidP="0097179C">
      <w:pPr>
        <w:pStyle w:val="ListParagraph"/>
        <w:numPr>
          <w:ilvl w:val="0"/>
          <w:numId w:val="10"/>
        </w:numPr>
      </w:pPr>
      <w:r w:rsidRPr="00C231EF">
        <w:t xml:space="preserve">All areas </w:t>
      </w:r>
      <w:r>
        <w:t xml:space="preserve">are being </w:t>
      </w:r>
      <w:r w:rsidRPr="00C231EF">
        <w:t>revi</w:t>
      </w:r>
      <w:r>
        <w:t>ewed</w:t>
      </w:r>
      <w:r w:rsidRPr="00C231EF">
        <w:t xml:space="preserve"> as part of the quarter one budget review </w:t>
      </w:r>
      <w:r>
        <w:t>(</w:t>
      </w:r>
      <w:r w:rsidRPr="00C231EF">
        <w:t>July</w:t>
      </w:r>
      <w:r>
        <w:t xml:space="preserve"> 2025)</w:t>
      </w:r>
      <w:r w:rsidRPr="00C231EF">
        <w:t>.</w:t>
      </w:r>
    </w:p>
    <w:p w14:paraId="6DE11D1E" w14:textId="41184EBF" w:rsidR="00D50227" w:rsidRPr="00D2350C" w:rsidRDefault="00D50227" w:rsidP="008A5A68">
      <w:pPr>
        <w:pStyle w:val="BodyText"/>
        <w:spacing w:after="0"/>
        <w:ind w:left="0"/>
        <w:jc w:val="left"/>
        <w:rPr>
          <w:highlight w:val="yellow"/>
        </w:rPr>
        <w:sectPr w:rsidR="00D50227" w:rsidRPr="00D2350C" w:rsidSect="00D10A8E">
          <w:footerReference w:type="default" r:id="rId19"/>
          <w:pgSz w:w="16838" w:h="11906" w:orient="landscape"/>
          <w:pgMar w:top="720" w:right="720" w:bottom="720" w:left="720" w:header="708" w:footer="708" w:gutter="0"/>
          <w:cols w:space="708"/>
          <w:docGrid w:linePitch="360"/>
        </w:sectPr>
      </w:pPr>
    </w:p>
    <w:bookmarkEnd w:id="1"/>
    <w:p w14:paraId="7B7A657B" w14:textId="0C178360" w:rsidR="00AB4C34" w:rsidRPr="00BC40F0" w:rsidRDefault="00AB4C34" w:rsidP="00AB4C34">
      <w:pPr>
        <w:rPr>
          <w:rStyle w:val="SubtleEmphasis"/>
          <w:lang w:val="en-US"/>
        </w:rPr>
      </w:pPr>
      <w:r w:rsidRPr="00BC40F0">
        <w:rPr>
          <w:rStyle w:val="Heading1Char"/>
        </w:rPr>
        <w:lastRenderedPageBreak/>
        <w:t>Governance links</w:t>
      </w:r>
      <w:r w:rsidRPr="00BC40F0">
        <w:rPr>
          <w:rStyle w:val="Strong"/>
          <w:lang w:val="en-US"/>
        </w:rPr>
        <w:t xml:space="preserve"> </w:t>
      </w:r>
      <w:r w:rsidRPr="00BC40F0">
        <w:rPr>
          <w:rStyle w:val="Strong"/>
          <w:lang w:val="en-US"/>
        </w:rPr>
        <w:br/>
      </w:r>
      <w:r w:rsidRPr="00BC40F0">
        <w:rPr>
          <w:rStyle w:val="SubtleEmphasis"/>
          <w:lang w:val="en-US"/>
        </w:rPr>
        <w:t>Any relevant information linked to key heads of corporate governance.</w:t>
      </w:r>
    </w:p>
    <w:p w14:paraId="219425A8" w14:textId="1D839190"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 xml:space="preserve">Finance and resources </w:t>
      </w:r>
      <w:r w:rsidRPr="00BC40F0">
        <w:rPr>
          <w:rStyle w:val="SubtleEmphasis"/>
          <w:b/>
          <w:bCs/>
          <w:i w:val="0"/>
          <w:iCs w:val="0"/>
          <w:lang w:val="en-US"/>
        </w:rPr>
        <w:tab/>
      </w:r>
      <w:r w:rsidRPr="00BC40F0">
        <w:rPr>
          <w:rStyle w:val="SubtleEmphasis"/>
          <w:b/>
          <w:bCs/>
          <w:i w:val="0"/>
          <w:iCs w:val="0"/>
          <w:lang w:val="en-US"/>
        </w:rPr>
        <w:tab/>
      </w:r>
      <w:r w:rsidRPr="00BC40F0">
        <w:rPr>
          <w:rStyle w:val="SubtleEmphasis"/>
          <w:b/>
          <w:bCs/>
          <w:i w:val="0"/>
          <w:iCs w:val="0"/>
          <w:lang w:val="en-US"/>
        </w:rPr>
        <w:tab/>
      </w:r>
      <w:r w:rsidRPr="00BC40F0">
        <w:rPr>
          <w:rStyle w:val="SubtleEmphasis"/>
          <w:b/>
          <w:bCs/>
          <w:i w:val="0"/>
          <w:iCs w:val="0"/>
          <w:lang w:val="en-US"/>
        </w:rPr>
        <w:br/>
      </w:r>
      <w:r w:rsidR="00A75994" w:rsidRPr="00BC40F0">
        <w:t xml:space="preserve">Paper details Administration Finance and Resources to end of </w:t>
      </w:r>
      <w:r w:rsidR="00BC40F0" w:rsidRPr="00BC40F0">
        <w:t>J</w:t>
      </w:r>
      <w:r w:rsidR="00B262F3">
        <w:t>une</w:t>
      </w:r>
      <w:r w:rsidR="00BC40F0" w:rsidRPr="00BC40F0">
        <w:t xml:space="preserve"> 2025</w:t>
      </w:r>
      <w:r w:rsidR="0097179C">
        <w:t>.</w:t>
      </w:r>
    </w:p>
    <w:p w14:paraId="4B756F2E" w14:textId="0D2DFA14"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Risk</w:t>
      </w:r>
      <w:r w:rsidRPr="00BC40F0">
        <w:rPr>
          <w:rStyle w:val="SubtleEmphasis"/>
          <w:b/>
          <w:bCs/>
          <w:i w:val="0"/>
          <w:iCs w:val="0"/>
          <w:lang w:val="en-US"/>
        </w:rPr>
        <w:tab/>
      </w:r>
      <w:r w:rsidRPr="00BC40F0">
        <w:rPr>
          <w:rStyle w:val="SubtleEmphasis"/>
          <w:b/>
          <w:bCs/>
          <w:i w:val="0"/>
          <w:iCs w:val="0"/>
          <w:lang w:val="en-US"/>
        </w:rPr>
        <w:br/>
      </w:r>
      <w:r w:rsidR="00A75994" w:rsidRPr="00BC40F0">
        <w:t>Our work to monitor administrative expenditure enables us to mitigate corporate risk 6 with awareness of pressures and ensuring planned changes are reflected.</w:t>
      </w:r>
    </w:p>
    <w:p w14:paraId="733706AF" w14:textId="5B73F2EB"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Legal and compliance</w:t>
      </w:r>
      <w:r w:rsidRPr="00BC40F0">
        <w:rPr>
          <w:rStyle w:val="SubtleEmphasis"/>
          <w:b/>
          <w:bCs/>
          <w:i w:val="0"/>
          <w:iCs w:val="0"/>
          <w:lang w:val="en-US"/>
        </w:rPr>
        <w:br/>
      </w:r>
      <w:r w:rsidRPr="00BC40F0">
        <w:t>N/A</w:t>
      </w:r>
      <w:r w:rsidR="0097179C">
        <w:t>.</w:t>
      </w:r>
    </w:p>
    <w:p w14:paraId="210852A6" w14:textId="0A3AF54B"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Performance</w:t>
      </w:r>
      <w:r w:rsidRPr="00BC40F0">
        <w:rPr>
          <w:rStyle w:val="SubtleEmphasis"/>
          <w:b/>
          <w:bCs/>
          <w:i w:val="0"/>
          <w:iCs w:val="0"/>
          <w:lang w:val="en-US"/>
        </w:rPr>
        <w:br/>
      </w:r>
      <w:r w:rsidRPr="00BC40F0">
        <w:t>N/A</w:t>
      </w:r>
      <w:r w:rsidR="0097179C">
        <w:t>.</w:t>
      </w:r>
    </w:p>
    <w:p w14:paraId="57577382" w14:textId="12E10282"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Equalities impact</w:t>
      </w:r>
      <w:r w:rsidRPr="00BC40F0">
        <w:rPr>
          <w:rStyle w:val="SubtleEmphasis"/>
          <w:b/>
          <w:bCs/>
          <w:i w:val="0"/>
          <w:iCs w:val="0"/>
          <w:lang w:val="en-US"/>
        </w:rPr>
        <w:br/>
      </w:r>
      <w:r w:rsidRPr="00BC40F0">
        <w:t>N/A</w:t>
      </w:r>
      <w:r w:rsidR="0097179C">
        <w:t>.</w:t>
      </w:r>
    </w:p>
    <w:p w14:paraId="50F72DD3" w14:textId="5D29FAE9" w:rsidR="00AB4C34" w:rsidRPr="00BC40F0" w:rsidRDefault="00AB4C34" w:rsidP="00AB4C34">
      <w:pPr>
        <w:pStyle w:val="ListParagraph"/>
        <w:numPr>
          <w:ilvl w:val="0"/>
          <w:numId w:val="7"/>
        </w:numPr>
        <w:rPr>
          <w:rStyle w:val="SubtleEmphasis"/>
          <w:b/>
          <w:bCs/>
          <w:i w:val="0"/>
          <w:iCs w:val="0"/>
          <w:lang w:val="en-US"/>
        </w:rPr>
      </w:pPr>
      <w:r w:rsidRPr="00BC40F0">
        <w:rPr>
          <w:rStyle w:val="SubtleEmphasis"/>
          <w:b/>
          <w:bCs/>
          <w:i w:val="0"/>
          <w:iCs w:val="0"/>
          <w:lang w:val="en-US"/>
        </w:rPr>
        <w:t>Privacy impact and data protection</w:t>
      </w:r>
      <w:r w:rsidRPr="00BC40F0">
        <w:rPr>
          <w:rStyle w:val="SubtleEmphasis"/>
          <w:b/>
          <w:bCs/>
          <w:i w:val="0"/>
          <w:iCs w:val="0"/>
          <w:lang w:val="en-US"/>
        </w:rPr>
        <w:br/>
      </w:r>
      <w:r w:rsidRPr="00BC40F0">
        <w:t>N/A</w:t>
      </w:r>
      <w:r w:rsidR="0097179C">
        <w:t>.</w:t>
      </w:r>
    </w:p>
    <w:p w14:paraId="35A5CB33" w14:textId="43978863" w:rsidR="00AB4C34" w:rsidRPr="00BC40F0" w:rsidRDefault="00AB4C34" w:rsidP="00AB4C34">
      <w:pPr>
        <w:pStyle w:val="ListParagraph"/>
        <w:numPr>
          <w:ilvl w:val="0"/>
          <w:numId w:val="7"/>
        </w:numPr>
        <w:rPr>
          <w:b/>
          <w:bCs/>
          <w:lang w:val="en-US"/>
        </w:rPr>
      </w:pPr>
      <w:r w:rsidRPr="00BC40F0">
        <w:rPr>
          <w:rStyle w:val="SubtleEmphasis"/>
          <w:b/>
          <w:bCs/>
          <w:i w:val="0"/>
          <w:iCs w:val="0"/>
          <w:lang w:val="en-US"/>
        </w:rPr>
        <w:t>Communications and engagement</w:t>
      </w:r>
      <w:r w:rsidRPr="00BC40F0">
        <w:rPr>
          <w:rStyle w:val="SubtleEmphasis"/>
          <w:b/>
          <w:bCs/>
          <w:i w:val="0"/>
          <w:iCs w:val="0"/>
          <w:lang w:val="en-US"/>
        </w:rPr>
        <w:br/>
      </w:r>
      <w:r w:rsidR="0097179C">
        <w:t>P</w:t>
      </w:r>
      <w:r w:rsidR="00A75994" w:rsidRPr="00BC40F0">
        <w:t>reviously agreed that this paper should be published.</w:t>
      </w:r>
    </w:p>
    <w:p w14:paraId="34712B4F" w14:textId="77777777" w:rsidR="00AB4C34" w:rsidRPr="00BC40F0" w:rsidRDefault="00AB4C34" w:rsidP="005277D3">
      <w:pPr>
        <w:pStyle w:val="Heading1"/>
      </w:pPr>
      <w:r w:rsidRPr="00BC40F0">
        <w:t xml:space="preserve">Conclusion and next steps </w:t>
      </w:r>
    </w:p>
    <w:p w14:paraId="2F1DBB7A" w14:textId="77777777" w:rsidR="00A75994" w:rsidRPr="00BC40F0" w:rsidRDefault="00A75994" w:rsidP="00A75994">
      <w:r w:rsidRPr="00BC40F0">
        <w:t xml:space="preserve">The Board is asked to note and comment on the report as necessary. </w:t>
      </w:r>
    </w:p>
    <w:p w14:paraId="6BE47207" w14:textId="77777777" w:rsidR="00AB4C34" w:rsidRPr="00BC40F0" w:rsidRDefault="00AB4C34" w:rsidP="005277D3">
      <w:pPr>
        <w:pStyle w:val="Heading1"/>
      </w:pPr>
      <w:r w:rsidRPr="00BC40F0">
        <w:t>Appendix and/or further reading links</w:t>
      </w:r>
    </w:p>
    <w:p w14:paraId="6DCD7A96" w14:textId="27582452" w:rsidR="00AB4C34" w:rsidRDefault="00AB4C34" w:rsidP="00AB4C34">
      <w:r w:rsidRPr="00BC40F0">
        <w:t>N/A</w:t>
      </w:r>
      <w:r w:rsidR="0097179C">
        <w:t>.</w:t>
      </w:r>
    </w:p>
    <w:p w14:paraId="083095FE" w14:textId="77777777" w:rsidR="008E44D9" w:rsidRPr="008E44D9" w:rsidRDefault="008E44D9" w:rsidP="008E44D9"/>
    <w:p w14:paraId="7B7359C6" w14:textId="77777777" w:rsidR="008E44D9" w:rsidRPr="008E44D9" w:rsidRDefault="008E44D9" w:rsidP="008E44D9"/>
    <w:p w14:paraId="4BDEECFE" w14:textId="77777777" w:rsidR="008E44D9" w:rsidRPr="008E44D9" w:rsidRDefault="008E44D9" w:rsidP="008E44D9"/>
    <w:p w14:paraId="46A08BEC" w14:textId="77777777" w:rsidR="008E44D9" w:rsidRPr="008E44D9" w:rsidRDefault="008E44D9" w:rsidP="008E44D9"/>
    <w:p w14:paraId="523DE56E" w14:textId="77777777" w:rsidR="008E44D9" w:rsidRPr="008E44D9" w:rsidRDefault="008E44D9" w:rsidP="008E44D9"/>
    <w:p w14:paraId="6E99DDF6" w14:textId="77777777" w:rsidR="008E44D9" w:rsidRPr="008E44D9" w:rsidRDefault="008E44D9" w:rsidP="008E44D9"/>
    <w:p w14:paraId="33FFEC7B" w14:textId="77777777" w:rsidR="008E44D9" w:rsidRPr="008E44D9" w:rsidRDefault="008E44D9" w:rsidP="008E44D9"/>
    <w:p w14:paraId="71FE89FF" w14:textId="77777777" w:rsidR="008E44D9" w:rsidRPr="008E44D9" w:rsidRDefault="008E44D9" w:rsidP="008E44D9"/>
    <w:p w14:paraId="39B8F9A1" w14:textId="77777777" w:rsidR="008E44D9" w:rsidRPr="008E44D9" w:rsidRDefault="008E44D9" w:rsidP="008E44D9"/>
    <w:p w14:paraId="1CA3A77A" w14:textId="77777777" w:rsidR="008E44D9" w:rsidRPr="008E44D9" w:rsidRDefault="008E44D9" w:rsidP="008E44D9"/>
    <w:p w14:paraId="779444FA" w14:textId="77777777" w:rsidR="008E44D9" w:rsidRPr="008E44D9" w:rsidRDefault="008E44D9" w:rsidP="008E44D9"/>
    <w:p w14:paraId="0BF2E1A9" w14:textId="77777777" w:rsidR="008E44D9" w:rsidRPr="008E44D9" w:rsidRDefault="008E44D9" w:rsidP="008E44D9"/>
    <w:p w14:paraId="0875498F" w14:textId="77777777" w:rsidR="008E44D9" w:rsidRPr="008E44D9" w:rsidRDefault="008E44D9" w:rsidP="00322B29"/>
    <w:sectPr w:rsidR="008E44D9" w:rsidRPr="008E44D9" w:rsidSect="00952EB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82B4" w14:textId="77777777" w:rsidR="00B35F7D" w:rsidRDefault="00B35F7D" w:rsidP="00CC679C">
      <w:r>
        <w:separator/>
      </w:r>
    </w:p>
  </w:endnote>
  <w:endnote w:type="continuationSeparator" w:id="0">
    <w:p w14:paraId="4681EF0A" w14:textId="77777777" w:rsidR="00B35F7D" w:rsidRDefault="00B35F7D" w:rsidP="00CC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bookmarkStart w:id="0" w:name="_Hlk204678207"/>
  </w:p>
  <w:p w14:paraId="62C94757" w14:textId="10BB89E7" w:rsidR="00432B96" w:rsidRPr="00042C78" w:rsidRDefault="00AB4C34" w:rsidP="00CC679C">
    <w:r w:rsidRPr="00042C78">
      <w:t xml:space="preserve">SLAB: Board </w:t>
    </w:r>
    <w:r w:rsidR="00F14DC9">
      <w:t>r</w:t>
    </w:r>
    <w:r w:rsidRPr="00042C78">
      <w:t>eport</w:t>
    </w:r>
    <w:r w:rsidRPr="00042C78">
      <w:tab/>
    </w:r>
    <w:r w:rsidR="00FA42B0" w:rsidRPr="00FA42B0">
      <w:t>Administration Resource Repor</w:t>
    </w:r>
    <w:r w:rsidR="008E44D9">
      <w:t>t August 2025</w:t>
    </w:r>
    <w:bookmarkEnd w:id="0"/>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8B01" w14:textId="77777777" w:rsidR="00BE478A" w:rsidRDefault="00BE478A" w:rsidP="00BE478A">
    <w:pPr>
      <w:pStyle w:val="Footer"/>
    </w:pPr>
  </w:p>
  <w:p w14:paraId="704301D2" w14:textId="3A028DAE" w:rsidR="00D50227" w:rsidRDefault="00BE478A" w:rsidP="00BE478A">
    <w:pPr>
      <w:pStyle w:val="Footer"/>
    </w:pPr>
    <w:r w:rsidRPr="00042C78">
      <w:t xml:space="preserve">SLAB: Board </w:t>
    </w:r>
    <w:r>
      <w:t>r</w:t>
    </w:r>
    <w:r w:rsidRPr="00042C78">
      <w:t>eport</w:t>
    </w:r>
    <w:r w:rsidRPr="00042C78">
      <w:tab/>
    </w:r>
    <w:r w:rsidRPr="00FA42B0">
      <w:t>Administration Resource Repor</w:t>
    </w:r>
    <w:r>
      <w:t>t August 2025</w:t>
    </w:r>
    <w:r>
      <w:tab/>
    </w:r>
    <w:r>
      <w:tab/>
    </w:r>
    <w:sdt>
      <w:sdtPr>
        <w:id w:val="309830359"/>
        <w:docPartObj>
          <w:docPartGallery w:val="Page Numbers (Bottom of Page)"/>
          <w:docPartUnique/>
        </w:docPartObj>
      </w:sdtPr>
      <w:sdtEndPr>
        <w:rPr>
          <w:noProof/>
        </w:rPr>
      </w:sdtEndPr>
      <w:sdtContent>
        <w:r>
          <w:tab/>
        </w:r>
        <w:r>
          <w:tab/>
        </w:r>
        <w:r>
          <w:tab/>
        </w:r>
        <w:r>
          <w:tab/>
        </w:r>
        <w:r>
          <w:tab/>
        </w:r>
        <w:r w:rsidR="00D50227">
          <w:fldChar w:fldCharType="begin"/>
        </w:r>
        <w:r w:rsidR="00D50227">
          <w:instrText xml:space="preserve"> PAGE   \* MERGEFORMAT </w:instrText>
        </w:r>
        <w:r w:rsidR="00D50227">
          <w:fldChar w:fldCharType="separate"/>
        </w:r>
        <w:r w:rsidR="00D50227">
          <w:rPr>
            <w:noProof/>
          </w:rPr>
          <w:t>2</w:t>
        </w:r>
        <w:r w:rsidR="00D5022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DF85" w14:textId="77777777" w:rsidR="00B35F7D" w:rsidRDefault="00B35F7D" w:rsidP="00CC679C">
      <w:r>
        <w:separator/>
      </w:r>
    </w:p>
  </w:footnote>
  <w:footnote w:type="continuationSeparator" w:id="0">
    <w:p w14:paraId="314CEAAF" w14:textId="77777777" w:rsidR="00B35F7D" w:rsidRDefault="00B35F7D" w:rsidP="00CC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EA3B26"/>
    <w:multiLevelType w:val="hybridMultilevel"/>
    <w:tmpl w:val="6212BA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69F0430"/>
    <w:multiLevelType w:val="hybridMultilevel"/>
    <w:tmpl w:val="C080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D959C2"/>
    <w:multiLevelType w:val="hybridMultilevel"/>
    <w:tmpl w:val="665C67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1417704">
    <w:abstractNumId w:val="7"/>
  </w:num>
  <w:num w:numId="2" w16cid:durableId="2012100725">
    <w:abstractNumId w:val="0"/>
  </w:num>
  <w:num w:numId="3" w16cid:durableId="2097942416">
    <w:abstractNumId w:val="4"/>
  </w:num>
  <w:num w:numId="4" w16cid:durableId="135951669">
    <w:abstractNumId w:val="5"/>
  </w:num>
  <w:num w:numId="5" w16cid:durableId="1837988203">
    <w:abstractNumId w:val="8"/>
  </w:num>
  <w:num w:numId="6" w16cid:durableId="485516111">
    <w:abstractNumId w:val="2"/>
  </w:num>
  <w:num w:numId="7" w16cid:durableId="1688022927">
    <w:abstractNumId w:val="3"/>
  </w:num>
  <w:num w:numId="8" w16cid:durableId="1264993793">
    <w:abstractNumId w:val="6"/>
  </w:num>
  <w:num w:numId="9" w16cid:durableId="302201228">
    <w:abstractNumId w:val="9"/>
  </w:num>
  <w:num w:numId="10" w16cid:durableId="188829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42C78"/>
    <w:rsid w:val="00052BF3"/>
    <w:rsid w:val="0007676F"/>
    <w:rsid w:val="00081AF3"/>
    <w:rsid w:val="000B19D2"/>
    <w:rsid w:val="000D6ABF"/>
    <w:rsid w:val="000E51C8"/>
    <w:rsid w:val="000F272F"/>
    <w:rsid w:val="000F3597"/>
    <w:rsid w:val="00114434"/>
    <w:rsid w:val="00116BBD"/>
    <w:rsid w:val="00175066"/>
    <w:rsid w:val="001806A5"/>
    <w:rsid w:val="001A5A98"/>
    <w:rsid w:val="001B0FB1"/>
    <w:rsid w:val="001C117A"/>
    <w:rsid w:val="001E1C0C"/>
    <w:rsid w:val="001F48D4"/>
    <w:rsid w:val="0020608B"/>
    <w:rsid w:val="00211F0D"/>
    <w:rsid w:val="00255951"/>
    <w:rsid w:val="002721A9"/>
    <w:rsid w:val="002849A6"/>
    <w:rsid w:val="0028647E"/>
    <w:rsid w:val="00287625"/>
    <w:rsid w:val="00295224"/>
    <w:rsid w:val="002A0BFF"/>
    <w:rsid w:val="002A22E5"/>
    <w:rsid w:val="002C6931"/>
    <w:rsid w:val="002C7DC0"/>
    <w:rsid w:val="003046AA"/>
    <w:rsid w:val="00322B29"/>
    <w:rsid w:val="00323C61"/>
    <w:rsid w:val="00363D37"/>
    <w:rsid w:val="003668C7"/>
    <w:rsid w:val="00390CC1"/>
    <w:rsid w:val="00396BD9"/>
    <w:rsid w:val="003A3525"/>
    <w:rsid w:val="003D0910"/>
    <w:rsid w:val="003E3E67"/>
    <w:rsid w:val="003E6122"/>
    <w:rsid w:val="003F7444"/>
    <w:rsid w:val="0043291B"/>
    <w:rsid w:val="00432B96"/>
    <w:rsid w:val="004376DA"/>
    <w:rsid w:val="00445031"/>
    <w:rsid w:val="00450AC2"/>
    <w:rsid w:val="00466001"/>
    <w:rsid w:val="00476770"/>
    <w:rsid w:val="00477B40"/>
    <w:rsid w:val="00481E6D"/>
    <w:rsid w:val="004860CD"/>
    <w:rsid w:val="00490B31"/>
    <w:rsid w:val="00495BA1"/>
    <w:rsid w:val="004A3844"/>
    <w:rsid w:val="004E4FED"/>
    <w:rsid w:val="00521048"/>
    <w:rsid w:val="00521219"/>
    <w:rsid w:val="005277D3"/>
    <w:rsid w:val="00543857"/>
    <w:rsid w:val="0057261E"/>
    <w:rsid w:val="00575DA6"/>
    <w:rsid w:val="00591070"/>
    <w:rsid w:val="005929F6"/>
    <w:rsid w:val="005A4673"/>
    <w:rsid w:val="005B0DEE"/>
    <w:rsid w:val="00623A6C"/>
    <w:rsid w:val="006464AB"/>
    <w:rsid w:val="00647D80"/>
    <w:rsid w:val="0065276B"/>
    <w:rsid w:val="00670685"/>
    <w:rsid w:val="0068000E"/>
    <w:rsid w:val="006A1794"/>
    <w:rsid w:val="006A645B"/>
    <w:rsid w:val="006B6BF2"/>
    <w:rsid w:val="006F4385"/>
    <w:rsid w:val="00707127"/>
    <w:rsid w:val="00740439"/>
    <w:rsid w:val="00782742"/>
    <w:rsid w:val="00783A77"/>
    <w:rsid w:val="007E7A27"/>
    <w:rsid w:val="008031B1"/>
    <w:rsid w:val="00821617"/>
    <w:rsid w:val="00836814"/>
    <w:rsid w:val="00843006"/>
    <w:rsid w:val="008448C1"/>
    <w:rsid w:val="00850D7D"/>
    <w:rsid w:val="00851A17"/>
    <w:rsid w:val="0085360F"/>
    <w:rsid w:val="008573CD"/>
    <w:rsid w:val="00866430"/>
    <w:rsid w:val="00887E54"/>
    <w:rsid w:val="00896D2D"/>
    <w:rsid w:val="008A1452"/>
    <w:rsid w:val="008A478D"/>
    <w:rsid w:val="008A5A68"/>
    <w:rsid w:val="008D5832"/>
    <w:rsid w:val="008E44D9"/>
    <w:rsid w:val="008F7C78"/>
    <w:rsid w:val="009219F9"/>
    <w:rsid w:val="0093386C"/>
    <w:rsid w:val="0094166A"/>
    <w:rsid w:val="00952EBA"/>
    <w:rsid w:val="0097179C"/>
    <w:rsid w:val="0097534C"/>
    <w:rsid w:val="009D0693"/>
    <w:rsid w:val="00A11F30"/>
    <w:rsid w:val="00A1488A"/>
    <w:rsid w:val="00A16CB9"/>
    <w:rsid w:val="00A24538"/>
    <w:rsid w:val="00A51899"/>
    <w:rsid w:val="00A56F4B"/>
    <w:rsid w:val="00A70D6B"/>
    <w:rsid w:val="00A75994"/>
    <w:rsid w:val="00A82E64"/>
    <w:rsid w:val="00A90BF3"/>
    <w:rsid w:val="00A91572"/>
    <w:rsid w:val="00A92063"/>
    <w:rsid w:val="00AA3318"/>
    <w:rsid w:val="00AB428A"/>
    <w:rsid w:val="00AB4C34"/>
    <w:rsid w:val="00AD07C2"/>
    <w:rsid w:val="00AE7185"/>
    <w:rsid w:val="00AF3861"/>
    <w:rsid w:val="00AF640F"/>
    <w:rsid w:val="00B23807"/>
    <w:rsid w:val="00B2602F"/>
    <w:rsid w:val="00B262F3"/>
    <w:rsid w:val="00B32092"/>
    <w:rsid w:val="00B33B2E"/>
    <w:rsid w:val="00B35F7D"/>
    <w:rsid w:val="00B428F2"/>
    <w:rsid w:val="00B94C11"/>
    <w:rsid w:val="00BA02EF"/>
    <w:rsid w:val="00BA5EEE"/>
    <w:rsid w:val="00BB45B4"/>
    <w:rsid w:val="00BC12EB"/>
    <w:rsid w:val="00BC40F0"/>
    <w:rsid w:val="00BD2768"/>
    <w:rsid w:val="00BD6AC6"/>
    <w:rsid w:val="00BE473B"/>
    <w:rsid w:val="00BE478A"/>
    <w:rsid w:val="00BF2DDC"/>
    <w:rsid w:val="00C35113"/>
    <w:rsid w:val="00C36E4C"/>
    <w:rsid w:val="00C5378A"/>
    <w:rsid w:val="00C56E94"/>
    <w:rsid w:val="00CB0AEF"/>
    <w:rsid w:val="00CC679C"/>
    <w:rsid w:val="00D10A8E"/>
    <w:rsid w:val="00D16A3E"/>
    <w:rsid w:val="00D16CC0"/>
    <w:rsid w:val="00D2350C"/>
    <w:rsid w:val="00D330C3"/>
    <w:rsid w:val="00D35FED"/>
    <w:rsid w:val="00D50227"/>
    <w:rsid w:val="00D94050"/>
    <w:rsid w:val="00DB012E"/>
    <w:rsid w:val="00DD2223"/>
    <w:rsid w:val="00DE06BF"/>
    <w:rsid w:val="00DE2B66"/>
    <w:rsid w:val="00DE672C"/>
    <w:rsid w:val="00DF6436"/>
    <w:rsid w:val="00E14A40"/>
    <w:rsid w:val="00E14DDA"/>
    <w:rsid w:val="00E27AA4"/>
    <w:rsid w:val="00EC0191"/>
    <w:rsid w:val="00EC382F"/>
    <w:rsid w:val="00EC76FB"/>
    <w:rsid w:val="00EE608E"/>
    <w:rsid w:val="00F07E84"/>
    <w:rsid w:val="00F14DC9"/>
    <w:rsid w:val="00F5379B"/>
    <w:rsid w:val="00F5454A"/>
    <w:rsid w:val="00F6081D"/>
    <w:rsid w:val="00F610D9"/>
    <w:rsid w:val="00FA42B0"/>
    <w:rsid w:val="00FA704A"/>
    <w:rsid w:val="00FC3E36"/>
    <w:rsid w:val="00FC45B5"/>
    <w:rsid w:val="00FD0665"/>
    <w:rsid w:val="00FF4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3737EEBB-59C6-470B-B7D7-8D1FECA4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styleId="BodyText">
    <w:name w:val="Body Text"/>
    <w:basedOn w:val="Normal"/>
    <w:link w:val="BodyTextChar"/>
    <w:uiPriority w:val="99"/>
    <w:rsid w:val="00495BA1"/>
    <w:pPr>
      <w:spacing w:after="120" w:line="240" w:lineRule="auto"/>
      <w:ind w:left="567"/>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uiPriority w:val="99"/>
    <w:rsid w:val="00495BA1"/>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445031"/>
    <w:rPr>
      <w:sz w:val="16"/>
      <w:szCs w:val="16"/>
    </w:rPr>
  </w:style>
  <w:style w:type="paragraph" w:styleId="CommentText">
    <w:name w:val="annotation text"/>
    <w:basedOn w:val="Normal"/>
    <w:link w:val="CommentTextChar"/>
    <w:uiPriority w:val="99"/>
    <w:unhideWhenUsed/>
    <w:rsid w:val="00445031"/>
    <w:pPr>
      <w:spacing w:line="240" w:lineRule="auto"/>
    </w:pPr>
    <w:rPr>
      <w:sz w:val="20"/>
      <w:szCs w:val="20"/>
    </w:rPr>
  </w:style>
  <w:style w:type="character" w:customStyle="1" w:styleId="CommentTextChar">
    <w:name w:val="Comment Text Char"/>
    <w:basedOn w:val="DefaultParagraphFont"/>
    <w:link w:val="CommentText"/>
    <w:uiPriority w:val="99"/>
    <w:rsid w:val="00445031"/>
    <w:rPr>
      <w:sz w:val="20"/>
      <w:szCs w:val="20"/>
    </w:rPr>
  </w:style>
  <w:style w:type="paragraph" w:styleId="CommentSubject">
    <w:name w:val="annotation subject"/>
    <w:basedOn w:val="CommentText"/>
    <w:next w:val="CommentText"/>
    <w:link w:val="CommentSubjectChar"/>
    <w:uiPriority w:val="99"/>
    <w:semiHidden/>
    <w:unhideWhenUsed/>
    <w:rsid w:val="00445031"/>
    <w:rPr>
      <w:b/>
      <w:bCs/>
    </w:rPr>
  </w:style>
  <w:style w:type="character" w:customStyle="1" w:styleId="CommentSubjectChar">
    <w:name w:val="Comment Subject Char"/>
    <w:basedOn w:val="CommentTextChar"/>
    <w:link w:val="CommentSubject"/>
    <w:uiPriority w:val="99"/>
    <w:semiHidden/>
    <w:rsid w:val="00445031"/>
    <w:rPr>
      <w:b/>
      <w:bCs/>
      <w:sz w:val="20"/>
      <w:szCs w:val="20"/>
    </w:rPr>
  </w:style>
  <w:style w:type="character" w:styleId="Mention">
    <w:name w:val="Mention"/>
    <w:basedOn w:val="DefaultParagraphFont"/>
    <w:uiPriority w:val="99"/>
    <w:unhideWhenUsed/>
    <w:rsid w:val="004450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837774">
      <w:bodyDiv w:val="1"/>
      <w:marLeft w:val="0"/>
      <w:marRight w:val="0"/>
      <w:marTop w:val="0"/>
      <w:marBottom w:val="0"/>
      <w:divBdr>
        <w:top w:val="none" w:sz="0" w:space="0" w:color="auto"/>
        <w:left w:val="none" w:sz="0" w:space="0" w:color="auto"/>
        <w:bottom w:val="none" w:sz="0" w:space="0" w:color="auto"/>
        <w:right w:val="none" w:sz="0" w:space="0" w:color="auto"/>
      </w:divBdr>
    </w:div>
    <w:div w:id="1326591110">
      <w:bodyDiv w:val="1"/>
      <w:marLeft w:val="0"/>
      <w:marRight w:val="0"/>
      <w:marTop w:val="0"/>
      <w:marBottom w:val="0"/>
      <w:divBdr>
        <w:top w:val="none" w:sz="0" w:space="0" w:color="auto"/>
        <w:left w:val="none" w:sz="0" w:space="0" w:color="auto"/>
        <w:bottom w:val="none" w:sz="0" w:space="0" w:color="auto"/>
        <w:right w:val="none" w:sz="0" w:space="0" w:color="auto"/>
      </w:divBdr>
    </w:div>
    <w:div w:id="1477798064">
      <w:bodyDiv w:val="1"/>
      <w:marLeft w:val="0"/>
      <w:marRight w:val="0"/>
      <w:marTop w:val="0"/>
      <w:marBottom w:val="0"/>
      <w:divBdr>
        <w:top w:val="none" w:sz="0" w:space="0" w:color="auto"/>
        <w:left w:val="none" w:sz="0" w:space="0" w:color="auto"/>
        <w:bottom w:val="none" w:sz="0" w:space="0" w:color="auto"/>
        <w:right w:val="none" w:sz="0" w:space="0" w:color="auto"/>
      </w:divBdr>
    </w:div>
    <w:div w:id="17876502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5-26%20Resources%20Report\03.%20June%202025\1.%20June%20ADMIN%20Actuals%20&amp;%20Budge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5-26%20Resources%20Report\03.%20June%202025\1.%20June%20ADMIN%20Actuals%20&amp;%20Budge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5-26%20Resources%20Report\03.%20June%202025\1.%20June%20ADMIN%20Actuals%20&amp;%20Budget.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5-26%20Resources%20Report\03.%20June%202025\1.%20June%20ADMIN%20Actuals%20&amp;%20Budget.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ifssata.slab.local\Common\Common\Corporate%20Services\Finance\01%20Accounting%20&amp;%20Budgeting\Exec%20Team%20&amp;%20Board%20Reports\01%20Resource%20Reports\2025-26%20Resources%20Report\03.%20June%202025\1.%20June%20ADMIN%20Actuals%20&amp;%20Budget.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Income</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35C9-44DD-94B0-C1099AF06617}"/>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35C9-44DD-94B0-C1099AF06617}"/>
              </c:ext>
            </c:extLst>
          </c:dPt>
          <c:val>
            <c:numRef>
              <c:f>'Workings for Dashboard'!$D$14:$D$15</c:f>
              <c:numCache>
                <c:formatCode>0.0%</c:formatCode>
                <c:ptCount val="2"/>
                <c:pt idx="0">
                  <c:v>0</c:v>
                </c:pt>
                <c:pt idx="1">
                  <c:v>1</c:v>
                </c:pt>
              </c:numCache>
            </c:numRef>
          </c:val>
          <c:extLst>
            <c:ext xmlns:c16="http://schemas.microsoft.com/office/drawing/2014/chart" uri="{C3380CC4-5D6E-409C-BE32-E72D297353CC}">
              <c16:uniqueId val="{00000004-35C9-44DD-94B0-C1099AF06617}"/>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Staff</a:t>
            </a:r>
          </a:p>
        </c:rich>
      </c:tx>
      <c:layout>
        <c:manualLayout>
          <c:xMode val="edge"/>
          <c:yMode val="edge"/>
          <c:x val="0.40749971470957441"/>
          <c:y val="6.201550387596899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DABF-4769-8105-92DBB4C2D68F}"/>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DABF-4769-8105-92DBB4C2D68F}"/>
              </c:ext>
            </c:extLst>
          </c:dPt>
          <c:val>
            <c:numRef>
              <c:f>'Workings for Dashboard'!$B$14:$B$15</c:f>
              <c:numCache>
                <c:formatCode>0.0%</c:formatCode>
                <c:ptCount val="2"/>
                <c:pt idx="0">
                  <c:v>0.23357589346869034</c:v>
                </c:pt>
                <c:pt idx="1">
                  <c:v>0.76642410653130966</c:v>
                </c:pt>
              </c:numCache>
            </c:numRef>
          </c:val>
          <c:extLst>
            <c:ext xmlns:c16="http://schemas.microsoft.com/office/drawing/2014/chart" uri="{C3380CC4-5D6E-409C-BE32-E72D297353CC}">
              <c16:uniqueId val="{00000004-DABF-4769-8105-92DBB4C2D68F}"/>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Running</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DB9F-48A4-9E00-4209E42BD5E1}"/>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DB9F-48A4-9E00-4209E42BD5E1}"/>
              </c:ext>
            </c:extLst>
          </c:dPt>
          <c:val>
            <c:numRef>
              <c:f>'Workings for Dashboard'!$C$14:$C$15</c:f>
              <c:numCache>
                <c:formatCode>0.0%</c:formatCode>
                <c:ptCount val="2"/>
                <c:pt idx="0">
                  <c:v>0.34183474024478239</c:v>
                </c:pt>
                <c:pt idx="1">
                  <c:v>0.65816525975521767</c:v>
                </c:pt>
              </c:numCache>
            </c:numRef>
          </c:val>
          <c:extLst>
            <c:ext xmlns:c16="http://schemas.microsoft.com/office/drawing/2014/chart" uri="{C3380CC4-5D6E-409C-BE32-E72D297353CC}">
              <c16:uniqueId val="{00000004-DB9F-48A4-9E00-4209E42BD5E1}"/>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Aptos" panose="020B0004020202020204" pitchFamily="34" charset="0"/>
              </a:rPr>
              <a:t>Capital</a:t>
            </a:r>
          </a:p>
        </c:rich>
      </c:tx>
      <c:layout>
        <c:manualLayout>
          <c:xMode val="edge"/>
          <c:yMode val="edge"/>
          <c:x val="0.34393197856255991"/>
          <c:y val="4.8780487804878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5C19-4D27-B86F-9C2DCEF8F1C8}"/>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5C19-4D27-B86F-9C2DCEF8F1C8}"/>
              </c:ext>
            </c:extLst>
          </c:dPt>
          <c:val>
            <c:numRef>
              <c:f>'Workings for Dashboard'!$E$14:$E$15</c:f>
              <c:numCache>
                <c:formatCode>0.0%</c:formatCode>
                <c:ptCount val="2"/>
                <c:pt idx="0">
                  <c:v>0.19998720000000003</c:v>
                </c:pt>
                <c:pt idx="1">
                  <c:v>0.80001279999999997</c:v>
                </c:pt>
              </c:numCache>
            </c:numRef>
          </c:val>
          <c:extLst>
            <c:ext xmlns:c16="http://schemas.microsoft.com/office/drawing/2014/chart" uri="{C3380CC4-5D6E-409C-BE32-E72D297353CC}">
              <c16:uniqueId val="{00000004-5C19-4D27-B86F-9C2DCEF8F1C8}"/>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Aptos" panose="020B0004020202020204" pitchFamily="34" charset="0"/>
              </a:rPr>
              <a:t>Pension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6BCF-44A2-82AA-E4F5E2E51DFC}"/>
              </c:ext>
            </c:extLst>
          </c:dPt>
          <c:dPt>
            <c:idx val="1"/>
            <c:bubble3D val="0"/>
            <c:spPr>
              <a:solidFill>
                <a:schemeClr val="bg1">
                  <a:lumMod val="85000"/>
                </a:schemeClr>
              </a:solidFill>
              <a:ln w="19050">
                <a:solidFill>
                  <a:schemeClr val="lt1"/>
                </a:solidFill>
              </a:ln>
              <a:effectLst/>
            </c:spPr>
            <c:extLst>
              <c:ext xmlns:c16="http://schemas.microsoft.com/office/drawing/2014/chart" uri="{C3380CC4-5D6E-409C-BE32-E72D297353CC}">
                <c16:uniqueId val="{00000003-6BCF-44A2-82AA-E4F5E2E51DFC}"/>
              </c:ext>
            </c:extLst>
          </c:dPt>
          <c:val>
            <c:numRef>
              <c:f>'Workings for Dashboard'!$F$14:$F$15</c:f>
              <c:numCache>
                <c:formatCode>0.0%</c:formatCode>
                <c:ptCount val="2"/>
                <c:pt idx="0">
                  <c:v>0.28781944545454546</c:v>
                </c:pt>
                <c:pt idx="1">
                  <c:v>0.71218055454545448</c:v>
                </c:pt>
              </c:numCache>
            </c:numRef>
          </c:val>
          <c:extLst>
            <c:ext xmlns:c16="http://schemas.microsoft.com/office/drawing/2014/chart" uri="{C3380CC4-5D6E-409C-BE32-E72D297353CC}">
              <c16:uniqueId val="{00000004-6BCF-44A2-82AA-E4F5E2E51DFC}"/>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'Workings for Dashboard'!$B$21</c:f>
              <c:strCache>
                <c:ptCount val="1"/>
                <c:pt idx="0">
                  <c:v>Budget YTD £k</c:v>
                </c:pt>
              </c:strCache>
            </c:strRef>
          </c:tx>
          <c:spPr>
            <a:solidFill>
              <a:schemeClr val="accent1"/>
            </a:solidFill>
            <a:ln>
              <a:noFill/>
            </a:ln>
            <a:effectLst/>
          </c:spPr>
          <c:invertIfNegative val="0"/>
          <c:cat>
            <c:strRef>
              <c:f>'Workings for Dashboard'!$A$22:$A$28</c:f>
              <c:strCache>
                <c:ptCount val="7"/>
                <c:pt idx="0">
                  <c:v>Vacancy Gap </c:v>
                </c:pt>
                <c:pt idx="1">
                  <c:v>Pension</c:v>
                </c:pt>
                <c:pt idx="2">
                  <c:v>Legal Serv</c:v>
                </c:pt>
                <c:pt idx="3">
                  <c:v>Strat Dev</c:v>
                </c:pt>
                <c:pt idx="4">
                  <c:v>Operations</c:v>
                </c:pt>
                <c:pt idx="5">
                  <c:v>Corp Sev</c:v>
                </c:pt>
                <c:pt idx="6">
                  <c:v>Corporate</c:v>
                </c:pt>
              </c:strCache>
            </c:strRef>
          </c:cat>
          <c:val>
            <c:numRef>
              <c:f>'Workings for Dashboard'!$B$22:$B$28</c:f>
              <c:numCache>
                <c:formatCode>#,##0_ ;[Red]\-#,##0\ </c:formatCode>
                <c:ptCount val="7"/>
                <c:pt idx="0">
                  <c:v>0</c:v>
                </c:pt>
                <c:pt idx="1">
                  <c:v>682.04</c:v>
                </c:pt>
                <c:pt idx="2">
                  <c:v>80.621700000000004</c:v>
                </c:pt>
                <c:pt idx="3">
                  <c:v>328.86520000000007</c:v>
                </c:pt>
                <c:pt idx="4">
                  <c:v>1187.7746000000004</c:v>
                </c:pt>
                <c:pt idx="5">
                  <c:v>2411.57836</c:v>
                </c:pt>
                <c:pt idx="6">
                  <c:v>133.87989999999999</c:v>
                </c:pt>
              </c:numCache>
            </c:numRef>
          </c:val>
          <c:extLst>
            <c:ext xmlns:c16="http://schemas.microsoft.com/office/drawing/2014/chart" uri="{C3380CC4-5D6E-409C-BE32-E72D297353CC}">
              <c16:uniqueId val="{00000000-76F6-4AFF-9CB2-81144AA776FF}"/>
            </c:ext>
          </c:extLst>
        </c:ser>
        <c:ser>
          <c:idx val="1"/>
          <c:order val="1"/>
          <c:tx>
            <c:strRef>
              <c:f>'Workings for Dashboard'!$C$21</c:f>
              <c:strCache>
                <c:ptCount val="1"/>
                <c:pt idx="0">
                  <c:v>Actual YTD Spend £k</c:v>
                </c:pt>
              </c:strCache>
            </c:strRef>
          </c:tx>
          <c:spPr>
            <a:solidFill>
              <a:schemeClr val="accent2"/>
            </a:solidFill>
            <a:ln>
              <a:noFill/>
            </a:ln>
            <a:effectLst/>
          </c:spPr>
          <c:invertIfNegative val="0"/>
          <c:cat>
            <c:strRef>
              <c:f>'Workings for Dashboard'!$A$22:$A$28</c:f>
              <c:strCache>
                <c:ptCount val="7"/>
                <c:pt idx="0">
                  <c:v>Vacancy Gap </c:v>
                </c:pt>
                <c:pt idx="1">
                  <c:v>Pension</c:v>
                </c:pt>
                <c:pt idx="2">
                  <c:v>Legal Serv</c:v>
                </c:pt>
                <c:pt idx="3">
                  <c:v>Strat Dev</c:v>
                </c:pt>
                <c:pt idx="4">
                  <c:v>Operations</c:v>
                </c:pt>
                <c:pt idx="5">
                  <c:v>Corp Sev</c:v>
                </c:pt>
                <c:pt idx="6">
                  <c:v>Corporate</c:v>
                </c:pt>
              </c:strCache>
            </c:strRef>
          </c:cat>
          <c:val>
            <c:numRef>
              <c:f>'Workings for Dashboard'!$C$22:$C$28</c:f>
              <c:numCache>
                <c:formatCode>#,##0_ ;[Red]\-#,##0\ </c:formatCode>
                <c:ptCount val="7"/>
                <c:pt idx="0">
                  <c:v>0</c:v>
                </c:pt>
                <c:pt idx="1">
                  <c:v>633.20278000000008</c:v>
                </c:pt>
                <c:pt idx="2">
                  <c:v>51.917940000000002</c:v>
                </c:pt>
                <c:pt idx="3">
                  <c:v>271.92988000000003</c:v>
                </c:pt>
                <c:pt idx="4">
                  <c:v>1097.5854899999999</c:v>
                </c:pt>
                <c:pt idx="5">
                  <c:v>2298.3568800000003</c:v>
                </c:pt>
                <c:pt idx="6">
                  <c:v>128.33840999999998</c:v>
                </c:pt>
              </c:numCache>
            </c:numRef>
          </c:val>
          <c:extLst>
            <c:ext xmlns:c16="http://schemas.microsoft.com/office/drawing/2014/chart" uri="{C3380CC4-5D6E-409C-BE32-E72D297353CC}">
              <c16:uniqueId val="{00000001-76F6-4AFF-9CB2-81144AA776FF}"/>
            </c:ext>
          </c:extLst>
        </c:ser>
        <c:dLbls>
          <c:showLegendKey val="0"/>
          <c:showVal val="0"/>
          <c:showCatName val="0"/>
          <c:showSerName val="0"/>
          <c:showPercent val="0"/>
          <c:showBubbleSize val="0"/>
        </c:dLbls>
        <c:gapWidth val="150"/>
        <c:axId val="1926418480"/>
        <c:axId val="1926428560"/>
      </c:barChart>
      <c:catAx>
        <c:axId val="1926418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926428560"/>
        <c:crosses val="autoZero"/>
        <c:auto val="1"/>
        <c:lblAlgn val="ctr"/>
        <c:lblOffset val="100"/>
        <c:noMultiLvlLbl val="0"/>
      </c:catAx>
      <c:valAx>
        <c:axId val="1926428560"/>
        <c:scaling>
          <c:orientation val="minMax"/>
          <c:max val="2500"/>
        </c:scaling>
        <c:delete val="0"/>
        <c:axPos val="b"/>
        <c:majorGridlines>
          <c:spPr>
            <a:ln w="9525" cap="flat" cmpd="sng" algn="ctr">
              <a:solidFill>
                <a:schemeClr val="tx1">
                  <a:lumMod val="15000"/>
                  <a:lumOff val="85000"/>
                </a:schemeClr>
              </a:solidFill>
              <a:round/>
            </a:ln>
            <a:effectLst/>
          </c:spPr>
        </c:majorGridlines>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926418480"/>
        <c:crosses val="autoZero"/>
        <c:crossBetween val="between"/>
        <c:majorUnit val="100"/>
        <c:minorUnit val="50"/>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latin typeface="Aptos" panose="020B0004020202020204" pitchFamily="34" charset="0"/>
          </a:endParaRPr>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0.68831</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93783" y="810282"/>
          <a:ext cx="568280" cy="3259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0%</a:t>
          </a:r>
        </a:p>
      </cdr:txBody>
    </cdr:sp>
  </cdr:relSizeAnchor>
</c:userShapes>
</file>

<file path=word/drawings/drawing2.xml><?xml version="1.0" encoding="utf-8"?>
<c:userShapes xmlns:c="http://schemas.openxmlformats.org/drawingml/2006/chart">
  <cdr:relSizeAnchor xmlns:cdr="http://schemas.openxmlformats.org/drawingml/2006/chartDrawing">
    <cdr:from>
      <cdr:x>0.30875</cdr:x>
      <cdr:y>0.49096</cdr:y>
    </cdr:from>
    <cdr:to>
      <cdr:x>0.73933</cdr:x>
      <cdr:y>0.73054</cdr:y>
    </cdr:to>
    <cdr:sp macro="" textlink="">
      <cdr:nvSpPr>
        <cdr:cNvPr id="3" name="TextBox 2">
          <a:extLst xmlns:a="http://schemas.openxmlformats.org/drawingml/2006/main">
            <a:ext uri="{FF2B5EF4-FFF2-40B4-BE49-F238E27FC236}">
              <a16:creationId xmlns:a16="http://schemas.microsoft.com/office/drawing/2014/main" id="{91A2E3B4-0520-2C44-CE2A-489A0F31E103}"/>
            </a:ext>
          </a:extLst>
        </cdr:cNvPr>
        <cdr:cNvSpPr txBox="1"/>
      </cdr:nvSpPr>
      <cdr:spPr>
        <a:xfrm xmlns:a="http://schemas.openxmlformats.org/drawingml/2006/main">
          <a:off x="482298" y="773943"/>
          <a:ext cx="672608" cy="3776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23%</a:t>
          </a:r>
        </a:p>
      </cdr:txBody>
    </cdr:sp>
  </cdr:relSizeAnchor>
</c:userShapes>
</file>

<file path=word/drawings/drawing3.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latin typeface="Aptos" panose="020B0004020202020204" pitchFamily="34" charset="0"/>
            </a:rPr>
            <a:t>34%</a:t>
          </a:r>
        </a:p>
      </cdr:txBody>
    </cdr:sp>
  </cdr:relSizeAnchor>
</c:userShapes>
</file>

<file path=word/drawings/drawing4.xml><?xml version="1.0" encoding="utf-8"?>
<c:userShapes xmlns:c="http://schemas.openxmlformats.org/drawingml/2006/chart">
  <cdr:relSizeAnchor xmlns:cdr="http://schemas.openxmlformats.org/drawingml/2006/chartDrawing">
    <cdr:from>
      <cdr:x>0.48108</cdr:x>
      <cdr:y>0.43195</cdr:y>
    </cdr:from>
    <cdr:to>
      <cdr:x>1</cdr:x>
      <cdr:y>1</cdr:y>
    </cdr:to>
    <cdr:sp macro="" textlink="">
      <cdr:nvSpPr>
        <cdr:cNvPr id="2" name="TextBox 1">
          <a:extLst xmlns:a="http://schemas.openxmlformats.org/drawingml/2006/main">
            <a:ext uri="{FF2B5EF4-FFF2-40B4-BE49-F238E27FC236}">
              <a16:creationId xmlns:a16="http://schemas.microsoft.com/office/drawing/2014/main" id="{67ABD4A0-4D43-9F10-2A1C-46E28F388E98}"/>
            </a:ext>
          </a:extLst>
        </cdr:cNvPr>
        <cdr:cNvSpPr txBox="1"/>
      </cdr:nvSpPr>
      <cdr:spPr>
        <a:xfrm xmlns:a="http://schemas.openxmlformats.org/drawingml/2006/main">
          <a:off x="866775" y="8953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200"/>
        </a:p>
      </cdr:txBody>
    </cdr:sp>
  </cdr:relSizeAnchor>
  <cdr:relSizeAnchor xmlns:cdr="http://schemas.openxmlformats.org/drawingml/2006/chartDrawing">
    <cdr:from>
      <cdr:x>0.41081</cdr:x>
      <cdr:y>0.4142</cdr:y>
    </cdr:from>
    <cdr:to>
      <cdr:x>0.62703</cdr:x>
      <cdr:y>0.69231</cdr:y>
    </cdr:to>
    <cdr:sp macro="" textlink="">
      <cdr:nvSpPr>
        <cdr:cNvPr id="3" name="TextBox 2">
          <a:extLst xmlns:a="http://schemas.openxmlformats.org/drawingml/2006/main">
            <a:ext uri="{FF2B5EF4-FFF2-40B4-BE49-F238E27FC236}">
              <a16:creationId xmlns:a16="http://schemas.microsoft.com/office/drawing/2014/main" id="{A4B113F2-FA5A-4CEE-5DDE-1C6D9CD024FE}"/>
            </a:ext>
          </a:extLst>
        </cdr:cNvPr>
        <cdr:cNvSpPr txBox="1"/>
      </cdr:nvSpPr>
      <cdr:spPr>
        <a:xfrm xmlns:a="http://schemas.openxmlformats.org/drawingml/2006/main">
          <a:off x="723900" y="666750"/>
          <a:ext cx="3810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0.37838</cdr:x>
      <cdr:y>0.51479</cdr:y>
    </cdr:from>
    <cdr:to>
      <cdr:x>0.63784</cdr:x>
      <cdr:y>0.72189</cdr:y>
    </cdr:to>
    <cdr:sp macro="" textlink="">
      <cdr:nvSpPr>
        <cdr:cNvPr id="4" name="TextBox 3">
          <a:extLst xmlns:a="http://schemas.openxmlformats.org/drawingml/2006/main">
            <a:ext uri="{FF2B5EF4-FFF2-40B4-BE49-F238E27FC236}">
              <a16:creationId xmlns:a16="http://schemas.microsoft.com/office/drawing/2014/main" id="{D0B5E82C-D081-4123-F313-EAC2463D0063}"/>
            </a:ext>
          </a:extLst>
        </cdr:cNvPr>
        <cdr:cNvSpPr txBox="1"/>
      </cdr:nvSpPr>
      <cdr:spPr>
        <a:xfrm xmlns:a="http://schemas.openxmlformats.org/drawingml/2006/main">
          <a:off x="666751" y="828675"/>
          <a:ext cx="4572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b="1">
              <a:latin typeface="Aptos" panose="020B0004020202020204" pitchFamily="34" charset="0"/>
            </a:rPr>
            <a:t>20</a:t>
          </a:r>
          <a:r>
            <a:rPr lang="en-GB" sz="1100" b="1">
              <a:latin typeface="Aptos" panose="020B0004020202020204" pitchFamily="34"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0.3257</cdr:x>
      <cdr:y>0.50376</cdr:y>
    </cdr:from>
    <cdr:to>
      <cdr:x>0.63574</cdr:x>
      <cdr:y>0.69332</cdr:y>
    </cdr:to>
    <cdr:sp macro="" textlink="">
      <cdr:nvSpPr>
        <cdr:cNvPr id="2" name="TextBox 1">
          <a:extLst xmlns:a="http://schemas.openxmlformats.org/drawingml/2006/main">
            <a:ext uri="{FF2B5EF4-FFF2-40B4-BE49-F238E27FC236}">
              <a16:creationId xmlns:a16="http://schemas.microsoft.com/office/drawing/2014/main" id="{A51E21EF-E2AA-09E8-01E8-C48D1395D1A8}"/>
            </a:ext>
          </a:extLst>
        </cdr:cNvPr>
        <cdr:cNvSpPr txBox="1"/>
      </cdr:nvSpPr>
      <cdr:spPr>
        <a:xfrm xmlns:a="http://schemas.openxmlformats.org/drawingml/2006/main">
          <a:off x="637009" y="806117"/>
          <a:ext cx="606376" cy="3033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baseline="0">
              <a:latin typeface="Aptos" panose="020B0004020202020204" pitchFamily="34" charset="0"/>
            </a:rPr>
            <a:t>     </a:t>
          </a:r>
          <a:r>
            <a:rPr lang="en-GB" sz="1200" b="1" baseline="0">
              <a:latin typeface="Aptos" panose="020B0004020202020204" pitchFamily="34" charset="0"/>
            </a:rPr>
            <a:t>29</a:t>
          </a:r>
          <a:r>
            <a:rPr lang="en-GB" sz="1100" b="1" baseline="0">
              <a:latin typeface="Aptos" panose="020B0004020202020204" pitchFamily="34" charset="0"/>
            </a:rPr>
            <a:t>%</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52BF3"/>
    <w:rsid w:val="0007676F"/>
    <w:rsid w:val="0028647E"/>
    <w:rsid w:val="002C7DC0"/>
    <w:rsid w:val="002F5537"/>
    <w:rsid w:val="00373B63"/>
    <w:rsid w:val="003E3E67"/>
    <w:rsid w:val="0043291B"/>
    <w:rsid w:val="004376DA"/>
    <w:rsid w:val="005F38B1"/>
    <w:rsid w:val="006B6BF2"/>
    <w:rsid w:val="008E0B07"/>
    <w:rsid w:val="00B7479E"/>
    <w:rsid w:val="00D94050"/>
    <w:rsid w:val="00DC348F"/>
    <w:rsid w:val="00E27AA4"/>
    <w:rsid w:val="00F519DB"/>
    <w:rsid w:val="00F610D9"/>
    <w:rsid w:val="00FD0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79E"/>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 ds:uri="ddc97c0f-92d3-40cc-8a88-afbef9d2f083"/>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E15E2117-B2CC-4390-8756-F9E98579D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793</Words>
  <Characters>4132</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4889</CharactersWithSpaces>
  <SharedDoc>false</SharedDoc>
  <HLinks>
    <vt:vector size="6" baseType="variant">
      <vt:variant>
        <vt:i4>5570619</vt:i4>
      </vt:variant>
      <vt:variant>
        <vt:i4>0</vt:i4>
      </vt:variant>
      <vt:variant>
        <vt:i4>0</vt:i4>
      </vt:variant>
      <vt:variant>
        <vt:i4>5</vt:i4>
      </vt:variant>
      <vt:variant>
        <vt:lpwstr>mailto:LynchehaunSa@slab.org.uk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Administration Resources Finance Report August 2025</dc:title>
  <dc:subject>Board Report</dc:subject>
  <dc:creator>Scottish Legal Aid Board</dc:creator>
  <cp:keywords/>
  <dc:description/>
  <cp:lastModifiedBy>Lindsay Corr</cp:lastModifiedBy>
  <cp:revision>3</cp:revision>
  <dcterms:created xsi:type="dcterms:W3CDTF">2026-03-16T17:25:00Z</dcterms:created>
  <dcterms:modified xsi:type="dcterms:W3CDTF">2026-03-17T09:55:00Z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