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C2CEA05" w:rsidR="00B2602F" w:rsidRDefault="009D0693" w:rsidP="00CC679C">
      <w:pPr>
        <w:pStyle w:val="Title"/>
      </w:pPr>
      <w:r w:rsidRPr="00C24166">
        <w:rPr>
          <w:noProof/>
        </w:rPr>
        <w:drawing>
          <wp:inline distT="0" distB="0" distL="0" distR="0" wp14:anchorId="7EE4B071" wp14:editId="10C7E032">
            <wp:extent cx="683173" cy="901716"/>
            <wp:effectExtent l="0" t="0" r="3175" b="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219" cy="905737"/>
                    </a:xfrm>
                    <a:prstGeom prst="rect">
                      <a:avLst/>
                    </a:prstGeom>
                  </pic:spPr>
                </pic:pic>
              </a:graphicData>
            </a:graphic>
          </wp:inline>
        </w:drawing>
      </w:r>
      <w:r w:rsidRPr="00C24166">
        <w:t xml:space="preserve"> </w:t>
      </w:r>
      <w:r w:rsidR="00202250" w:rsidRPr="00633259">
        <w:t>BOARD REPORT</w:t>
      </w:r>
    </w:p>
    <w:p w14:paraId="2D677E17" w14:textId="7B05A58F" w:rsidR="006627CE" w:rsidRPr="006627CE" w:rsidRDefault="006627CE" w:rsidP="006627CE">
      <w:pPr>
        <w:rPr>
          <w:b/>
          <w:bCs/>
        </w:rPr>
      </w:pPr>
      <w:r w:rsidRPr="006627CE">
        <w:rPr>
          <w:b/>
          <w:bCs/>
        </w:rPr>
        <w:t xml:space="preserve">AGENDA ITEM: </w:t>
      </w:r>
      <w:r w:rsidRPr="006627CE">
        <w:rPr>
          <w:b/>
          <w:bCs/>
        </w:rPr>
        <w:tab/>
      </w:r>
      <w:r w:rsidRPr="006627CE">
        <w:rPr>
          <w:b/>
          <w:bCs/>
        </w:rPr>
        <w:tab/>
        <w:t>13</w:t>
      </w:r>
      <w:r>
        <w:rPr>
          <w:b/>
          <w:bCs/>
        </w:rPr>
        <w:br/>
      </w:r>
      <w:r w:rsidRPr="006627CE">
        <w:rPr>
          <w:b/>
          <w:bCs/>
        </w:rPr>
        <w:t xml:space="preserve">REPORT NUMBER:  </w:t>
      </w:r>
      <w:r w:rsidRPr="006627CE">
        <w:rPr>
          <w:b/>
          <w:bCs/>
        </w:rPr>
        <w:tab/>
      </w:r>
      <w:r>
        <w:rPr>
          <w:b/>
          <w:bCs/>
        </w:rPr>
        <w:tab/>
      </w:r>
      <w:r w:rsidRPr="006627CE">
        <w:rPr>
          <w:b/>
          <w:bCs/>
        </w:rPr>
        <w:t>SLAB/2026/09</w:t>
      </w:r>
    </w:p>
    <w:p w14:paraId="1C325D82" w14:textId="4561F87A" w:rsidR="00633259" w:rsidRPr="00273E5D" w:rsidRDefault="00633259" w:rsidP="004E2CE6">
      <w:pPr>
        <w:pStyle w:val="Heading3"/>
      </w:pPr>
      <w:r w:rsidRPr="00273E5D">
        <w:t xml:space="preserve">Report details </w:t>
      </w:r>
    </w:p>
    <w:p w14:paraId="21524C7C" w14:textId="43971FFF" w:rsidR="006F4385" w:rsidRPr="00C24166" w:rsidRDefault="006F4385" w:rsidP="00CC679C">
      <w:r w:rsidRPr="00C24166">
        <w:rPr>
          <w:rStyle w:val="Strong"/>
        </w:rPr>
        <w:t>Report to:</w:t>
      </w:r>
      <w:r w:rsidRPr="00C24166">
        <w:rPr>
          <w:rStyle w:val="Strong"/>
        </w:rPr>
        <w:tab/>
      </w:r>
      <w:r w:rsidRPr="00C24166">
        <w:tab/>
      </w:r>
      <w:r w:rsidRPr="00C24166">
        <w:tab/>
      </w:r>
      <w:r w:rsidR="00202250" w:rsidRPr="00C24166">
        <w:t>SLAB Board</w:t>
      </w:r>
    </w:p>
    <w:p w14:paraId="6D4CF6A7" w14:textId="1741A91A" w:rsidR="006F4385" w:rsidRPr="00C24166" w:rsidRDefault="006F4385" w:rsidP="00CC679C">
      <w:r w:rsidRPr="00C24166">
        <w:rPr>
          <w:rStyle w:val="Strong"/>
        </w:rPr>
        <w:t>Meeting date:</w:t>
      </w:r>
      <w:r w:rsidR="00D35FED" w:rsidRPr="00C24166">
        <w:tab/>
      </w:r>
      <w:r w:rsidR="00D35FED" w:rsidRPr="00C24166">
        <w:tab/>
      </w:r>
      <w:sdt>
        <w:sdtPr>
          <w:id w:val="-598484800"/>
          <w:placeholder>
            <w:docPart w:val="DefaultPlaceholder_-1854013437"/>
          </w:placeholder>
          <w:date w:fullDate="2026-02-09T00:00:00Z">
            <w:dateFormat w:val="dd/MM/yyyy"/>
            <w:lid w:val="en-GB"/>
            <w:storeMappedDataAs w:val="dateTime"/>
            <w:calendar w:val="gregorian"/>
          </w:date>
        </w:sdtPr>
        <w:sdtEndPr/>
        <w:sdtContent>
          <w:r w:rsidR="007F03B8">
            <w:t>09/02/2026</w:t>
          </w:r>
        </w:sdtContent>
      </w:sdt>
    </w:p>
    <w:p w14:paraId="3C9F5B0E" w14:textId="58CC82C1" w:rsidR="006F4385" w:rsidRPr="00C24166" w:rsidRDefault="006F4385" w:rsidP="00CC679C">
      <w:pPr>
        <w:rPr>
          <w:rStyle w:val="Strong"/>
        </w:rPr>
      </w:pPr>
      <w:r w:rsidRPr="00C24166">
        <w:rPr>
          <w:rStyle w:val="Strong"/>
        </w:rPr>
        <w:t>Report title:</w:t>
      </w:r>
      <w:r w:rsidR="00D35FED" w:rsidRPr="00C24166">
        <w:rPr>
          <w:rStyle w:val="Strong"/>
        </w:rPr>
        <w:tab/>
      </w:r>
      <w:r w:rsidR="00D35FED" w:rsidRPr="00C24166">
        <w:rPr>
          <w:rStyle w:val="Strong"/>
        </w:rPr>
        <w:tab/>
      </w:r>
      <w:r w:rsidR="00D35FED" w:rsidRPr="00C24166">
        <w:rPr>
          <w:rStyle w:val="Strong"/>
        </w:rPr>
        <w:tab/>
      </w:r>
      <w:r w:rsidR="007F03B8">
        <w:t>Performance Report</w:t>
      </w:r>
    </w:p>
    <w:p w14:paraId="4BCC3349" w14:textId="66A96763" w:rsidR="00450AC2" w:rsidRPr="00C24166" w:rsidRDefault="006F4385" w:rsidP="00CC679C">
      <w:pPr>
        <w:rPr>
          <w:rStyle w:val="Strong"/>
        </w:rPr>
      </w:pPr>
      <w:r w:rsidRPr="00C24166">
        <w:rPr>
          <w:rStyle w:val="Strong"/>
        </w:rPr>
        <w:t>Report category:</w:t>
      </w:r>
      <w:r w:rsidR="00D35FED" w:rsidRPr="00C24166">
        <w:rPr>
          <w:rStyle w:val="Strong"/>
        </w:rPr>
        <w:tab/>
      </w:r>
      <w:r w:rsidR="00D35FED" w:rsidRPr="00C24166">
        <w:rPr>
          <w:rStyle w:val="Strong"/>
        </w:rPr>
        <w:tab/>
      </w:r>
      <w:sdt>
        <w:sdt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1606DC">
            <w:t>For information</w:t>
          </w:r>
        </w:sdtContent>
      </w:sdt>
      <w:r w:rsidR="00D35FED" w:rsidRPr="00C24166">
        <w:rPr>
          <w:rStyle w:val="Strong"/>
        </w:rPr>
        <w:tab/>
      </w:r>
      <w:r w:rsidR="00D35FED" w:rsidRPr="00C24166">
        <w:rPr>
          <w:rStyle w:val="Strong"/>
        </w:rPr>
        <w:tab/>
      </w:r>
    </w:p>
    <w:p w14:paraId="73D86164" w14:textId="576504B3" w:rsidR="006F4385" w:rsidRPr="00C24166" w:rsidRDefault="006F4385" w:rsidP="00CC679C">
      <w:pPr>
        <w:rPr>
          <w:rStyle w:val="Strong"/>
        </w:rPr>
      </w:pPr>
      <w:r w:rsidRPr="00C24166">
        <w:rPr>
          <w:rStyle w:val="Strong"/>
        </w:rPr>
        <w:t>Written by:</w:t>
      </w:r>
      <w:r w:rsidR="00D35FED" w:rsidRPr="00C24166">
        <w:rPr>
          <w:rStyle w:val="Strong"/>
        </w:rPr>
        <w:tab/>
      </w:r>
      <w:r w:rsidR="00D35FED" w:rsidRPr="00C24166">
        <w:rPr>
          <w:rStyle w:val="Strong"/>
        </w:rPr>
        <w:tab/>
      </w:r>
      <w:r w:rsidR="00D35FED" w:rsidRPr="00C24166">
        <w:rPr>
          <w:rStyle w:val="Strong"/>
        </w:rPr>
        <w:tab/>
      </w:r>
      <w:r w:rsidR="001606DC">
        <w:t xml:space="preserve">Adam Ford &amp; Linda Ross </w:t>
      </w:r>
    </w:p>
    <w:p w14:paraId="4F1D2C6B" w14:textId="0EB94467" w:rsidR="006F4385" w:rsidRPr="00C24166" w:rsidRDefault="006F4385" w:rsidP="00CC679C">
      <w:pPr>
        <w:rPr>
          <w:rStyle w:val="Strong"/>
        </w:rPr>
      </w:pPr>
      <w:r w:rsidRPr="00C24166">
        <w:rPr>
          <w:rStyle w:val="Strong"/>
        </w:rPr>
        <w:t>Director responsible:</w:t>
      </w:r>
      <w:r w:rsidR="00D35FED" w:rsidRPr="00C24166">
        <w:rPr>
          <w:rStyle w:val="Strong"/>
        </w:rPr>
        <w:tab/>
      </w:r>
      <w:sdt>
        <w:sdt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1606DC">
            <w:t>Adam Ford</w:t>
          </w:r>
        </w:sdtContent>
      </w:sdt>
    </w:p>
    <w:p w14:paraId="2D3DDEB6" w14:textId="607C4750" w:rsidR="006F4385" w:rsidRPr="00C24166" w:rsidRDefault="006F4385" w:rsidP="00CC679C">
      <w:r w:rsidRPr="00C24166">
        <w:rPr>
          <w:rStyle w:val="Strong"/>
        </w:rPr>
        <w:t>Presented by:</w:t>
      </w:r>
      <w:r w:rsidR="00D35FED" w:rsidRPr="00C24166">
        <w:rPr>
          <w:rStyle w:val="Strong"/>
        </w:rPr>
        <w:tab/>
      </w:r>
      <w:r w:rsidR="00D35FED" w:rsidRPr="00C24166">
        <w:rPr>
          <w:rStyle w:val="Strong"/>
        </w:rPr>
        <w:tab/>
      </w:r>
      <w:r w:rsidR="001606DC">
        <w:t xml:space="preserve">Adam Ford </w:t>
      </w:r>
    </w:p>
    <w:p w14:paraId="3995BDCA" w14:textId="6800153F" w:rsidR="006F4385" w:rsidRPr="00C24166" w:rsidRDefault="006F4385" w:rsidP="00CC679C">
      <w:pPr>
        <w:rPr>
          <w:rStyle w:val="Strong"/>
          <w:b w:val="0"/>
          <w:bCs w:val="0"/>
        </w:rPr>
      </w:pPr>
      <w:r w:rsidRPr="00C24166">
        <w:rPr>
          <w:rStyle w:val="Strong"/>
        </w:rPr>
        <w:t>Contact details:</w:t>
      </w:r>
      <w:r w:rsidR="00D35FED" w:rsidRPr="00C24166">
        <w:rPr>
          <w:rStyle w:val="Strong"/>
        </w:rPr>
        <w:tab/>
      </w:r>
      <w:r w:rsidR="00D35FED" w:rsidRPr="00C24166">
        <w:rPr>
          <w:rStyle w:val="Strong"/>
        </w:rPr>
        <w:tab/>
      </w:r>
      <w:r w:rsidR="001606DC" w:rsidRPr="004E2CE6">
        <w:t>CEO@slab.org.uk</w:t>
      </w:r>
      <w:r w:rsidR="001606DC" w:rsidRPr="00633259">
        <w:rPr>
          <w:color w:val="174DA3"/>
        </w:rPr>
        <w:t xml:space="preserve"> </w:t>
      </w:r>
    </w:p>
    <w:p w14:paraId="409EC7C6" w14:textId="1AE5019E" w:rsidR="00A16CB9" w:rsidRDefault="00A16CB9" w:rsidP="000F272F">
      <w:r w:rsidRPr="00C24166">
        <w:rPr>
          <w:rStyle w:val="Heading3Char"/>
        </w:rPr>
        <w:t>Delivery of Strategic Objectives</w:t>
      </w:r>
      <w:r w:rsidRPr="00C24166">
        <w:rPr>
          <w:rStyle w:val="Strong"/>
        </w:rPr>
        <w:br/>
      </w:r>
      <w:r w:rsidRPr="00C24166">
        <w:rPr>
          <w:rStyle w:val="SubtleEmphasis"/>
        </w:rPr>
        <w:t xml:space="preserve">Select </w:t>
      </w:r>
      <w:r w:rsidR="00F14DC9" w:rsidRPr="00C24166">
        <w:rPr>
          <w:rStyle w:val="SubtleEmphasis"/>
        </w:rPr>
        <w:t>our</w:t>
      </w:r>
      <w:r w:rsidRPr="00C24166">
        <w:rPr>
          <w:rStyle w:val="SubtleEmphasis"/>
        </w:rPr>
        <w:t xml:space="preserve"> </w:t>
      </w:r>
      <w:r w:rsidR="00F14DC9" w:rsidRPr="00C24166">
        <w:rPr>
          <w:rStyle w:val="SubtleEmphasis"/>
        </w:rPr>
        <w:t xml:space="preserve">relevant </w:t>
      </w:r>
      <w:r w:rsidRPr="00C24166">
        <w:rPr>
          <w:rStyle w:val="SubtleEmphasis"/>
        </w:rPr>
        <w:t>Strategic Objective(s).</w:t>
      </w:r>
      <w:r w:rsidR="000F272F" w:rsidRPr="00C24166">
        <w:rPr>
          <w:rStyle w:val="SubtleEmphasis"/>
        </w:rPr>
        <w:br/>
      </w:r>
      <w:sdt>
        <w:sdt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1606DC" w:rsidRPr="00FF3173">
            <w:t>1 – Administration: Our timely, clear, and consistent decisions on legal aid applications and accounts deliver a positive customer experience.</w:t>
          </w:r>
        </w:sdtContent>
      </w:sdt>
      <w:r w:rsidR="00F14DC9" w:rsidRPr="00FF3173">
        <w:tab/>
      </w:r>
    </w:p>
    <w:p w14:paraId="2662C528" w14:textId="4DF016BC" w:rsidR="00CC679C" w:rsidRPr="00C24166" w:rsidRDefault="00CC679C" w:rsidP="00CC679C">
      <w:r w:rsidRPr="00C24166">
        <w:rPr>
          <w:rStyle w:val="Heading3Char"/>
        </w:rPr>
        <w:t>Link to Board or Committee remit:</w:t>
      </w:r>
      <w:r w:rsidRPr="00C24166">
        <w:tab/>
      </w:r>
      <w:r w:rsidR="00821617" w:rsidRPr="00C24166">
        <w:br/>
      </w:r>
      <w:r w:rsidR="001606DC" w:rsidRPr="001606DC">
        <w:t>To monitor the performance of the operational departments.</w:t>
      </w:r>
    </w:p>
    <w:p w14:paraId="36325B49" w14:textId="4FD25743" w:rsidR="00CC679C" w:rsidRPr="00C24166" w:rsidRDefault="00CC679C" w:rsidP="00CC679C">
      <w:pPr>
        <w:rPr>
          <w:rStyle w:val="Strong"/>
        </w:rPr>
      </w:pPr>
      <w:r w:rsidRPr="00882182">
        <w:rPr>
          <w:rStyle w:val="Heading3Char"/>
        </w:rPr>
        <w:t>Link to Risk Management:</w:t>
      </w:r>
      <w:r w:rsidRPr="00C24166">
        <w:rPr>
          <w:rStyle w:val="Strong"/>
        </w:rPr>
        <w:tab/>
      </w:r>
      <w:r w:rsidRPr="00C24166">
        <w:rPr>
          <w:rStyle w:val="Strong"/>
        </w:rPr>
        <w:tab/>
      </w:r>
      <w:r w:rsidRPr="00C24166">
        <w:rPr>
          <w:rStyle w:val="Strong"/>
        </w:rPr>
        <w:tab/>
      </w:r>
      <w:r w:rsidR="00821617" w:rsidRPr="00C24166">
        <w:rPr>
          <w:rStyle w:val="Strong"/>
        </w:rPr>
        <w:br/>
      </w:r>
      <w:r w:rsidR="001606DC" w:rsidRPr="001606DC">
        <w:t>A range of risks that we face may result in our resource being diverted from the delivery of our corporate objective to deliver a high-quality customer service. Our performance benchmarks are a direct way in which we can measure whether this is happening.</w:t>
      </w:r>
    </w:p>
    <w:p w14:paraId="44E4CB7F" w14:textId="663C068C" w:rsidR="00CC679C" w:rsidRPr="00C24166" w:rsidRDefault="00CC679C" w:rsidP="00CC679C">
      <w:pPr>
        <w:rPr>
          <w:rStyle w:val="Strong"/>
        </w:rPr>
      </w:pPr>
      <w:r w:rsidRPr="00C24166">
        <w:rPr>
          <w:rStyle w:val="Heading3Char"/>
        </w:rPr>
        <w:t>Publication of the paper:</w:t>
      </w:r>
      <w:r w:rsidRPr="00C24166">
        <w:rPr>
          <w:rStyle w:val="Strong"/>
        </w:rPr>
        <w:tab/>
      </w:r>
      <w:r w:rsidRPr="00C24166">
        <w:rPr>
          <w:rStyle w:val="Strong"/>
        </w:rPr>
        <w:tab/>
      </w:r>
      <w:r w:rsidRPr="00C24166">
        <w:rPr>
          <w:rStyle w:val="Strong"/>
        </w:rPr>
        <w:tab/>
      </w:r>
      <w:r w:rsidR="00821617" w:rsidRPr="00C24166">
        <w:rPr>
          <w:rStyle w:val="Strong"/>
        </w:rPr>
        <w:br/>
      </w:r>
      <w:r w:rsidR="001606DC" w:rsidRPr="001606DC">
        <w:t>The Board has previously agreed that this paper should be published as a matter of course.  It will be published on our website.</w:t>
      </w:r>
      <w:r w:rsidR="001606DC" w:rsidRPr="001606DC">
        <w:tab/>
      </w:r>
      <w:r w:rsidRPr="00C24166">
        <w:rPr>
          <w:rStyle w:val="Strong"/>
        </w:rPr>
        <w:tab/>
      </w:r>
    </w:p>
    <w:p w14:paraId="05A7844D" w14:textId="20B822CA" w:rsidR="007F03B8" w:rsidRDefault="00CC679C" w:rsidP="007F03B8">
      <w:r w:rsidRPr="00C24166">
        <w:rPr>
          <w:rStyle w:val="Heading3Char"/>
        </w:rPr>
        <w:t>Executive Summary:</w:t>
      </w:r>
      <w:r w:rsidR="00AB4C34" w:rsidRPr="00C24166">
        <w:rPr>
          <w:rStyle w:val="Heading3Char"/>
        </w:rPr>
        <w:tab/>
      </w:r>
      <w:r w:rsidR="00AB4C34" w:rsidRPr="00C24166">
        <w:rPr>
          <w:rStyle w:val="Strong"/>
        </w:rPr>
        <w:tab/>
      </w:r>
      <w:r w:rsidR="00AB4C34" w:rsidRPr="00C24166">
        <w:rPr>
          <w:rStyle w:val="Strong"/>
        </w:rPr>
        <w:tab/>
      </w:r>
      <w:r w:rsidR="00F14DC9" w:rsidRPr="00C24166">
        <w:rPr>
          <w:rStyle w:val="Strong"/>
        </w:rPr>
        <w:br/>
      </w:r>
      <w:r w:rsidR="007F03B8" w:rsidRPr="004944EB">
        <w:t>Members should note that the figures reported are a three</w:t>
      </w:r>
      <w:r w:rsidR="007F03B8">
        <w:t>-</w:t>
      </w:r>
      <w:r w:rsidR="007F03B8" w:rsidRPr="004944EB">
        <w:t>month average</w:t>
      </w:r>
      <w:r w:rsidR="004E2CE6">
        <w:t xml:space="preserve"> – that is, they </w:t>
      </w:r>
      <w:r w:rsidR="007F03B8" w:rsidRPr="004944EB">
        <w:t xml:space="preserve">reflect the position </w:t>
      </w:r>
      <w:r w:rsidR="004E2CE6">
        <w:t xml:space="preserve">for </w:t>
      </w:r>
      <w:r w:rsidR="007F03B8">
        <w:t>October, November and December 2025</w:t>
      </w:r>
      <w:r w:rsidR="007F03B8" w:rsidRPr="004944EB">
        <w:t xml:space="preserve"> as a whole.</w:t>
      </w:r>
      <w:r w:rsidR="007F03B8" w:rsidRPr="00455AA6">
        <w:t> </w:t>
      </w:r>
    </w:p>
    <w:p w14:paraId="068B3A72" w14:textId="33DA16DE" w:rsidR="007F03B8" w:rsidRDefault="007F03B8" w:rsidP="007F03B8">
      <w:r w:rsidRPr="004E2CE6">
        <w:rPr>
          <w:b/>
          <w:bCs/>
        </w:rPr>
        <w:t>Applications:</w:t>
      </w:r>
      <w:r>
        <w:t xml:space="preserve"> Overall performance is very good with all 14 benchmarks </w:t>
      </w:r>
      <w:r w:rsidR="004E2CE6">
        <w:t>‘</w:t>
      </w:r>
      <w:r>
        <w:t>better than</w:t>
      </w:r>
      <w:r w:rsidR="004E2CE6">
        <w:t>’</w:t>
      </w:r>
      <w:r>
        <w:t xml:space="preserve">. </w:t>
      </w:r>
    </w:p>
    <w:p w14:paraId="264DCAEF" w14:textId="50AC143F" w:rsidR="007F03B8" w:rsidRDefault="007F03B8" w:rsidP="007F03B8">
      <w:pPr>
        <w:rPr>
          <w:rFonts w:ascii="Aptos" w:eastAsia="Aptos" w:hAnsi="Aptos" w:cs="Aptos"/>
        </w:rPr>
      </w:pPr>
      <w:r w:rsidRPr="004E2CE6">
        <w:rPr>
          <w:b/>
          <w:bCs/>
        </w:rPr>
        <w:t>Accounts:</w:t>
      </w:r>
      <w:r>
        <w:t xml:space="preserve"> </w:t>
      </w:r>
      <w:r w:rsidRPr="003A141E">
        <w:rPr>
          <w:rFonts w:ascii="Aptos" w:eastAsia="Aptos" w:hAnsi="Aptos" w:cs="Aptos"/>
        </w:rPr>
        <w:t xml:space="preserve">The quarter to December 2025 </w:t>
      </w:r>
      <w:r>
        <w:rPr>
          <w:rFonts w:ascii="Aptos" w:eastAsia="Aptos" w:hAnsi="Aptos" w:cs="Aptos"/>
        </w:rPr>
        <w:t xml:space="preserve">shows a mixed position, with three </w:t>
      </w:r>
      <w:r w:rsidRPr="003A141E">
        <w:rPr>
          <w:rFonts w:ascii="Aptos" w:eastAsia="Aptos" w:hAnsi="Aptos" w:cs="Aptos"/>
        </w:rPr>
        <w:t xml:space="preserve">reported as ‘better than’, </w:t>
      </w:r>
      <w:r>
        <w:rPr>
          <w:rFonts w:ascii="Aptos" w:eastAsia="Aptos" w:hAnsi="Aptos" w:cs="Aptos"/>
        </w:rPr>
        <w:t>ten</w:t>
      </w:r>
      <w:r w:rsidRPr="003A141E">
        <w:rPr>
          <w:rFonts w:ascii="Aptos" w:eastAsia="Aptos" w:hAnsi="Aptos" w:cs="Aptos"/>
        </w:rPr>
        <w:t xml:space="preserve"> ‘met’ and </w:t>
      </w:r>
      <w:r>
        <w:rPr>
          <w:rFonts w:ascii="Aptos" w:eastAsia="Aptos" w:hAnsi="Aptos" w:cs="Aptos"/>
        </w:rPr>
        <w:t>six</w:t>
      </w:r>
      <w:r w:rsidRPr="003A141E">
        <w:rPr>
          <w:rFonts w:ascii="Aptos" w:eastAsia="Aptos" w:hAnsi="Aptos" w:cs="Aptos"/>
        </w:rPr>
        <w:t xml:space="preserve"> ‘worse than’.</w:t>
      </w:r>
    </w:p>
    <w:p w14:paraId="6715A32D" w14:textId="5DE9CAE8" w:rsidR="007F03B8" w:rsidRDefault="007F03B8" w:rsidP="007F03B8">
      <w:r w:rsidRPr="00212627">
        <w:rPr>
          <w:lang w:val="en-US"/>
        </w:rPr>
        <w:t>As reported in November, a customer satisfaction survey was carried out in October 2025</w:t>
      </w:r>
      <w:r>
        <w:rPr>
          <w:lang w:val="en-US"/>
        </w:rPr>
        <w:t xml:space="preserve"> for both Applications and Accounts</w:t>
      </w:r>
      <w:r w:rsidRPr="00212627">
        <w:rPr>
          <w:lang w:val="en-US"/>
        </w:rPr>
        <w:t>. While compl</w:t>
      </w:r>
      <w:r>
        <w:rPr>
          <w:lang w:val="en-US"/>
        </w:rPr>
        <w:t>e</w:t>
      </w:r>
      <w:r w:rsidRPr="00212627">
        <w:rPr>
          <w:lang w:val="en-US"/>
        </w:rPr>
        <w:t xml:space="preserve">tion rates remain </w:t>
      </w:r>
      <w:r w:rsidR="004E2CE6" w:rsidRPr="00212627">
        <w:rPr>
          <w:lang w:val="en-US"/>
        </w:rPr>
        <w:t>low,</w:t>
      </w:r>
      <w:r>
        <w:rPr>
          <w:lang w:val="en-US"/>
        </w:rPr>
        <w:t xml:space="preserve"> they have shown improvement and consistency in scores</w:t>
      </w:r>
      <w:r w:rsidR="004E2CE6">
        <w:rPr>
          <w:lang w:val="en-US"/>
        </w:rPr>
        <w:t>.</w:t>
      </w:r>
    </w:p>
    <w:p w14:paraId="68E83724" w14:textId="30D2426D" w:rsidR="00C24166" w:rsidRPr="007F03B8" w:rsidRDefault="00CC679C" w:rsidP="002C5C1D">
      <w:pPr>
        <w:rPr>
          <w:rStyle w:val="Strong"/>
          <w:b w:val="0"/>
          <w:bCs w:val="0"/>
        </w:rPr>
      </w:pPr>
      <w:r w:rsidRPr="00C24166">
        <w:rPr>
          <w:rStyle w:val="Heading3Char"/>
        </w:rPr>
        <w:t xml:space="preserve">Previous Consideration </w:t>
      </w:r>
      <w:r w:rsidRPr="00C24166">
        <w:rPr>
          <w:rStyle w:val="Strong"/>
        </w:rPr>
        <w:br/>
        <w:t>Meeting:</w:t>
      </w:r>
      <w:r w:rsidR="002C5C1D">
        <w:t xml:space="preserve"> </w:t>
      </w:r>
      <w:r w:rsidR="007F03B8">
        <w:t>November 2025</w:t>
      </w:r>
      <w:r w:rsidR="002C5C1D">
        <w:t>.</w:t>
      </w:r>
      <w:r w:rsidRPr="00C24166">
        <w:rPr>
          <w:rStyle w:val="Strong"/>
        </w:rPr>
        <w:br/>
        <w:t xml:space="preserve">Details: </w:t>
      </w:r>
      <w:r w:rsidRPr="00C24166">
        <w:tab/>
      </w:r>
      <w:r w:rsidR="002C5C1D">
        <w:br/>
      </w:r>
      <w:r w:rsidR="007F03B8" w:rsidRPr="002C5C1D">
        <w:rPr>
          <w:b/>
          <w:bCs/>
        </w:rPr>
        <w:lastRenderedPageBreak/>
        <w:t>Applications:</w:t>
      </w:r>
      <w:r w:rsidR="007F03B8">
        <w:t xml:space="preserve"> Overall performance is very good with all 14 benchmarks </w:t>
      </w:r>
      <w:r w:rsidR="002C5C1D">
        <w:t>‘</w:t>
      </w:r>
      <w:r w:rsidR="007F03B8">
        <w:t>better than</w:t>
      </w:r>
      <w:r w:rsidR="002C5C1D">
        <w:t>’</w:t>
      </w:r>
      <w:r w:rsidR="007F03B8">
        <w:t xml:space="preserve">. </w:t>
      </w:r>
      <w:r w:rsidR="002C5C1D">
        <w:br/>
      </w:r>
      <w:r w:rsidR="007F03B8" w:rsidRPr="002C5C1D">
        <w:rPr>
          <w:b/>
          <w:bCs/>
        </w:rPr>
        <w:t>Accounts:</w:t>
      </w:r>
      <w:r w:rsidR="007F03B8">
        <w:t xml:space="preserve"> </w:t>
      </w:r>
      <w:r w:rsidR="007F03B8" w:rsidRPr="1600E838">
        <w:rPr>
          <w:rFonts w:ascii="Aptos" w:eastAsia="Aptos" w:hAnsi="Aptos" w:cs="Aptos"/>
          <w:szCs w:val="24"/>
        </w:rPr>
        <w:t>The quarter to September 2025 has overall been very strong with seven reported as ‘better than’, seven ‘met’ and five ‘worse than’.</w:t>
      </w:r>
    </w:p>
    <w:p w14:paraId="0D2364E3" w14:textId="77777777" w:rsidR="00F14DC9" w:rsidRPr="00273E5D" w:rsidRDefault="00F14DC9" w:rsidP="00273E5D">
      <w:pPr>
        <w:pStyle w:val="Heading2"/>
      </w:pPr>
      <w:r w:rsidRPr="00273E5D">
        <w:t>Report</w:t>
      </w:r>
    </w:p>
    <w:p w14:paraId="7B957424" w14:textId="77777777" w:rsidR="001606DC" w:rsidRPr="00273E5D" w:rsidRDefault="001606DC" w:rsidP="00273E5D">
      <w:pPr>
        <w:pStyle w:val="Heading3"/>
      </w:pPr>
      <w:r w:rsidRPr="00273E5D">
        <w:t xml:space="preserve">Application Performance </w:t>
      </w:r>
    </w:p>
    <w:p w14:paraId="2F95890F" w14:textId="7EB1B474" w:rsidR="001606DC" w:rsidRPr="001606DC" w:rsidRDefault="001606DC" w:rsidP="001606DC">
      <w:pPr>
        <w:pStyle w:val="Heading4"/>
        <w:numPr>
          <w:ilvl w:val="0"/>
          <w:numId w:val="14"/>
        </w:numPr>
        <w:rPr>
          <w:b w:val="0"/>
          <w:bCs/>
          <w:szCs w:val="24"/>
        </w:rPr>
      </w:pPr>
      <w:r w:rsidRPr="001606DC">
        <w:rPr>
          <w:rStyle w:val="Heading4Char"/>
          <w:b/>
          <w:bCs/>
          <w:i/>
          <w:iCs/>
          <w:szCs w:val="24"/>
        </w:rPr>
        <w:t>Civil Applications</w:t>
      </w:r>
    </w:p>
    <w:p w14:paraId="2F6F5D0A" w14:textId="39254B59" w:rsidR="007F03B8" w:rsidRDefault="001606DC" w:rsidP="00E712D7">
      <w:r>
        <w:t xml:space="preserve">The </w:t>
      </w:r>
      <w:r w:rsidR="007F03B8" w:rsidRPr="0049414D">
        <w:t xml:space="preserve">overall performance in civil applications remains very good with all civil benchmarks recorded as </w:t>
      </w:r>
      <w:r w:rsidR="00E712D7" w:rsidRPr="00E712D7">
        <w:t>‘better than’</w:t>
      </w:r>
      <w:r w:rsidR="00E712D7">
        <w:t xml:space="preserve"> </w:t>
      </w:r>
      <w:r w:rsidR="007F03B8" w:rsidRPr="0049414D">
        <w:t>over this reporting period.</w:t>
      </w:r>
    </w:p>
    <w:p w14:paraId="227C40BC" w14:textId="4D5C38CF" w:rsidR="001606DC" w:rsidRPr="001606DC" w:rsidRDefault="001606DC" w:rsidP="00BC526E">
      <w:pPr>
        <w:pStyle w:val="Heading4"/>
        <w:numPr>
          <w:ilvl w:val="0"/>
          <w:numId w:val="14"/>
        </w:numPr>
        <w:rPr>
          <w:b w:val="0"/>
          <w:bCs/>
          <w:szCs w:val="24"/>
        </w:rPr>
      </w:pPr>
      <w:r w:rsidRPr="001606DC">
        <w:rPr>
          <w:rStyle w:val="Heading3Char"/>
          <w:b/>
          <w:bCs/>
          <w:sz w:val="24"/>
        </w:rPr>
        <w:t>Criminal Applications</w:t>
      </w:r>
    </w:p>
    <w:p w14:paraId="53BB26DA" w14:textId="382D9BE9" w:rsidR="007F03B8" w:rsidRPr="00E712D7" w:rsidRDefault="001606DC" w:rsidP="00E712D7">
      <w:pPr>
        <w:spacing w:after="0"/>
        <w:rPr>
          <w:lang w:val="en-US"/>
        </w:rPr>
      </w:pPr>
      <w:r>
        <w:t xml:space="preserve">The overall performance in criminal applications </w:t>
      </w:r>
      <w:r w:rsidR="007F03B8" w:rsidRPr="00F3280C">
        <w:t xml:space="preserve">has been good, with all six benchmarks recorded as either </w:t>
      </w:r>
      <w:r w:rsidR="00E712D7">
        <w:t>‘better than’</w:t>
      </w:r>
      <w:r w:rsidR="00E712D7">
        <w:t xml:space="preserve"> </w:t>
      </w:r>
      <w:r w:rsidR="007F03B8" w:rsidRPr="00F3280C">
        <w:t xml:space="preserve">or </w:t>
      </w:r>
      <w:r w:rsidR="00E712D7">
        <w:t>‘m</w:t>
      </w:r>
      <w:r w:rsidR="007F03B8" w:rsidRPr="00F3280C">
        <w:t>et</w:t>
      </w:r>
      <w:r w:rsidR="00E712D7">
        <w:t>’</w:t>
      </w:r>
      <w:r w:rsidR="007F03B8" w:rsidRPr="00F3280C">
        <w:t xml:space="preserve"> in the </w:t>
      </w:r>
      <w:r w:rsidR="00605689">
        <w:t>three</w:t>
      </w:r>
      <w:r w:rsidR="007F03B8" w:rsidRPr="00F3280C">
        <w:t xml:space="preserve"> months. </w:t>
      </w:r>
      <w:r w:rsidR="007F03B8" w:rsidRPr="00F3280C">
        <w:rPr>
          <w:lang w:val="en-US"/>
        </w:rPr>
        <w:t>The average durations for solemn and summary criminal cases are a good indication of performance with both below the benchmarks.  Solemn was 5.8 days in December</w:t>
      </w:r>
      <w:r w:rsidR="00605689">
        <w:rPr>
          <w:lang w:val="en-US"/>
        </w:rPr>
        <w:t>,</w:t>
      </w:r>
      <w:r w:rsidR="007F03B8" w:rsidRPr="00F3280C">
        <w:rPr>
          <w:lang w:val="en-US"/>
        </w:rPr>
        <w:t xml:space="preserve"> compared to the 6.0 days benchmark, with Summary at 7.9 days, compared to the 9.0 days benchmark. We have less control over the other benchmarks as they are largely dependent on the quality of applications</w:t>
      </w:r>
      <w:r w:rsidR="00605689">
        <w:rPr>
          <w:lang w:val="en-US"/>
        </w:rPr>
        <w:t xml:space="preserve"> initially</w:t>
      </w:r>
      <w:r w:rsidR="007F03B8" w:rsidRPr="00F3280C">
        <w:rPr>
          <w:lang w:val="en-US"/>
        </w:rPr>
        <w:t xml:space="preserve"> submitted</w:t>
      </w:r>
      <w:r w:rsidR="007F03B8" w:rsidRPr="00B748A2">
        <w:rPr>
          <w:lang w:val="en-US"/>
        </w:rPr>
        <w:t>.</w:t>
      </w:r>
      <w:r w:rsidR="007F03B8" w:rsidRPr="64BF3010">
        <w:rPr>
          <w:lang w:val="en-US"/>
        </w:rPr>
        <w:t xml:space="preserve">  </w:t>
      </w:r>
    </w:p>
    <w:p w14:paraId="1CC2D460" w14:textId="26704D26" w:rsidR="001606DC" w:rsidRPr="001606DC" w:rsidRDefault="001606DC" w:rsidP="001606DC">
      <w:pPr>
        <w:pStyle w:val="Heading4"/>
        <w:numPr>
          <w:ilvl w:val="0"/>
          <w:numId w:val="14"/>
        </w:numPr>
        <w:rPr>
          <w:b w:val="0"/>
          <w:bCs/>
          <w:szCs w:val="24"/>
        </w:rPr>
      </w:pPr>
      <w:r w:rsidRPr="001606DC">
        <w:rPr>
          <w:rStyle w:val="Heading3Char"/>
          <w:b/>
          <w:bCs/>
          <w:sz w:val="24"/>
        </w:rPr>
        <w:t>Children’s Applications</w:t>
      </w:r>
    </w:p>
    <w:p w14:paraId="6E99FEAC" w14:textId="09D52594" w:rsidR="001606DC" w:rsidRPr="00E712D7" w:rsidRDefault="001606DC" w:rsidP="00E712D7">
      <w:pPr>
        <w:rPr>
          <w:lang w:val="en-US"/>
        </w:rPr>
      </w:pPr>
      <w:r>
        <w:t xml:space="preserve">The </w:t>
      </w:r>
      <w:r w:rsidR="00605689">
        <w:t>o</w:t>
      </w:r>
      <w:r w:rsidR="007F03B8" w:rsidRPr="0049414D">
        <w:t xml:space="preserve">verall performance in children’s applications remains very good, with all benchmarks recorded as </w:t>
      </w:r>
      <w:r w:rsidR="00605689">
        <w:t>‘better than’</w:t>
      </w:r>
      <w:r w:rsidR="007F03B8" w:rsidRPr="0049414D">
        <w:t>.</w:t>
      </w:r>
    </w:p>
    <w:p w14:paraId="1221AFD1" w14:textId="2738358E" w:rsidR="001606DC" w:rsidRDefault="001606DC" w:rsidP="00BC526E">
      <w:pPr>
        <w:pStyle w:val="Heading4"/>
        <w:numPr>
          <w:ilvl w:val="0"/>
          <w:numId w:val="14"/>
        </w:numPr>
      </w:pPr>
      <w:r>
        <w:t>Surveys and Quality</w:t>
      </w:r>
    </w:p>
    <w:p w14:paraId="77690AC6" w14:textId="17A2CB8A" w:rsidR="007F03B8" w:rsidRPr="007F03B8" w:rsidRDefault="007F03B8" w:rsidP="00E712D7">
      <w:pPr>
        <w:rPr>
          <w:lang w:val="en-US"/>
        </w:rPr>
      </w:pPr>
      <w:r w:rsidRPr="007F03B8">
        <w:rPr>
          <w:lang w:val="en-US"/>
        </w:rPr>
        <w:t xml:space="preserve">As reported in November, a customer satisfaction survey was carried out in October 2025. While completion rates remain low, </w:t>
      </w:r>
      <w:r w:rsidR="00D61268">
        <w:rPr>
          <w:lang w:val="en-US"/>
        </w:rPr>
        <w:t>around</w:t>
      </w:r>
      <w:r w:rsidRPr="007F03B8">
        <w:rPr>
          <w:lang w:val="en-US"/>
        </w:rPr>
        <w:t xml:space="preserve"> 11% have shown improvement and consistency in scores.</w:t>
      </w:r>
    </w:p>
    <w:p w14:paraId="13CF3FE6" w14:textId="77777777" w:rsidR="007F03B8" w:rsidRPr="007F03B8" w:rsidRDefault="007F03B8" w:rsidP="00E712D7">
      <w:pPr>
        <w:spacing w:line="257" w:lineRule="auto"/>
        <w:rPr>
          <w:rFonts w:ascii="Aptos" w:eastAsia="Aptos" w:hAnsi="Aptos" w:cs="Aptos"/>
          <w:szCs w:val="24"/>
        </w:rPr>
      </w:pPr>
      <w:r w:rsidRPr="007F03B8">
        <w:rPr>
          <w:rFonts w:ascii="Aptos" w:eastAsia="Aptos" w:hAnsi="Aptos" w:cs="Aptos"/>
          <w:szCs w:val="24"/>
        </w:rPr>
        <w:t>Satisfaction rates are:</w:t>
      </w:r>
    </w:p>
    <w:tbl>
      <w:tblPr>
        <w:tblStyle w:val="TableGrid"/>
        <w:tblW w:w="10464" w:type="dxa"/>
        <w:tblInd w:w="-5" w:type="dxa"/>
        <w:tblLook w:val="04A0" w:firstRow="1" w:lastRow="0" w:firstColumn="1" w:lastColumn="0" w:noHBand="0" w:noVBand="1"/>
      </w:tblPr>
      <w:tblGrid>
        <w:gridCol w:w="2552"/>
        <w:gridCol w:w="3969"/>
        <w:gridCol w:w="3943"/>
      </w:tblGrid>
      <w:tr w:rsidR="007F03B8" w14:paraId="522F3E8C" w14:textId="77777777" w:rsidTr="00F6472A">
        <w:tc>
          <w:tcPr>
            <w:tcW w:w="2552" w:type="dxa"/>
            <w:shd w:val="clear" w:color="auto" w:fill="A2D2FF"/>
          </w:tcPr>
          <w:p w14:paraId="10D318AC" w14:textId="753D4A21" w:rsidR="007F03B8" w:rsidRPr="00A30E64" w:rsidRDefault="00A30E64" w:rsidP="007F03B8">
            <w:pPr>
              <w:spacing w:line="257" w:lineRule="auto"/>
              <w:rPr>
                <w:rFonts w:ascii="Aptos" w:eastAsia="Aptos" w:hAnsi="Aptos" w:cs="Aptos"/>
                <w:b/>
                <w:bCs/>
                <w:szCs w:val="24"/>
              </w:rPr>
            </w:pPr>
            <w:r w:rsidRPr="00A30E64">
              <w:rPr>
                <w:rFonts w:ascii="Aptos" w:eastAsia="Aptos" w:hAnsi="Aptos" w:cs="Aptos"/>
                <w:b/>
                <w:bCs/>
                <w:szCs w:val="24"/>
              </w:rPr>
              <w:t>Application type</w:t>
            </w:r>
          </w:p>
        </w:tc>
        <w:tc>
          <w:tcPr>
            <w:tcW w:w="3969" w:type="dxa"/>
            <w:shd w:val="clear" w:color="auto" w:fill="A2D2FF"/>
          </w:tcPr>
          <w:p w14:paraId="0D664838" w14:textId="39387E8A" w:rsidR="007F03B8" w:rsidRPr="00AE7BB7" w:rsidRDefault="007F03B8" w:rsidP="00F6472A">
            <w:pPr>
              <w:spacing w:line="257" w:lineRule="auto"/>
              <w:rPr>
                <w:rFonts w:ascii="Aptos" w:eastAsia="Aptos" w:hAnsi="Aptos" w:cs="Aptos"/>
                <w:b/>
                <w:bCs/>
                <w:szCs w:val="24"/>
              </w:rPr>
            </w:pPr>
            <w:r w:rsidRPr="00AE7BB7">
              <w:rPr>
                <w:rFonts w:ascii="Aptos" w:eastAsia="Aptos" w:hAnsi="Aptos" w:cs="Aptos"/>
                <w:b/>
                <w:bCs/>
                <w:szCs w:val="24"/>
              </w:rPr>
              <w:t>2024</w:t>
            </w:r>
            <w:r w:rsidR="00F6472A">
              <w:rPr>
                <w:rFonts w:ascii="Aptos" w:eastAsia="Aptos" w:hAnsi="Aptos" w:cs="Aptos"/>
                <w:b/>
                <w:bCs/>
                <w:szCs w:val="24"/>
              </w:rPr>
              <w:t xml:space="preserve"> percentage satisfaction</w:t>
            </w:r>
          </w:p>
        </w:tc>
        <w:tc>
          <w:tcPr>
            <w:tcW w:w="3943" w:type="dxa"/>
            <w:shd w:val="clear" w:color="auto" w:fill="A2D2FF"/>
          </w:tcPr>
          <w:p w14:paraId="27ED35A2" w14:textId="1C5ADC97" w:rsidR="007F03B8" w:rsidRPr="00AE7BB7" w:rsidRDefault="007F03B8" w:rsidP="00F6472A">
            <w:pPr>
              <w:spacing w:line="257" w:lineRule="auto"/>
              <w:rPr>
                <w:rFonts w:ascii="Aptos" w:eastAsia="Aptos" w:hAnsi="Aptos" w:cs="Aptos"/>
                <w:b/>
                <w:bCs/>
                <w:szCs w:val="24"/>
              </w:rPr>
            </w:pPr>
            <w:r w:rsidRPr="00AE7BB7">
              <w:rPr>
                <w:rFonts w:ascii="Aptos" w:eastAsia="Aptos" w:hAnsi="Aptos" w:cs="Aptos"/>
                <w:b/>
                <w:bCs/>
                <w:szCs w:val="24"/>
              </w:rPr>
              <w:t>2025</w:t>
            </w:r>
            <w:r w:rsidR="00F6472A">
              <w:rPr>
                <w:rFonts w:ascii="Aptos" w:eastAsia="Aptos" w:hAnsi="Aptos" w:cs="Aptos"/>
                <w:b/>
                <w:bCs/>
                <w:szCs w:val="24"/>
              </w:rPr>
              <w:t xml:space="preserve"> </w:t>
            </w:r>
            <w:r w:rsidR="00F6472A">
              <w:rPr>
                <w:rFonts w:ascii="Aptos" w:eastAsia="Aptos" w:hAnsi="Aptos" w:cs="Aptos"/>
                <w:b/>
                <w:bCs/>
                <w:szCs w:val="24"/>
              </w:rPr>
              <w:t>percentage satisfaction</w:t>
            </w:r>
          </w:p>
        </w:tc>
      </w:tr>
      <w:tr w:rsidR="007F03B8" w14:paraId="4B46B724" w14:textId="77777777" w:rsidTr="00F6472A">
        <w:tc>
          <w:tcPr>
            <w:tcW w:w="2552" w:type="dxa"/>
          </w:tcPr>
          <w:p w14:paraId="797F71A0" w14:textId="4B51C74D" w:rsidR="007F03B8" w:rsidRDefault="007F03B8" w:rsidP="007F03B8">
            <w:pPr>
              <w:spacing w:line="257" w:lineRule="auto"/>
              <w:rPr>
                <w:rFonts w:ascii="Aptos" w:eastAsia="Aptos" w:hAnsi="Aptos" w:cs="Aptos"/>
                <w:szCs w:val="24"/>
              </w:rPr>
            </w:pPr>
            <w:r>
              <w:rPr>
                <w:rFonts w:ascii="Aptos" w:eastAsia="Aptos" w:hAnsi="Aptos" w:cs="Aptos"/>
                <w:szCs w:val="24"/>
              </w:rPr>
              <w:t>C</w:t>
            </w:r>
            <w:r w:rsidRPr="00B828A0">
              <w:rPr>
                <w:rFonts w:ascii="Aptos" w:eastAsia="Aptos" w:hAnsi="Aptos" w:cs="Aptos"/>
                <w:szCs w:val="24"/>
              </w:rPr>
              <w:t xml:space="preserve">ivil </w:t>
            </w:r>
          </w:p>
        </w:tc>
        <w:tc>
          <w:tcPr>
            <w:tcW w:w="3969" w:type="dxa"/>
          </w:tcPr>
          <w:p w14:paraId="2936EF21" w14:textId="77777777" w:rsidR="007F03B8" w:rsidRDefault="007F03B8" w:rsidP="00F6472A">
            <w:pPr>
              <w:spacing w:line="257" w:lineRule="auto"/>
              <w:rPr>
                <w:rFonts w:ascii="Aptos" w:eastAsia="Aptos" w:hAnsi="Aptos" w:cs="Aptos"/>
                <w:szCs w:val="24"/>
              </w:rPr>
            </w:pPr>
            <w:r>
              <w:rPr>
                <w:rFonts w:ascii="Aptos" w:eastAsia="Aptos" w:hAnsi="Aptos" w:cs="Aptos"/>
                <w:szCs w:val="24"/>
              </w:rPr>
              <w:t>64%</w:t>
            </w:r>
          </w:p>
        </w:tc>
        <w:tc>
          <w:tcPr>
            <w:tcW w:w="3943" w:type="dxa"/>
          </w:tcPr>
          <w:p w14:paraId="3B807CF6" w14:textId="77777777" w:rsidR="007F03B8" w:rsidRDefault="007F03B8" w:rsidP="00F6472A">
            <w:pPr>
              <w:spacing w:line="257" w:lineRule="auto"/>
              <w:rPr>
                <w:rFonts w:ascii="Aptos" w:eastAsia="Aptos" w:hAnsi="Aptos" w:cs="Aptos"/>
                <w:szCs w:val="24"/>
              </w:rPr>
            </w:pPr>
            <w:r>
              <w:rPr>
                <w:rFonts w:ascii="Aptos" w:eastAsia="Aptos" w:hAnsi="Aptos" w:cs="Aptos"/>
                <w:szCs w:val="24"/>
              </w:rPr>
              <w:t>78%</w:t>
            </w:r>
          </w:p>
        </w:tc>
      </w:tr>
      <w:tr w:rsidR="007F03B8" w14:paraId="5B9C8D8F" w14:textId="77777777" w:rsidTr="00F6472A">
        <w:tc>
          <w:tcPr>
            <w:tcW w:w="2552" w:type="dxa"/>
          </w:tcPr>
          <w:p w14:paraId="72ECCEBF" w14:textId="10FF0F07" w:rsidR="007F03B8" w:rsidRDefault="007F03B8" w:rsidP="007F03B8">
            <w:pPr>
              <w:spacing w:line="257" w:lineRule="auto"/>
              <w:rPr>
                <w:rFonts w:ascii="Aptos" w:eastAsia="Aptos" w:hAnsi="Aptos" w:cs="Aptos"/>
                <w:szCs w:val="24"/>
              </w:rPr>
            </w:pPr>
            <w:r>
              <w:rPr>
                <w:rFonts w:ascii="Aptos" w:eastAsia="Aptos" w:hAnsi="Aptos" w:cs="Aptos"/>
                <w:szCs w:val="24"/>
              </w:rPr>
              <w:t>C</w:t>
            </w:r>
            <w:r w:rsidRPr="00B828A0">
              <w:rPr>
                <w:rFonts w:ascii="Aptos" w:eastAsia="Aptos" w:hAnsi="Aptos" w:cs="Aptos"/>
                <w:szCs w:val="24"/>
              </w:rPr>
              <w:t xml:space="preserve">riminal </w:t>
            </w:r>
          </w:p>
        </w:tc>
        <w:tc>
          <w:tcPr>
            <w:tcW w:w="3969" w:type="dxa"/>
          </w:tcPr>
          <w:p w14:paraId="01C45A18" w14:textId="77777777" w:rsidR="007F03B8" w:rsidRDefault="007F03B8" w:rsidP="00F6472A">
            <w:pPr>
              <w:spacing w:line="257" w:lineRule="auto"/>
              <w:rPr>
                <w:rFonts w:ascii="Aptos" w:eastAsia="Aptos" w:hAnsi="Aptos" w:cs="Aptos"/>
                <w:szCs w:val="24"/>
              </w:rPr>
            </w:pPr>
            <w:r>
              <w:rPr>
                <w:rFonts w:ascii="Aptos" w:eastAsia="Aptos" w:hAnsi="Aptos" w:cs="Aptos"/>
                <w:szCs w:val="24"/>
              </w:rPr>
              <w:t>67%</w:t>
            </w:r>
          </w:p>
        </w:tc>
        <w:tc>
          <w:tcPr>
            <w:tcW w:w="3943" w:type="dxa"/>
          </w:tcPr>
          <w:p w14:paraId="64C102FD" w14:textId="77777777" w:rsidR="007F03B8" w:rsidRDefault="007F03B8" w:rsidP="00F6472A">
            <w:pPr>
              <w:spacing w:line="257" w:lineRule="auto"/>
              <w:rPr>
                <w:rFonts w:ascii="Aptos" w:eastAsia="Aptos" w:hAnsi="Aptos" w:cs="Aptos"/>
                <w:szCs w:val="24"/>
              </w:rPr>
            </w:pPr>
            <w:r>
              <w:rPr>
                <w:rFonts w:ascii="Aptos" w:eastAsia="Aptos" w:hAnsi="Aptos" w:cs="Aptos"/>
                <w:szCs w:val="24"/>
              </w:rPr>
              <w:t>68%</w:t>
            </w:r>
          </w:p>
        </w:tc>
      </w:tr>
      <w:tr w:rsidR="007F03B8" w14:paraId="64C4E98E" w14:textId="77777777" w:rsidTr="00F6472A">
        <w:tc>
          <w:tcPr>
            <w:tcW w:w="2552" w:type="dxa"/>
          </w:tcPr>
          <w:p w14:paraId="1FEF9C24" w14:textId="23F02F93" w:rsidR="007F03B8" w:rsidRDefault="007F03B8" w:rsidP="007F03B8">
            <w:pPr>
              <w:spacing w:line="257" w:lineRule="auto"/>
              <w:rPr>
                <w:rFonts w:ascii="Aptos" w:eastAsia="Aptos" w:hAnsi="Aptos" w:cs="Aptos"/>
                <w:szCs w:val="24"/>
              </w:rPr>
            </w:pPr>
            <w:r>
              <w:rPr>
                <w:rFonts w:ascii="Aptos" w:eastAsia="Aptos" w:hAnsi="Aptos" w:cs="Aptos"/>
                <w:szCs w:val="24"/>
              </w:rPr>
              <w:t>C</w:t>
            </w:r>
            <w:r w:rsidRPr="00B828A0">
              <w:rPr>
                <w:rFonts w:ascii="Aptos" w:eastAsia="Aptos" w:hAnsi="Aptos" w:cs="Aptos"/>
                <w:szCs w:val="24"/>
              </w:rPr>
              <w:t>hildren’s</w:t>
            </w:r>
            <w:r>
              <w:rPr>
                <w:rFonts w:ascii="Aptos" w:eastAsia="Aptos" w:hAnsi="Aptos" w:cs="Aptos"/>
                <w:szCs w:val="24"/>
              </w:rPr>
              <w:t xml:space="preserve"> </w:t>
            </w:r>
          </w:p>
        </w:tc>
        <w:tc>
          <w:tcPr>
            <w:tcW w:w="3969" w:type="dxa"/>
          </w:tcPr>
          <w:p w14:paraId="4645C7DA" w14:textId="77777777" w:rsidR="007F03B8" w:rsidRDefault="007F03B8" w:rsidP="00F6472A">
            <w:pPr>
              <w:spacing w:line="257" w:lineRule="auto"/>
              <w:rPr>
                <w:rFonts w:ascii="Aptos" w:eastAsia="Aptos" w:hAnsi="Aptos" w:cs="Aptos"/>
                <w:szCs w:val="24"/>
              </w:rPr>
            </w:pPr>
            <w:r>
              <w:rPr>
                <w:rFonts w:ascii="Aptos" w:eastAsia="Aptos" w:hAnsi="Aptos" w:cs="Aptos"/>
                <w:szCs w:val="24"/>
              </w:rPr>
              <w:t>80%</w:t>
            </w:r>
          </w:p>
        </w:tc>
        <w:tc>
          <w:tcPr>
            <w:tcW w:w="3943" w:type="dxa"/>
          </w:tcPr>
          <w:p w14:paraId="7E10C790" w14:textId="77777777" w:rsidR="007F03B8" w:rsidRDefault="007F03B8" w:rsidP="00F6472A">
            <w:pPr>
              <w:spacing w:line="257" w:lineRule="auto"/>
              <w:rPr>
                <w:rFonts w:ascii="Aptos" w:eastAsia="Aptos" w:hAnsi="Aptos" w:cs="Aptos"/>
                <w:szCs w:val="24"/>
              </w:rPr>
            </w:pPr>
            <w:r>
              <w:rPr>
                <w:rFonts w:ascii="Aptos" w:eastAsia="Aptos" w:hAnsi="Aptos" w:cs="Aptos"/>
                <w:szCs w:val="24"/>
              </w:rPr>
              <w:t>80%</w:t>
            </w:r>
          </w:p>
        </w:tc>
      </w:tr>
    </w:tbl>
    <w:p w14:paraId="5DC6CCBC" w14:textId="78D4B445" w:rsidR="007F03B8" w:rsidRPr="007F03B8" w:rsidRDefault="00E712D7" w:rsidP="00E712D7">
      <w:pPr>
        <w:spacing w:line="257" w:lineRule="auto"/>
        <w:rPr>
          <w:rFonts w:ascii="Aptos" w:eastAsia="Aptos" w:hAnsi="Aptos" w:cs="Aptos"/>
          <w:szCs w:val="24"/>
        </w:rPr>
      </w:pPr>
      <w:r>
        <w:rPr>
          <w:rFonts w:ascii="Aptos" w:eastAsia="Aptos" w:hAnsi="Aptos" w:cs="Aptos"/>
          <w:szCs w:val="24"/>
        </w:rPr>
        <w:br/>
      </w:r>
      <w:r w:rsidR="007F03B8" w:rsidRPr="007F03B8">
        <w:rPr>
          <w:rFonts w:ascii="Aptos" w:eastAsia="Aptos" w:hAnsi="Aptos" w:cs="Aptos"/>
          <w:szCs w:val="24"/>
        </w:rPr>
        <w:t>The survey also provided free text comments that have been shared with the team to celebrate success and will support business plan priorities for the coming year. Below are some examples:</w:t>
      </w:r>
    </w:p>
    <w:p w14:paraId="201A7844" w14:textId="3EA793E0" w:rsidR="00EE2577" w:rsidRPr="00824623" w:rsidRDefault="007F03B8" w:rsidP="00E712D7">
      <w:pPr>
        <w:pStyle w:val="IntenseQuote"/>
        <w:ind w:left="0"/>
        <w:rPr>
          <w:i/>
          <w:iCs/>
          <w:sz w:val="26"/>
          <w:szCs w:val="26"/>
          <w:lang w:eastAsia="en-GB"/>
        </w:rPr>
      </w:pPr>
      <w:r w:rsidRPr="00824623">
        <w:rPr>
          <w:i/>
          <w:iCs/>
          <w:sz w:val="26"/>
          <w:szCs w:val="26"/>
          <w:lang w:eastAsia="en-GB"/>
        </w:rPr>
        <w:t xml:space="preserve">“I find all my queries are answered promptly and when calling for advice, the call </w:t>
      </w:r>
      <w:r w:rsidR="00824623" w:rsidRPr="00824623">
        <w:rPr>
          <w:i/>
          <w:iCs/>
          <w:sz w:val="26"/>
          <w:szCs w:val="26"/>
          <w:lang w:eastAsia="en-GB"/>
        </w:rPr>
        <w:t>h</w:t>
      </w:r>
      <w:r w:rsidRPr="00824623">
        <w:rPr>
          <w:i/>
          <w:iCs/>
          <w:sz w:val="26"/>
          <w:szCs w:val="26"/>
          <w:lang w:eastAsia="en-GB"/>
        </w:rPr>
        <w:t>andlers are extremely helpful and friendly. I have not experienced any difficulties with criminal applications in the last three months.” </w:t>
      </w:r>
    </w:p>
    <w:p w14:paraId="336AB959" w14:textId="5F49C397" w:rsidR="00EE2577" w:rsidRPr="00824623" w:rsidRDefault="00EE2577" w:rsidP="00E712D7">
      <w:pPr>
        <w:pStyle w:val="IntenseQuote"/>
        <w:ind w:left="0"/>
        <w:rPr>
          <w:i/>
          <w:iCs/>
          <w:sz w:val="26"/>
          <w:szCs w:val="26"/>
          <w:lang w:eastAsia="en-GB"/>
        </w:rPr>
      </w:pPr>
      <w:r w:rsidRPr="00824623">
        <w:rPr>
          <w:i/>
          <w:iCs/>
          <w:sz w:val="26"/>
          <w:szCs w:val="26"/>
        </w:rPr>
        <w:t>“</w:t>
      </w:r>
      <w:r w:rsidRPr="00824623">
        <w:rPr>
          <w:i/>
          <w:iCs/>
          <w:sz w:val="26"/>
          <w:szCs w:val="26"/>
          <w:lang w:eastAsia="en-GB"/>
        </w:rPr>
        <w:t>The department does not pick up the phone and calls go to answer phone. Urgent requests are therefore difficult to make.”</w:t>
      </w:r>
    </w:p>
    <w:p w14:paraId="0E49EF0C" w14:textId="77777777" w:rsidR="00E712D7" w:rsidRPr="00824623" w:rsidRDefault="007F03B8" w:rsidP="00E712D7">
      <w:pPr>
        <w:pStyle w:val="IntenseQuote"/>
        <w:ind w:left="0"/>
        <w:rPr>
          <w:i/>
          <w:iCs/>
          <w:sz w:val="26"/>
          <w:szCs w:val="26"/>
          <w:lang w:eastAsia="en-GB"/>
        </w:rPr>
      </w:pPr>
      <w:r w:rsidRPr="00824623">
        <w:rPr>
          <w:i/>
          <w:iCs/>
          <w:sz w:val="26"/>
          <w:szCs w:val="26"/>
          <w:lang w:eastAsia="en-GB"/>
        </w:rPr>
        <w:t>“I think in general there has been a huge improvement in relations between SLAB and the profession. There are still niggling minor issues, especially with ABWOR, but in general things are going in the right direction.” </w:t>
      </w:r>
    </w:p>
    <w:p w14:paraId="4C9677E2" w14:textId="0E6E1759" w:rsidR="00E712D7" w:rsidRPr="00824623" w:rsidRDefault="007F03B8" w:rsidP="00E712D7">
      <w:pPr>
        <w:pStyle w:val="IntenseQuote"/>
        <w:ind w:left="0"/>
        <w:rPr>
          <w:rStyle w:val="normaltextrun"/>
          <w:rFonts w:ascii="Aptos" w:hAnsi="Aptos"/>
          <w:i/>
          <w:iCs/>
          <w:sz w:val="26"/>
          <w:szCs w:val="26"/>
          <w:shd w:val="clear" w:color="auto" w:fill="FFFFFF"/>
        </w:rPr>
      </w:pPr>
      <w:r w:rsidRPr="00824623">
        <w:rPr>
          <w:rStyle w:val="normaltextrun"/>
          <w:rFonts w:ascii="Aptos" w:hAnsi="Aptos"/>
          <w:i/>
          <w:iCs/>
          <w:sz w:val="26"/>
          <w:szCs w:val="26"/>
          <w:shd w:val="clear" w:color="auto" w:fill="FFFFFF"/>
        </w:rPr>
        <w:lastRenderedPageBreak/>
        <w:t>“Could the Legal Aid Online be changed so that if you change the solicitor on an entry from the nominated Solicitor</w:t>
      </w:r>
      <w:r w:rsidR="00824623">
        <w:rPr>
          <w:rStyle w:val="normaltextrun"/>
          <w:rFonts w:ascii="Aptos" w:hAnsi="Aptos"/>
          <w:i/>
          <w:iCs/>
          <w:sz w:val="26"/>
          <w:szCs w:val="26"/>
          <w:shd w:val="clear" w:color="auto" w:fill="FFFFFF"/>
        </w:rPr>
        <w:t xml:space="preserve"> – </w:t>
      </w:r>
      <w:r w:rsidRPr="00824623">
        <w:rPr>
          <w:rStyle w:val="normaltextrun"/>
          <w:rFonts w:ascii="Aptos" w:hAnsi="Aptos"/>
          <w:i/>
          <w:iCs/>
          <w:sz w:val="26"/>
          <w:szCs w:val="26"/>
          <w:shd w:val="clear" w:color="auto" w:fill="FFFFFF"/>
        </w:rPr>
        <w:t xml:space="preserve">who is automatically selected </w:t>
      </w:r>
      <w:r w:rsidR="00824623">
        <w:rPr>
          <w:rStyle w:val="normaltextrun"/>
          <w:rFonts w:ascii="Aptos" w:hAnsi="Aptos"/>
          <w:i/>
          <w:iCs/>
          <w:sz w:val="26"/>
          <w:szCs w:val="26"/>
          <w:shd w:val="clear" w:color="auto" w:fill="FFFFFF"/>
        </w:rPr>
        <w:t>–</w:t>
      </w:r>
      <w:r w:rsidRPr="00824623">
        <w:rPr>
          <w:rStyle w:val="normaltextrun"/>
          <w:rFonts w:ascii="Aptos" w:hAnsi="Aptos"/>
          <w:i/>
          <w:iCs/>
          <w:sz w:val="26"/>
          <w:szCs w:val="26"/>
          <w:shd w:val="clear" w:color="auto" w:fill="FFFFFF"/>
        </w:rPr>
        <w:t xml:space="preserve"> then the Solicitor who you change it to is automatically selected for the next entry?”</w:t>
      </w:r>
      <w:r w:rsidRPr="00824623">
        <w:rPr>
          <w:rStyle w:val="eop"/>
          <w:rFonts w:ascii="Aptos" w:hAnsi="Aptos"/>
          <w:i/>
          <w:iCs/>
          <w:sz w:val="26"/>
          <w:szCs w:val="26"/>
          <w:shd w:val="clear" w:color="auto" w:fill="FFFFFF"/>
        </w:rPr>
        <w:t> </w:t>
      </w:r>
      <w:r w:rsidR="00824623">
        <w:rPr>
          <w:rStyle w:val="eop"/>
          <w:rFonts w:ascii="Aptos" w:hAnsi="Aptos"/>
          <w:i/>
          <w:iCs/>
          <w:sz w:val="26"/>
          <w:szCs w:val="26"/>
          <w:shd w:val="clear" w:color="auto" w:fill="FFFFFF"/>
        </w:rPr>
        <w:t xml:space="preserve"> </w:t>
      </w:r>
    </w:p>
    <w:p w14:paraId="54E875A8" w14:textId="423D814E" w:rsidR="007F03B8" w:rsidRPr="00824623" w:rsidRDefault="007F03B8" w:rsidP="00E712D7">
      <w:pPr>
        <w:pStyle w:val="IntenseQuote"/>
        <w:ind w:left="0"/>
        <w:rPr>
          <w:rFonts w:ascii="Aptos" w:hAnsi="Aptos"/>
          <w:i/>
          <w:iCs/>
          <w:sz w:val="26"/>
          <w:szCs w:val="26"/>
          <w:shd w:val="clear" w:color="auto" w:fill="FFFFFF"/>
        </w:rPr>
      </w:pPr>
      <w:r w:rsidRPr="00824623">
        <w:rPr>
          <w:rStyle w:val="normaltextrun"/>
          <w:rFonts w:ascii="Aptos" w:hAnsi="Aptos"/>
          <w:i/>
          <w:iCs/>
          <w:sz w:val="26"/>
          <w:szCs w:val="26"/>
          <w:shd w:val="clear" w:color="auto" w:fill="FFFFFF"/>
        </w:rPr>
        <w:t>“For an AWI, I submitted a case report to explain why I consider it appropriate to proceed with an application for guardianship of her son, despite an unfavourable MHO report. The application was considered quickly and the application upheld, allowing me to proceed with urgency to raise and seek interim orders from the court.”</w:t>
      </w:r>
    </w:p>
    <w:p w14:paraId="2FE1E90E" w14:textId="77777777" w:rsidR="001606DC" w:rsidRPr="00273E5D" w:rsidRDefault="001606DC" w:rsidP="00273E5D">
      <w:pPr>
        <w:pStyle w:val="Heading3"/>
      </w:pPr>
      <w:r w:rsidRPr="00273E5D">
        <w:t xml:space="preserve">Accounts Performance </w:t>
      </w:r>
    </w:p>
    <w:p w14:paraId="08B68B31" w14:textId="3AE428F3" w:rsidR="001606DC" w:rsidRDefault="001606DC" w:rsidP="00BC526E">
      <w:pPr>
        <w:pStyle w:val="Heading4"/>
        <w:numPr>
          <w:ilvl w:val="0"/>
          <w:numId w:val="14"/>
        </w:numPr>
      </w:pPr>
      <w:r>
        <w:t>Civil Accounts</w:t>
      </w:r>
    </w:p>
    <w:p w14:paraId="45609103" w14:textId="77777777" w:rsidR="00C70294" w:rsidRDefault="001606DC" w:rsidP="00824623">
      <w:pPr>
        <w:spacing w:line="257" w:lineRule="auto"/>
        <w:rPr>
          <w:rFonts w:ascii="Aptos" w:eastAsia="Aptos" w:hAnsi="Aptos" w:cs="Aptos"/>
          <w:color w:val="000000" w:themeColor="text1"/>
          <w:szCs w:val="24"/>
        </w:rPr>
      </w:pPr>
      <w:r>
        <w:t xml:space="preserve">The overall performance of civil </w:t>
      </w:r>
      <w:r w:rsidR="002854DB">
        <w:t xml:space="preserve">accounts </w:t>
      </w:r>
      <w:r w:rsidR="00C70294" w:rsidRPr="00857CA8">
        <w:rPr>
          <w:rFonts w:ascii="Aptos" w:eastAsia="Aptos" w:hAnsi="Aptos" w:cs="Aptos"/>
          <w:color w:val="000000" w:themeColor="text1"/>
          <w:szCs w:val="24"/>
        </w:rPr>
        <w:t>remains the same as last reported with two of the five reported as ‘met’ benchmark and the other three reported as ‘worse than’ benchmark.</w:t>
      </w:r>
    </w:p>
    <w:p w14:paraId="79D7AD74" w14:textId="2987454C" w:rsidR="001606DC" w:rsidRDefault="00C70294" w:rsidP="00824623">
      <w:pPr>
        <w:spacing w:line="257" w:lineRule="auto"/>
      </w:pPr>
      <w:r>
        <w:rPr>
          <w:rFonts w:ascii="Aptos" w:eastAsia="Aptos" w:hAnsi="Aptos" w:cs="Aptos"/>
          <w:color w:val="000000" w:themeColor="text1"/>
          <w:szCs w:val="24"/>
        </w:rPr>
        <w:t xml:space="preserve">As reported in November, we identified a systems issue that has meant we are having to pay older accounts where no task was </w:t>
      </w:r>
      <w:r w:rsidRPr="00B43C6B">
        <w:rPr>
          <w:rFonts w:ascii="Aptos" w:eastAsia="Aptos" w:hAnsi="Aptos" w:cs="Aptos"/>
          <w:color w:val="000000" w:themeColor="text1"/>
          <w:szCs w:val="24"/>
        </w:rPr>
        <w:t>created. This is impacting negotiations for all three legal assistance types. We are confident that performance will start to improve as we clear the remaining accounts that are impacted by this.</w:t>
      </w:r>
    </w:p>
    <w:p w14:paraId="62263951" w14:textId="25E5517C" w:rsidR="001606DC" w:rsidRDefault="001606DC" w:rsidP="001606DC">
      <w:pPr>
        <w:pStyle w:val="Heading4"/>
        <w:numPr>
          <w:ilvl w:val="0"/>
          <w:numId w:val="14"/>
        </w:numPr>
      </w:pPr>
      <w:r>
        <w:t>Criminal Accounts</w:t>
      </w:r>
    </w:p>
    <w:p w14:paraId="6DFC8C66" w14:textId="77777777" w:rsidR="00026711" w:rsidRPr="006F526F" w:rsidRDefault="001606DC" w:rsidP="00824623">
      <w:pPr>
        <w:spacing w:line="257" w:lineRule="auto"/>
      </w:pPr>
      <w:r>
        <w:t xml:space="preserve">The overall performance in criminal accounts </w:t>
      </w:r>
      <w:r w:rsidR="00026711" w:rsidRPr="006F526F">
        <w:rPr>
          <w:rFonts w:ascii="Aptos" w:eastAsia="Aptos" w:hAnsi="Aptos" w:cs="Aptos"/>
          <w:szCs w:val="24"/>
        </w:rPr>
        <w:t xml:space="preserve">has remained very good with seven reported as ‘met’ benchmark and two ‘worse than’ benchmark.  </w:t>
      </w:r>
    </w:p>
    <w:p w14:paraId="09633129" w14:textId="3E143946" w:rsidR="00026711" w:rsidRPr="00824623" w:rsidRDefault="00026711" w:rsidP="00824623">
      <w:pPr>
        <w:spacing w:after="0"/>
        <w:rPr>
          <w:rFonts w:ascii="Aptos" w:eastAsia="Aptos" w:hAnsi="Aptos" w:cs="Aptos"/>
          <w:szCs w:val="24"/>
        </w:rPr>
      </w:pPr>
      <w:r w:rsidRPr="006F526F">
        <w:rPr>
          <w:rFonts w:ascii="Aptos" w:eastAsia="Aptos" w:hAnsi="Aptos" w:cs="Aptos"/>
          <w:szCs w:val="24"/>
        </w:rPr>
        <w:t>Negotiations is the one being reported as ‘worse than’ due to the same issues noted above</w:t>
      </w:r>
      <w:r w:rsidR="00F72EA8">
        <w:rPr>
          <w:rFonts w:ascii="Aptos" w:eastAsia="Aptos" w:hAnsi="Aptos" w:cs="Aptos"/>
          <w:szCs w:val="24"/>
        </w:rPr>
        <w:t xml:space="preserve">. </w:t>
      </w:r>
    </w:p>
    <w:p w14:paraId="477A3265" w14:textId="2CA8D6DB" w:rsidR="001606DC" w:rsidRDefault="001606DC" w:rsidP="00BC526E">
      <w:pPr>
        <w:pStyle w:val="Heading4"/>
        <w:numPr>
          <w:ilvl w:val="0"/>
          <w:numId w:val="14"/>
        </w:numPr>
      </w:pPr>
      <w:r>
        <w:t>Children’s Accounts</w:t>
      </w:r>
    </w:p>
    <w:p w14:paraId="74D8CB78" w14:textId="77777777" w:rsidR="009E419A" w:rsidRPr="006F526F" w:rsidRDefault="001606DC" w:rsidP="00824623">
      <w:pPr>
        <w:spacing w:line="257" w:lineRule="auto"/>
      </w:pPr>
      <w:r>
        <w:t xml:space="preserve">The overall performance of children’s accounts </w:t>
      </w:r>
      <w:r w:rsidR="009E419A" w:rsidRPr="006F526F">
        <w:t>remains very good with three reported as ‘better than’ benchmark, one reported as ‘met’ benchmark and one ‘worse than’ benchmark.</w:t>
      </w:r>
    </w:p>
    <w:p w14:paraId="402D19F7" w14:textId="74BDC45F" w:rsidR="001606DC" w:rsidRPr="00824623" w:rsidRDefault="009E419A" w:rsidP="00824623">
      <w:pPr>
        <w:spacing w:line="257" w:lineRule="auto"/>
        <w:rPr>
          <w:rFonts w:ascii="Aptos" w:eastAsia="Aptos" w:hAnsi="Aptos" w:cs="Aptos"/>
          <w:szCs w:val="24"/>
        </w:rPr>
      </w:pPr>
      <w:r w:rsidRPr="006F526F">
        <w:rPr>
          <w:rFonts w:ascii="Aptos" w:eastAsia="Aptos" w:hAnsi="Aptos" w:cs="Aptos"/>
          <w:szCs w:val="24"/>
        </w:rPr>
        <w:t xml:space="preserve">Negotiations is the one being reported as ‘worse than’ </w:t>
      </w:r>
      <w:r w:rsidR="00F72EA8" w:rsidRPr="006F526F">
        <w:rPr>
          <w:rFonts w:ascii="Aptos" w:eastAsia="Aptos" w:hAnsi="Aptos" w:cs="Aptos"/>
          <w:szCs w:val="24"/>
        </w:rPr>
        <w:t>due to the same issues noted above</w:t>
      </w:r>
      <w:r w:rsidR="00F72EA8">
        <w:rPr>
          <w:rFonts w:ascii="Aptos" w:eastAsia="Aptos" w:hAnsi="Aptos" w:cs="Aptos"/>
          <w:szCs w:val="24"/>
        </w:rPr>
        <w:t>.</w:t>
      </w:r>
    </w:p>
    <w:p w14:paraId="1D49F5A5" w14:textId="07975EC9" w:rsidR="001606DC" w:rsidRDefault="001606DC" w:rsidP="00BC526E">
      <w:pPr>
        <w:pStyle w:val="Heading4"/>
        <w:numPr>
          <w:ilvl w:val="0"/>
          <w:numId w:val="14"/>
        </w:numPr>
      </w:pPr>
      <w:r>
        <w:t>Surveys and Quality</w:t>
      </w:r>
    </w:p>
    <w:p w14:paraId="124E21B5" w14:textId="77777777" w:rsidR="004F20D8" w:rsidRPr="004F20D8" w:rsidRDefault="004F20D8" w:rsidP="00824623">
      <w:pPr>
        <w:rPr>
          <w:lang w:val="en-US"/>
        </w:rPr>
      </w:pPr>
      <w:r w:rsidRPr="004F20D8">
        <w:rPr>
          <w:lang w:val="en-US"/>
        </w:rPr>
        <w:t>As reported in November, a customer satisfaction survey was carried out in October 2025.  While completion rates remain low, circa 11%, they show improvement and provide useful insight.</w:t>
      </w:r>
    </w:p>
    <w:p w14:paraId="5A6FE535" w14:textId="77777777" w:rsidR="004F20D8" w:rsidRPr="004F20D8" w:rsidRDefault="004F20D8" w:rsidP="00824623">
      <w:pPr>
        <w:spacing w:line="257" w:lineRule="auto"/>
        <w:rPr>
          <w:rFonts w:ascii="Aptos" w:eastAsia="Aptos" w:hAnsi="Aptos" w:cs="Aptos"/>
          <w:szCs w:val="24"/>
        </w:rPr>
      </w:pPr>
      <w:r w:rsidRPr="004F20D8">
        <w:rPr>
          <w:rFonts w:ascii="Aptos" w:eastAsia="Aptos" w:hAnsi="Aptos" w:cs="Aptos"/>
          <w:szCs w:val="24"/>
        </w:rPr>
        <w:t>Satisfaction rates are:</w:t>
      </w:r>
    </w:p>
    <w:tbl>
      <w:tblPr>
        <w:tblStyle w:val="TableGrid"/>
        <w:tblW w:w="9923" w:type="dxa"/>
        <w:tblInd w:w="-5" w:type="dxa"/>
        <w:tblLook w:val="04A0" w:firstRow="1" w:lastRow="0" w:firstColumn="1" w:lastColumn="0" w:noHBand="0" w:noVBand="1"/>
      </w:tblPr>
      <w:tblGrid>
        <w:gridCol w:w="2694"/>
        <w:gridCol w:w="3402"/>
        <w:gridCol w:w="3827"/>
      </w:tblGrid>
      <w:tr w:rsidR="004F20D8" w:rsidRPr="00AE7BB7" w14:paraId="5F309B2F" w14:textId="77777777" w:rsidTr="00056820">
        <w:tc>
          <w:tcPr>
            <w:tcW w:w="2694" w:type="dxa"/>
          </w:tcPr>
          <w:p w14:paraId="11B914E6" w14:textId="13ED9B62" w:rsidR="004F20D8" w:rsidRPr="00056820" w:rsidRDefault="00056820" w:rsidP="004F20D8">
            <w:pPr>
              <w:spacing w:line="257" w:lineRule="auto"/>
              <w:rPr>
                <w:rFonts w:ascii="Aptos" w:eastAsia="Aptos" w:hAnsi="Aptos" w:cs="Aptos"/>
                <w:b/>
                <w:bCs/>
                <w:szCs w:val="24"/>
              </w:rPr>
            </w:pPr>
            <w:r w:rsidRPr="00056820">
              <w:rPr>
                <w:rFonts w:ascii="Aptos" w:eastAsia="Aptos" w:hAnsi="Aptos" w:cs="Aptos"/>
                <w:b/>
                <w:bCs/>
                <w:szCs w:val="24"/>
              </w:rPr>
              <w:t>Accounts type</w:t>
            </w:r>
          </w:p>
        </w:tc>
        <w:tc>
          <w:tcPr>
            <w:tcW w:w="3402" w:type="dxa"/>
          </w:tcPr>
          <w:p w14:paraId="04636B96" w14:textId="61034CF6" w:rsidR="004F20D8" w:rsidRPr="00AE7BB7" w:rsidRDefault="004F20D8" w:rsidP="00056820">
            <w:pPr>
              <w:spacing w:line="257" w:lineRule="auto"/>
              <w:rPr>
                <w:rFonts w:ascii="Aptos" w:eastAsia="Aptos" w:hAnsi="Aptos" w:cs="Aptos"/>
                <w:b/>
                <w:bCs/>
                <w:szCs w:val="24"/>
              </w:rPr>
            </w:pPr>
            <w:r w:rsidRPr="00AE7BB7">
              <w:rPr>
                <w:rFonts w:ascii="Aptos" w:eastAsia="Aptos" w:hAnsi="Aptos" w:cs="Aptos"/>
                <w:b/>
                <w:bCs/>
                <w:szCs w:val="24"/>
              </w:rPr>
              <w:t>2024</w:t>
            </w:r>
            <w:r w:rsidR="00056820">
              <w:rPr>
                <w:rFonts w:ascii="Aptos" w:eastAsia="Aptos" w:hAnsi="Aptos" w:cs="Aptos"/>
                <w:b/>
                <w:bCs/>
                <w:szCs w:val="24"/>
              </w:rPr>
              <w:t xml:space="preserve"> </w:t>
            </w:r>
            <w:r w:rsidR="00056820" w:rsidRPr="00056820">
              <w:rPr>
                <w:rFonts w:ascii="Aptos" w:eastAsia="Aptos" w:hAnsi="Aptos" w:cs="Aptos"/>
                <w:b/>
                <w:bCs/>
                <w:szCs w:val="24"/>
              </w:rPr>
              <w:t>percentage satisfaction</w:t>
            </w:r>
          </w:p>
        </w:tc>
        <w:tc>
          <w:tcPr>
            <w:tcW w:w="3827" w:type="dxa"/>
          </w:tcPr>
          <w:p w14:paraId="75231D86" w14:textId="79E992E9" w:rsidR="004F20D8" w:rsidRPr="00AE7BB7" w:rsidRDefault="004F20D8" w:rsidP="00056820">
            <w:pPr>
              <w:spacing w:line="257" w:lineRule="auto"/>
              <w:rPr>
                <w:rFonts w:ascii="Aptos" w:eastAsia="Aptos" w:hAnsi="Aptos" w:cs="Aptos"/>
                <w:b/>
                <w:bCs/>
                <w:szCs w:val="24"/>
              </w:rPr>
            </w:pPr>
            <w:r w:rsidRPr="00AE7BB7">
              <w:rPr>
                <w:rFonts w:ascii="Aptos" w:eastAsia="Aptos" w:hAnsi="Aptos" w:cs="Aptos"/>
                <w:b/>
                <w:bCs/>
                <w:szCs w:val="24"/>
              </w:rPr>
              <w:t>2025</w:t>
            </w:r>
            <w:r w:rsidR="00056820">
              <w:rPr>
                <w:rFonts w:ascii="Aptos" w:eastAsia="Aptos" w:hAnsi="Aptos" w:cs="Aptos"/>
                <w:b/>
                <w:bCs/>
                <w:szCs w:val="24"/>
              </w:rPr>
              <w:t xml:space="preserve"> </w:t>
            </w:r>
            <w:r w:rsidR="00056820">
              <w:rPr>
                <w:rFonts w:ascii="Aptos" w:eastAsia="Aptos" w:hAnsi="Aptos" w:cs="Aptos"/>
                <w:b/>
                <w:bCs/>
                <w:szCs w:val="24"/>
              </w:rPr>
              <w:t>percentage satisfaction</w:t>
            </w:r>
          </w:p>
        </w:tc>
      </w:tr>
      <w:tr w:rsidR="004F20D8" w14:paraId="58792920" w14:textId="77777777" w:rsidTr="00056820">
        <w:tc>
          <w:tcPr>
            <w:tcW w:w="2694" w:type="dxa"/>
          </w:tcPr>
          <w:p w14:paraId="66BE3D81" w14:textId="77777777" w:rsidR="004F20D8" w:rsidRDefault="004F20D8" w:rsidP="004F20D8">
            <w:pPr>
              <w:spacing w:line="257" w:lineRule="auto"/>
              <w:rPr>
                <w:rFonts w:ascii="Aptos" w:eastAsia="Aptos" w:hAnsi="Aptos" w:cs="Aptos"/>
                <w:szCs w:val="24"/>
              </w:rPr>
            </w:pPr>
            <w:r>
              <w:rPr>
                <w:rFonts w:ascii="Aptos" w:eastAsia="Aptos" w:hAnsi="Aptos" w:cs="Aptos"/>
                <w:szCs w:val="24"/>
              </w:rPr>
              <w:t>C</w:t>
            </w:r>
            <w:r w:rsidRPr="00B828A0">
              <w:rPr>
                <w:rFonts w:ascii="Aptos" w:eastAsia="Aptos" w:hAnsi="Aptos" w:cs="Aptos"/>
                <w:szCs w:val="24"/>
              </w:rPr>
              <w:t xml:space="preserve">ivil </w:t>
            </w:r>
            <w:r>
              <w:rPr>
                <w:rFonts w:ascii="Aptos" w:eastAsia="Aptos" w:hAnsi="Aptos" w:cs="Aptos"/>
                <w:szCs w:val="24"/>
              </w:rPr>
              <w:t>Accounts</w:t>
            </w:r>
          </w:p>
        </w:tc>
        <w:tc>
          <w:tcPr>
            <w:tcW w:w="3402" w:type="dxa"/>
          </w:tcPr>
          <w:p w14:paraId="2B4A5921" w14:textId="77777777" w:rsidR="004F20D8" w:rsidRDefault="004F20D8" w:rsidP="00056820">
            <w:pPr>
              <w:spacing w:line="257" w:lineRule="auto"/>
              <w:rPr>
                <w:rFonts w:ascii="Aptos" w:eastAsia="Aptos" w:hAnsi="Aptos" w:cs="Aptos"/>
                <w:szCs w:val="24"/>
              </w:rPr>
            </w:pPr>
            <w:r>
              <w:rPr>
                <w:rFonts w:ascii="Aptos" w:eastAsia="Aptos" w:hAnsi="Aptos" w:cs="Aptos"/>
                <w:szCs w:val="24"/>
              </w:rPr>
              <w:t>64%</w:t>
            </w:r>
          </w:p>
        </w:tc>
        <w:tc>
          <w:tcPr>
            <w:tcW w:w="3827" w:type="dxa"/>
          </w:tcPr>
          <w:p w14:paraId="5E4A039B" w14:textId="77777777" w:rsidR="004F20D8" w:rsidRDefault="004F20D8" w:rsidP="00056820">
            <w:pPr>
              <w:spacing w:line="257" w:lineRule="auto"/>
              <w:rPr>
                <w:rFonts w:ascii="Aptos" w:eastAsia="Aptos" w:hAnsi="Aptos" w:cs="Aptos"/>
                <w:szCs w:val="24"/>
              </w:rPr>
            </w:pPr>
            <w:r>
              <w:rPr>
                <w:rFonts w:ascii="Aptos" w:eastAsia="Aptos" w:hAnsi="Aptos" w:cs="Aptos"/>
                <w:szCs w:val="24"/>
              </w:rPr>
              <w:t>68%</w:t>
            </w:r>
          </w:p>
        </w:tc>
      </w:tr>
      <w:tr w:rsidR="004F20D8" w14:paraId="70661BC1" w14:textId="77777777" w:rsidTr="00056820">
        <w:tc>
          <w:tcPr>
            <w:tcW w:w="2694" w:type="dxa"/>
          </w:tcPr>
          <w:p w14:paraId="3B2B85F8" w14:textId="77777777" w:rsidR="004F20D8" w:rsidRDefault="004F20D8" w:rsidP="004F20D8">
            <w:pPr>
              <w:spacing w:line="257" w:lineRule="auto"/>
              <w:rPr>
                <w:rFonts w:ascii="Aptos" w:eastAsia="Aptos" w:hAnsi="Aptos" w:cs="Aptos"/>
                <w:szCs w:val="24"/>
              </w:rPr>
            </w:pPr>
            <w:r>
              <w:rPr>
                <w:rFonts w:ascii="Aptos" w:eastAsia="Aptos" w:hAnsi="Aptos" w:cs="Aptos"/>
                <w:szCs w:val="24"/>
              </w:rPr>
              <w:t>C</w:t>
            </w:r>
            <w:r w:rsidRPr="00B828A0">
              <w:rPr>
                <w:rFonts w:ascii="Aptos" w:eastAsia="Aptos" w:hAnsi="Aptos" w:cs="Aptos"/>
                <w:szCs w:val="24"/>
              </w:rPr>
              <w:t xml:space="preserve">riminal </w:t>
            </w:r>
            <w:r>
              <w:rPr>
                <w:rFonts w:ascii="Aptos" w:eastAsia="Aptos" w:hAnsi="Aptos" w:cs="Aptos"/>
                <w:szCs w:val="24"/>
              </w:rPr>
              <w:t>Accounts</w:t>
            </w:r>
          </w:p>
        </w:tc>
        <w:tc>
          <w:tcPr>
            <w:tcW w:w="3402" w:type="dxa"/>
          </w:tcPr>
          <w:p w14:paraId="0FBF50AA" w14:textId="77777777" w:rsidR="004F20D8" w:rsidRDefault="004F20D8" w:rsidP="00056820">
            <w:pPr>
              <w:spacing w:line="257" w:lineRule="auto"/>
              <w:rPr>
                <w:rFonts w:ascii="Aptos" w:eastAsia="Aptos" w:hAnsi="Aptos" w:cs="Aptos"/>
                <w:szCs w:val="24"/>
              </w:rPr>
            </w:pPr>
            <w:r>
              <w:rPr>
                <w:rFonts w:ascii="Aptos" w:eastAsia="Aptos" w:hAnsi="Aptos" w:cs="Aptos"/>
                <w:szCs w:val="24"/>
              </w:rPr>
              <w:t>64%</w:t>
            </w:r>
          </w:p>
        </w:tc>
        <w:tc>
          <w:tcPr>
            <w:tcW w:w="3827" w:type="dxa"/>
          </w:tcPr>
          <w:p w14:paraId="39864DDE" w14:textId="77777777" w:rsidR="004F20D8" w:rsidRDefault="004F20D8" w:rsidP="00056820">
            <w:pPr>
              <w:spacing w:line="257" w:lineRule="auto"/>
              <w:rPr>
                <w:rFonts w:ascii="Aptos" w:eastAsia="Aptos" w:hAnsi="Aptos" w:cs="Aptos"/>
                <w:szCs w:val="24"/>
              </w:rPr>
            </w:pPr>
            <w:r>
              <w:rPr>
                <w:rFonts w:ascii="Aptos" w:eastAsia="Aptos" w:hAnsi="Aptos" w:cs="Aptos"/>
                <w:szCs w:val="24"/>
              </w:rPr>
              <w:t>66%</w:t>
            </w:r>
          </w:p>
        </w:tc>
      </w:tr>
      <w:tr w:rsidR="004F20D8" w14:paraId="455724D2" w14:textId="77777777" w:rsidTr="00056820">
        <w:tc>
          <w:tcPr>
            <w:tcW w:w="2694" w:type="dxa"/>
          </w:tcPr>
          <w:p w14:paraId="1843C0B7" w14:textId="77777777" w:rsidR="004F20D8" w:rsidRDefault="004F20D8" w:rsidP="004F20D8">
            <w:pPr>
              <w:spacing w:line="257" w:lineRule="auto"/>
              <w:rPr>
                <w:rFonts w:ascii="Aptos" w:eastAsia="Aptos" w:hAnsi="Aptos" w:cs="Aptos"/>
                <w:szCs w:val="24"/>
              </w:rPr>
            </w:pPr>
            <w:r>
              <w:rPr>
                <w:rFonts w:ascii="Aptos" w:eastAsia="Aptos" w:hAnsi="Aptos" w:cs="Aptos"/>
                <w:szCs w:val="24"/>
              </w:rPr>
              <w:t>C</w:t>
            </w:r>
            <w:r w:rsidRPr="00B828A0">
              <w:rPr>
                <w:rFonts w:ascii="Aptos" w:eastAsia="Aptos" w:hAnsi="Aptos" w:cs="Aptos"/>
                <w:szCs w:val="24"/>
              </w:rPr>
              <w:t>hildren’s</w:t>
            </w:r>
            <w:r>
              <w:rPr>
                <w:rFonts w:ascii="Aptos" w:eastAsia="Aptos" w:hAnsi="Aptos" w:cs="Aptos"/>
                <w:szCs w:val="24"/>
              </w:rPr>
              <w:t xml:space="preserve"> Accounts</w:t>
            </w:r>
          </w:p>
        </w:tc>
        <w:tc>
          <w:tcPr>
            <w:tcW w:w="3402" w:type="dxa"/>
          </w:tcPr>
          <w:p w14:paraId="7A44DADC" w14:textId="181A0864" w:rsidR="004F20D8" w:rsidRPr="00056820" w:rsidRDefault="00056820" w:rsidP="00056820">
            <w:pPr>
              <w:spacing w:line="257" w:lineRule="auto"/>
              <w:ind w:left="360" w:hanging="360"/>
              <w:rPr>
                <w:rFonts w:ascii="Aptos" w:eastAsia="Aptos" w:hAnsi="Aptos" w:cs="Aptos"/>
                <w:szCs w:val="24"/>
              </w:rPr>
            </w:pPr>
            <w:r>
              <w:rPr>
                <w:rFonts w:ascii="Aptos" w:eastAsia="Aptos" w:hAnsi="Aptos" w:cs="Aptos"/>
                <w:szCs w:val="24"/>
              </w:rPr>
              <w:t xml:space="preserve">– </w:t>
            </w:r>
          </w:p>
        </w:tc>
        <w:tc>
          <w:tcPr>
            <w:tcW w:w="3827" w:type="dxa"/>
          </w:tcPr>
          <w:p w14:paraId="3E8D1478" w14:textId="77777777" w:rsidR="004F20D8" w:rsidRDefault="004F20D8" w:rsidP="00056820">
            <w:pPr>
              <w:spacing w:line="257" w:lineRule="auto"/>
              <w:rPr>
                <w:rFonts w:ascii="Aptos" w:eastAsia="Aptos" w:hAnsi="Aptos" w:cs="Aptos"/>
                <w:szCs w:val="24"/>
              </w:rPr>
            </w:pPr>
            <w:r>
              <w:rPr>
                <w:rFonts w:ascii="Aptos" w:eastAsia="Aptos" w:hAnsi="Aptos" w:cs="Aptos"/>
                <w:szCs w:val="24"/>
              </w:rPr>
              <w:t>75%</w:t>
            </w:r>
          </w:p>
        </w:tc>
      </w:tr>
    </w:tbl>
    <w:p w14:paraId="77409969" w14:textId="369E1AF8" w:rsidR="00FF61BB" w:rsidRDefault="00824623" w:rsidP="00824623">
      <w:pPr>
        <w:spacing w:line="257" w:lineRule="auto"/>
        <w:rPr>
          <w:rFonts w:ascii="Aptos" w:eastAsia="Aptos" w:hAnsi="Aptos" w:cs="Aptos"/>
          <w:szCs w:val="24"/>
        </w:rPr>
      </w:pPr>
      <w:r>
        <w:rPr>
          <w:rFonts w:ascii="Aptos" w:eastAsia="Aptos" w:hAnsi="Aptos" w:cs="Aptos"/>
          <w:szCs w:val="24"/>
        </w:rPr>
        <w:br/>
      </w:r>
      <w:r w:rsidR="00FF61BB" w:rsidRPr="007F03B8">
        <w:rPr>
          <w:rFonts w:ascii="Aptos" w:eastAsia="Aptos" w:hAnsi="Aptos" w:cs="Aptos"/>
          <w:szCs w:val="24"/>
        </w:rPr>
        <w:t xml:space="preserve">The survey also provided free text comments that have been shared with the team to celebrate success and will support business plan priorities for the coming year. </w:t>
      </w:r>
      <w:r w:rsidR="00056820" w:rsidRPr="00056820">
        <w:rPr>
          <w:rFonts w:ascii="Aptos" w:eastAsia="Aptos" w:hAnsi="Aptos" w:cs="Aptos"/>
          <w:szCs w:val="24"/>
        </w:rPr>
        <w:t>Below are some examples:</w:t>
      </w:r>
    </w:p>
    <w:p w14:paraId="5925B482" w14:textId="676D8BC7" w:rsidR="0053219F" w:rsidRPr="00056820" w:rsidRDefault="0053219F" w:rsidP="00056820">
      <w:pPr>
        <w:pStyle w:val="IntenseQuote"/>
        <w:ind w:left="0"/>
        <w:rPr>
          <w:rFonts w:eastAsia="Times New Roman" w:cs="Segoe UI"/>
          <w:i/>
          <w:iCs/>
          <w:kern w:val="0"/>
          <w:sz w:val="26"/>
          <w:szCs w:val="26"/>
          <w:lang w:eastAsia="en-GB"/>
          <w14:ligatures w14:val="none"/>
        </w:rPr>
      </w:pPr>
      <w:r w:rsidRPr="00056820">
        <w:rPr>
          <w:rFonts w:eastAsia="Times New Roman" w:cs="Segoe UI"/>
          <w:i/>
          <w:iCs/>
          <w:kern w:val="0"/>
          <w:sz w:val="26"/>
          <w:szCs w:val="26"/>
          <w:lang w:eastAsia="en-GB"/>
          <w14:ligatures w14:val="none"/>
        </w:rPr>
        <w:t xml:space="preserve">“Every account is abated no matter what. We are told that we cannot charge for </w:t>
      </w:r>
      <w:r w:rsidR="00056820">
        <w:rPr>
          <w:rFonts w:eastAsia="Times New Roman" w:cs="Segoe UI"/>
          <w:i/>
          <w:iCs/>
          <w:kern w:val="0"/>
          <w:sz w:val="26"/>
          <w:szCs w:val="26"/>
          <w:lang w:eastAsia="en-GB"/>
          <w14:ligatures w14:val="none"/>
        </w:rPr>
        <w:t>‘</w:t>
      </w:r>
      <w:r w:rsidRPr="00056820">
        <w:rPr>
          <w:rFonts w:eastAsia="Times New Roman" w:cs="Segoe UI"/>
          <w:i/>
          <w:iCs/>
          <w:kern w:val="0"/>
          <w:sz w:val="26"/>
          <w:szCs w:val="26"/>
          <w:lang w:eastAsia="en-GB"/>
          <w14:ligatures w14:val="none"/>
        </w:rPr>
        <w:t>admin</w:t>
      </w:r>
      <w:r w:rsidR="00056820">
        <w:rPr>
          <w:rFonts w:eastAsia="Times New Roman" w:cs="Segoe UI"/>
          <w:i/>
          <w:iCs/>
          <w:kern w:val="0"/>
          <w:sz w:val="26"/>
          <w:szCs w:val="26"/>
          <w:lang w:eastAsia="en-GB"/>
          <w14:ligatures w14:val="none"/>
        </w:rPr>
        <w:t>’</w:t>
      </w:r>
      <w:r w:rsidRPr="00056820">
        <w:rPr>
          <w:rFonts w:eastAsia="Times New Roman" w:cs="Segoe UI"/>
          <w:i/>
          <w:iCs/>
          <w:kern w:val="0"/>
          <w:sz w:val="26"/>
          <w:szCs w:val="26"/>
          <w:lang w:eastAsia="en-GB"/>
          <w14:ligatures w14:val="none"/>
        </w:rPr>
        <w:t xml:space="preserve"> despite the work done being necessary to carry out our duties not only to the client but to the courts and to SCRA and the hearing system. The system is broken and needs overhauled rather than sticking plasters being applied.” </w:t>
      </w:r>
    </w:p>
    <w:p w14:paraId="5E9B6803" w14:textId="2C37B7DB" w:rsidR="00956D01" w:rsidRPr="00056820" w:rsidRDefault="00956D01" w:rsidP="00056820">
      <w:pPr>
        <w:pStyle w:val="IntenseQuote"/>
        <w:ind w:left="0"/>
        <w:rPr>
          <w:rFonts w:eastAsia="Times New Roman" w:cs="Segoe UI"/>
          <w:i/>
          <w:iCs/>
          <w:kern w:val="0"/>
          <w:sz w:val="26"/>
          <w:szCs w:val="26"/>
          <w:lang w:eastAsia="en-GB"/>
          <w14:ligatures w14:val="none"/>
        </w:rPr>
      </w:pPr>
      <w:r w:rsidRPr="00056820">
        <w:rPr>
          <w:rFonts w:eastAsia="Times New Roman" w:cs="Segoe UI"/>
          <w:i/>
          <w:iCs/>
          <w:kern w:val="0"/>
          <w:sz w:val="26"/>
          <w:szCs w:val="26"/>
          <w:lang w:eastAsia="en-GB"/>
          <w14:ligatures w14:val="none"/>
        </w:rPr>
        <w:lastRenderedPageBreak/>
        <w:t>“Staff always very helpful and knowledgeable.” </w:t>
      </w:r>
    </w:p>
    <w:p w14:paraId="0474BF07" w14:textId="19344398" w:rsidR="007174DC" w:rsidRPr="00056820" w:rsidRDefault="007174DC" w:rsidP="00056820">
      <w:pPr>
        <w:pStyle w:val="IntenseQuote"/>
        <w:ind w:left="0"/>
        <w:rPr>
          <w:rFonts w:eastAsia="Times New Roman" w:cs="Segoe UI"/>
          <w:i/>
          <w:iCs/>
          <w:kern w:val="0"/>
          <w:sz w:val="26"/>
          <w:szCs w:val="26"/>
          <w:lang w:eastAsia="en-GB"/>
          <w14:ligatures w14:val="none"/>
        </w:rPr>
      </w:pPr>
      <w:r w:rsidRPr="00056820">
        <w:rPr>
          <w:rFonts w:eastAsia="Times New Roman" w:cs="Segoe UI"/>
          <w:i/>
          <w:iCs/>
          <w:kern w:val="0"/>
          <w:sz w:val="26"/>
          <w:szCs w:val="26"/>
          <w:lang w:eastAsia="en-GB"/>
          <w14:ligatures w14:val="none"/>
        </w:rPr>
        <w:t xml:space="preserve">“The accounts process is one of the most challenging elements of using legal </w:t>
      </w:r>
      <w:r w:rsidR="00056820">
        <w:rPr>
          <w:rFonts w:eastAsia="Times New Roman" w:cs="Segoe UI"/>
          <w:i/>
          <w:iCs/>
          <w:kern w:val="0"/>
          <w:sz w:val="26"/>
          <w:szCs w:val="26"/>
          <w:lang w:eastAsia="en-GB"/>
          <w14:ligatures w14:val="none"/>
        </w:rPr>
        <w:t>a</w:t>
      </w:r>
      <w:r w:rsidRPr="00056820">
        <w:rPr>
          <w:rFonts w:eastAsia="Times New Roman" w:cs="Segoe UI"/>
          <w:i/>
          <w:iCs/>
          <w:kern w:val="0"/>
          <w:sz w:val="26"/>
          <w:szCs w:val="26"/>
          <w:lang w:eastAsia="en-GB"/>
          <w14:ligatures w14:val="none"/>
        </w:rPr>
        <w:t>id.” </w:t>
      </w:r>
    </w:p>
    <w:p w14:paraId="5C8C1196" w14:textId="018D88F5" w:rsidR="004F20D8" w:rsidRPr="004F20D8" w:rsidRDefault="004F20D8" w:rsidP="00056820">
      <w:pPr>
        <w:spacing w:line="257" w:lineRule="auto"/>
        <w:rPr>
          <w:rFonts w:ascii="Aptos" w:eastAsia="Aptos" w:hAnsi="Aptos" w:cs="Aptos"/>
          <w:szCs w:val="24"/>
        </w:rPr>
      </w:pPr>
      <w:r w:rsidRPr="00C545CC">
        <w:t>No independent quality checks have taken place in the period reported on.</w:t>
      </w:r>
      <w:r w:rsidR="00056820">
        <w:rPr>
          <w:rFonts w:ascii="Arial" w:hAnsi="Arial" w:cs="Arial"/>
        </w:rPr>
        <w:t xml:space="preserve"> </w:t>
      </w:r>
      <w:r w:rsidRPr="00C545CC">
        <w:t>However, the team have implemented additional checking in the team to ensure consistency of decisions</w:t>
      </w:r>
      <w:r>
        <w:t>.</w:t>
      </w:r>
    </w:p>
    <w:p w14:paraId="465C6F6A" w14:textId="56451848" w:rsidR="00243DBA" w:rsidRDefault="00243DBA">
      <w:pPr>
        <w:rPr>
          <w:rStyle w:val="Heading2Char"/>
          <w:sz w:val="36"/>
          <w:szCs w:val="28"/>
        </w:rPr>
      </w:pPr>
      <w:r>
        <w:rPr>
          <w:rStyle w:val="Heading2Char"/>
          <w:sz w:val="36"/>
          <w:szCs w:val="28"/>
        </w:rPr>
        <w:br w:type="page"/>
      </w:r>
    </w:p>
    <w:p w14:paraId="4B50ACBE" w14:textId="77777777" w:rsidR="00243DBA" w:rsidRDefault="00243DBA" w:rsidP="00AB4C34">
      <w:pPr>
        <w:rPr>
          <w:rStyle w:val="Heading2Char"/>
          <w:sz w:val="36"/>
          <w:szCs w:val="28"/>
        </w:rPr>
        <w:sectPr w:rsidR="00243DBA" w:rsidSect="00FF61BB">
          <w:footerReference w:type="default" r:id="rId12"/>
          <w:pgSz w:w="11906" w:h="16838"/>
          <w:pgMar w:top="720" w:right="1133" w:bottom="720" w:left="720" w:header="708" w:footer="708" w:gutter="0"/>
          <w:cols w:space="708"/>
          <w:docGrid w:linePitch="360"/>
        </w:sectPr>
      </w:pPr>
    </w:p>
    <w:p w14:paraId="3CD82D25" w14:textId="256F2197" w:rsidR="00243DBA" w:rsidRDefault="00F50377">
      <w:pPr>
        <w:rPr>
          <w:rStyle w:val="Heading2Char"/>
          <w:sz w:val="36"/>
          <w:szCs w:val="28"/>
        </w:rPr>
      </w:pPr>
      <w:r w:rsidRPr="00036734">
        <w:rPr>
          <w:noProof/>
        </w:rPr>
        <w:lastRenderedPageBreak/>
        <w:drawing>
          <wp:inline distT="0" distB="0" distL="0" distR="0" wp14:anchorId="33686710" wp14:editId="703BA5EC">
            <wp:extent cx="9777730" cy="5325228"/>
            <wp:effectExtent l="0" t="0" r="0" b="8890"/>
            <wp:docPr id="116002336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23366"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7730" cy="5325228"/>
                    </a:xfrm>
                    <a:prstGeom prst="rect">
                      <a:avLst/>
                    </a:prstGeom>
                    <a:noFill/>
                    <a:ln>
                      <a:noFill/>
                    </a:ln>
                  </pic:spPr>
                </pic:pic>
              </a:graphicData>
            </a:graphic>
          </wp:inline>
        </w:drawing>
      </w:r>
    </w:p>
    <w:p w14:paraId="1AD30332" w14:textId="77777777" w:rsidR="00243DBA" w:rsidRDefault="00243DBA">
      <w:pPr>
        <w:rPr>
          <w:rStyle w:val="Heading2Char"/>
          <w:sz w:val="36"/>
          <w:szCs w:val="28"/>
        </w:rPr>
      </w:pPr>
    </w:p>
    <w:p w14:paraId="51454005" w14:textId="6FBA12CD" w:rsidR="00243DBA" w:rsidRDefault="004115FE">
      <w:pPr>
        <w:rPr>
          <w:rStyle w:val="Heading2Char"/>
          <w:sz w:val="36"/>
          <w:szCs w:val="28"/>
        </w:rPr>
      </w:pPr>
      <w:r w:rsidRPr="00194698">
        <w:rPr>
          <w:noProof/>
        </w:rPr>
        <w:lastRenderedPageBreak/>
        <w:drawing>
          <wp:inline distT="0" distB="0" distL="0" distR="0" wp14:anchorId="1B6DF4CE" wp14:editId="3B5939CF">
            <wp:extent cx="9777730" cy="6052231"/>
            <wp:effectExtent l="0" t="0" r="0" b="5715"/>
            <wp:docPr id="7849333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3334"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6052231"/>
                    </a:xfrm>
                    <a:prstGeom prst="rect">
                      <a:avLst/>
                    </a:prstGeom>
                    <a:noFill/>
                    <a:ln>
                      <a:noFill/>
                    </a:ln>
                  </pic:spPr>
                </pic:pic>
              </a:graphicData>
            </a:graphic>
          </wp:inline>
        </w:drawing>
      </w:r>
    </w:p>
    <w:p w14:paraId="2A3A553E" w14:textId="77777777" w:rsidR="00243DBA" w:rsidRDefault="00243DBA" w:rsidP="00AB4C34">
      <w:pPr>
        <w:rPr>
          <w:rStyle w:val="Heading2Char"/>
          <w:sz w:val="36"/>
          <w:szCs w:val="28"/>
        </w:rPr>
        <w:sectPr w:rsidR="00243DBA" w:rsidSect="00243DBA">
          <w:pgSz w:w="16838" w:h="11906" w:orient="landscape"/>
          <w:pgMar w:top="720" w:right="720" w:bottom="720" w:left="720" w:header="709" w:footer="709" w:gutter="0"/>
          <w:cols w:space="708"/>
          <w:docGrid w:linePitch="360"/>
        </w:sectPr>
      </w:pPr>
    </w:p>
    <w:p w14:paraId="2984419D" w14:textId="72C2F97E" w:rsidR="00F8791D" w:rsidRPr="00273E5D" w:rsidRDefault="00AB4C34" w:rsidP="00273E5D">
      <w:pPr>
        <w:pStyle w:val="Heading2"/>
        <w:rPr>
          <w:b w:val="0"/>
          <w:bCs/>
        </w:rPr>
      </w:pPr>
      <w:r w:rsidRPr="00273E5D">
        <w:rPr>
          <w:rStyle w:val="Heading2Char"/>
          <w:b/>
          <w:bCs/>
          <w:sz w:val="36"/>
          <w:szCs w:val="28"/>
        </w:rPr>
        <w:lastRenderedPageBreak/>
        <w:t>Governance links</w:t>
      </w:r>
      <w:r w:rsidRPr="00273E5D">
        <w:rPr>
          <w:rStyle w:val="Strong"/>
          <w:b/>
          <w:bCs w:val="0"/>
          <w:sz w:val="28"/>
          <w:szCs w:val="24"/>
        </w:rPr>
        <w:t xml:space="preserve"> </w:t>
      </w:r>
    </w:p>
    <w:p w14:paraId="195F5227" w14:textId="77777777" w:rsidR="00243DBA" w:rsidRPr="00885AB4" w:rsidRDefault="00243DBA" w:rsidP="00885AB4">
      <w:pPr>
        <w:pStyle w:val="ListParagraph"/>
        <w:numPr>
          <w:ilvl w:val="0"/>
          <w:numId w:val="19"/>
        </w:numPr>
        <w:spacing w:after="160" w:line="259" w:lineRule="auto"/>
        <w:rPr>
          <w:b/>
          <w:bCs/>
          <w:lang w:val="en-US"/>
        </w:rPr>
      </w:pPr>
      <w:r w:rsidRPr="00273E5D">
        <w:rPr>
          <w:rStyle w:val="Heading3Char"/>
        </w:rPr>
        <w:t xml:space="preserve">Finance and resources </w:t>
      </w:r>
      <w:r w:rsidRPr="00885AB4">
        <w:rPr>
          <w:b/>
          <w:bCs/>
          <w:i/>
          <w:iCs/>
          <w:lang w:val="en-US"/>
        </w:rPr>
        <w:tab/>
      </w:r>
      <w:r w:rsidRPr="00885AB4">
        <w:rPr>
          <w:b/>
          <w:bCs/>
          <w:i/>
          <w:iCs/>
          <w:lang w:val="en-US"/>
        </w:rPr>
        <w:tab/>
      </w:r>
      <w:r w:rsidRPr="00885AB4">
        <w:rPr>
          <w:b/>
          <w:bCs/>
          <w:i/>
          <w:iCs/>
          <w:lang w:val="en-US"/>
        </w:rPr>
        <w:tab/>
      </w:r>
      <w:r w:rsidRPr="00885AB4">
        <w:rPr>
          <w:b/>
          <w:bCs/>
          <w:i/>
          <w:iCs/>
          <w:lang w:val="en-US"/>
        </w:rPr>
        <w:br/>
      </w:r>
      <w:r w:rsidRPr="00243DBA">
        <w:t>Resources are key to the delivery of good performance. There are no additional resourcing issues to flag to the Board which have affected the performance reported.</w:t>
      </w:r>
    </w:p>
    <w:p w14:paraId="78DF556B" w14:textId="77777777" w:rsidR="00243DBA" w:rsidRPr="00885AB4" w:rsidRDefault="00243DBA" w:rsidP="00885AB4">
      <w:pPr>
        <w:pStyle w:val="ListParagraph"/>
        <w:numPr>
          <w:ilvl w:val="0"/>
          <w:numId w:val="19"/>
        </w:numPr>
        <w:spacing w:after="160" w:line="259" w:lineRule="auto"/>
        <w:rPr>
          <w:b/>
          <w:bCs/>
          <w:lang w:val="en-US"/>
        </w:rPr>
      </w:pPr>
      <w:r w:rsidRPr="00273E5D">
        <w:rPr>
          <w:rStyle w:val="Heading3Char"/>
        </w:rPr>
        <w:t>Risk</w:t>
      </w:r>
      <w:r w:rsidRPr="00273E5D">
        <w:rPr>
          <w:rStyle w:val="Heading3Char"/>
        </w:rPr>
        <w:tab/>
      </w:r>
      <w:r w:rsidRPr="00885AB4">
        <w:rPr>
          <w:b/>
          <w:bCs/>
          <w:i/>
          <w:iCs/>
          <w:lang w:val="en-US"/>
        </w:rPr>
        <w:br/>
      </w:r>
      <w:r w:rsidRPr="00243DBA">
        <w:t xml:space="preserve">This report gives assurance that we are managing the functional risks identified in relation to: </w:t>
      </w:r>
    </w:p>
    <w:p w14:paraId="2ADCD881" w14:textId="77777777" w:rsidR="00243DBA" w:rsidRPr="00243DBA" w:rsidRDefault="00243DBA" w:rsidP="00243DBA">
      <w:pPr>
        <w:numPr>
          <w:ilvl w:val="0"/>
          <w:numId w:val="16"/>
        </w:numPr>
        <w:spacing w:after="160" w:line="259" w:lineRule="auto"/>
        <w:contextualSpacing/>
      </w:pPr>
      <w:r w:rsidRPr="00243DBA">
        <w:t>Failure to accurately assess applications and increases in accordance with SLAB's policies and procedures</w:t>
      </w:r>
    </w:p>
    <w:p w14:paraId="756A9B03" w14:textId="77777777" w:rsidR="00243DBA" w:rsidRPr="00243DBA" w:rsidRDefault="00243DBA" w:rsidP="00243DBA">
      <w:pPr>
        <w:numPr>
          <w:ilvl w:val="0"/>
          <w:numId w:val="16"/>
        </w:numPr>
        <w:spacing w:after="160" w:line="259" w:lineRule="auto"/>
        <w:contextualSpacing/>
        <w:rPr>
          <w:lang w:val="en-US"/>
        </w:rPr>
      </w:pPr>
      <w:r w:rsidRPr="00243DBA">
        <w:t>Failure to take operational decisions within agreed service standards</w:t>
      </w:r>
    </w:p>
    <w:p w14:paraId="15C9AD3D" w14:textId="77777777" w:rsidR="00243DBA" w:rsidRPr="00243DBA" w:rsidRDefault="00243DBA" w:rsidP="00243DBA">
      <w:pPr>
        <w:numPr>
          <w:ilvl w:val="0"/>
          <w:numId w:val="16"/>
        </w:numPr>
        <w:spacing w:after="160" w:line="259" w:lineRule="auto"/>
        <w:contextualSpacing/>
        <w:rPr>
          <w:lang w:val="en-US"/>
        </w:rPr>
      </w:pPr>
      <w:r w:rsidRPr="00243DBA">
        <w:t>Failure to pay solicitors within a timeframe that is acceptable to the profession and enables management of the Legal Aid Fund</w:t>
      </w:r>
    </w:p>
    <w:p w14:paraId="7507CD68" w14:textId="321D1D12" w:rsidR="00243DBA" w:rsidRPr="00243DBA" w:rsidRDefault="00243DBA" w:rsidP="00243DBA">
      <w:pPr>
        <w:numPr>
          <w:ilvl w:val="0"/>
          <w:numId w:val="16"/>
        </w:numPr>
        <w:spacing w:after="160" w:line="259" w:lineRule="auto"/>
        <w:contextualSpacing/>
        <w:rPr>
          <w:lang w:val="en-US"/>
        </w:rPr>
      </w:pPr>
      <w:r w:rsidRPr="00243DBA">
        <w:t>Inconsistent approach to assessment of accounts</w:t>
      </w:r>
      <w:r w:rsidR="00885AB4">
        <w:t>.</w:t>
      </w:r>
    </w:p>
    <w:p w14:paraId="475FFD3A" w14:textId="77777777" w:rsidR="00243DBA" w:rsidRPr="00885AB4" w:rsidRDefault="00243DBA" w:rsidP="00885AB4">
      <w:pPr>
        <w:pStyle w:val="ListParagraph"/>
        <w:numPr>
          <w:ilvl w:val="0"/>
          <w:numId w:val="19"/>
        </w:numPr>
        <w:spacing w:after="160" w:line="259" w:lineRule="auto"/>
        <w:rPr>
          <w:b/>
          <w:bCs/>
          <w:lang w:val="en-US"/>
        </w:rPr>
      </w:pPr>
      <w:r w:rsidRPr="00273E5D">
        <w:rPr>
          <w:rStyle w:val="Heading3Char"/>
        </w:rPr>
        <w:t>Legal and compliance</w:t>
      </w:r>
      <w:r w:rsidRPr="00885AB4">
        <w:rPr>
          <w:b/>
          <w:bCs/>
          <w:i/>
          <w:iCs/>
          <w:lang w:val="en-US"/>
        </w:rPr>
        <w:br/>
      </w:r>
      <w:r w:rsidRPr="00243DBA">
        <w:t>No issues of note.</w:t>
      </w:r>
    </w:p>
    <w:p w14:paraId="48826A05" w14:textId="77777777" w:rsidR="00243DBA" w:rsidRPr="00885AB4" w:rsidRDefault="00243DBA" w:rsidP="00885AB4">
      <w:pPr>
        <w:pStyle w:val="ListParagraph"/>
        <w:numPr>
          <w:ilvl w:val="0"/>
          <w:numId w:val="19"/>
        </w:numPr>
        <w:spacing w:after="160" w:line="259" w:lineRule="auto"/>
        <w:rPr>
          <w:b/>
          <w:bCs/>
          <w:lang w:val="en-US"/>
        </w:rPr>
      </w:pPr>
      <w:r w:rsidRPr="00273E5D">
        <w:rPr>
          <w:rStyle w:val="Heading3Char"/>
        </w:rPr>
        <w:t>Performance</w:t>
      </w:r>
      <w:r w:rsidRPr="00885AB4">
        <w:rPr>
          <w:b/>
          <w:bCs/>
          <w:i/>
          <w:iCs/>
          <w:lang w:val="en-US"/>
        </w:rPr>
        <w:br/>
      </w:r>
      <w:r w:rsidRPr="00243DBA">
        <w:t>No issues of note.</w:t>
      </w:r>
    </w:p>
    <w:p w14:paraId="4E2A1463" w14:textId="77777777" w:rsidR="00243DBA" w:rsidRPr="00885AB4" w:rsidRDefault="00243DBA" w:rsidP="00885AB4">
      <w:pPr>
        <w:pStyle w:val="ListParagraph"/>
        <w:numPr>
          <w:ilvl w:val="0"/>
          <w:numId w:val="19"/>
        </w:numPr>
        <w:spacing w:after="160" w:line="259" w:lineRule="auto"/>
        <w:rPr>
          <w:b/>
          <w:bCs/>
          <w:lang w:val="en-US"/>
        </w:rPr>
      </w:pPr>
      <w:r w:rsidRPr="00273E5D">
        <w:rPr>
          <w:rStyle w:val="Heading3Char"/>
        </w:rPr>
        <w:t>Equalities impact</w:t>
      </w:r>
      <w:r w:rsidRPr="00885AB4">
        <w:rPr>
          <w:b/>
          <w:bCs/>
          <w:i/>
          <w:iCs/>
          <w:lang w:val="en-US"/>
        </w:rPr>
        <w:br/>
      </w:r>
      <w:r w:rsidRPr="00243DBA">
        <w:t>An impact assessment is not required for this paper.</w:t>
      </w:r>
    </w:p>
    <w:p w14:paraId="24E1C4B3" w14:textId="77777777" w:rsidR="00885AB4" w:rsidRPr="00885AB4" w:rsidRDefault="00243DBA" w:rsidP="00885AB4">
      <w:pPr>
        <w:pStyle w:val="ListParagraph"/>
        <w:numPr>
          <w:ilvl w:val="0"/>
          <w:numId w:val="19"/>
        </w:numPr>
        <w:spacing w:after="160" w:line="259" w:lineRule="auto"/>
        <w:rPr>
          <w:b/>
          <w:bCs/>
          <w:lang w:val="en-US"/>
        </w:rPr>
      </w:pPr>
      <w:r w:rsidRPr="00273E5D">
        <w:rPr>
          <w:rStyle w:val="Heading3Char"/>
        </w:rPr>
        <w:t>Privacy impact and data protection</w:t>
      </w:r>
      <w:r w:rsidRPr="00885AB4">
        <w:rPr>
          <w:b/>
          <w:bCs/>
          <w:i/>
          <w:iCs/>
          <w:lang w:val="en-US"/>
        </w:rPr>
        <w:br/>
      </w:r>
      <w:r w:rsidRPr="00243DBA">
        <w:t>No privacy or data protection issues identified.</w:t>
      </w:r>
    </w:p>
    <w:p w14:paraId="6CF92C62" w14:textId="6A0B15A3" w:rsidR="00243DBA" w:rsidRPr="00885AB4" w:rsidRDefault="00885AB4" w:rsidP="00273E5D">
      <w:pPr>
        <w:pStyle w:val="Heading3"/>
        <w:numPr>
          <w:ilvl w:val="0"/>
          <w:numId w:val="19"/>
        </w:numPr>
        <w:rPr>
          <w:bCs/>
        </w:rPr>
      </w:pPr>
      <w:r>
        <w:t>Communications and engagement</w:t>
      </w:r>
    </w:p>
    <w:p w14:paraId="35A5CB33" w14:textId="5F4D9F77" w:rsidR="00AB4C34" w:rsidRPr="00885AB4" w:rsidRDefault="00243DBA" w:rsidP="00885AB4">
      <w:pPr>
        <w:spacing w:after="160" w:line="259" w:lineRule="auto"/>
        <w:ind w:left="360"/>
        <w:contextualSpacing/>
        <w:rPr>
          <w:b/>
          <w:bCs/>
          <w:lang w:val="en-US"/>
        </w:rPr>
      </w:pPr>
      <w:r w:rsidRPr="00243DBA">
        <w:t xml:space="preserve">This paper has been agreed for publication, and we are also publishing separate information regarding our performance </w:t>
      </w:r>
      <w:r w:rsidR="00056820">
        <w:t>on</w:t>
      </w:r>
      <w:r w:rsidRPr="00243DBA">
        <w:t xml:space="preserve"> our website.</w:t>
      </w:r>
    </w:p>
    <w:p w14:paraId="34712B4F" w14:textId="77777777" w:rsidR="00AB4C34" w:rsidRPr="00273E5D" w:rsidRDefault="00AB4C34" w:rsidP="00273E5D">
      <w:pPr>
        <w:pStyle w:val="Heading2"/>
      </w:pPr>
      <w:r w:rsidRPr="00273E5D">
        <w:t xml:space="preserve">Conclusion and next steps </w:t>
      </w:r>
    </w:p>
    <w:p w14:paraId="02AA5867" w14:textId="77777777" w:rsidR="00243DBA" w:rsidRDefault="00243DBA" w:rsidP="00243DBA">
      <w:r>
        <w:t xml:space="preserve">Members are asked to note the performance recorded in this report. </w:t>
      </w:r>
    </w:p>
    <w:p w14:paraId="6BE47207" w14:textId="77777777" w:rsidR="00AB4C34" w:rsidRPr="00273E5D" w:rsidRDefault="00AB4C34" w:rsidP="00273E5D">
      <w:pPr>
        <w:pStyle w:val="Heading2"/>
      </w:pPr>
      <w:r w:rsidRPr="00273E5D">
        <w:t>Appendix and/or further reading links</w:t>
      </w:r>
    </w:p>
    <w:p w14:paraId="6DCD7A96" w14:textId="22EB7AB2" w:rsidR="00AB4C34" w:rsidRPr="00AB4C34" w:rsidRDefault="00D5444D" w:rsidP="00AB4C34">
      <w:pPr>
        <w:rPr>
          <w:rStyle w:val="SubtleEmphasis"/>
          <w:i w:val="0"/>
          <w:iCs w:val="0"/>
        </w:rPr>
      </w:pPr>
      <w:hyperlink r:id="rId15" w:history="1">
        <w:r w:rsidRPr="00056820">
          <w:rPr>
            <w:rStyle w:val="Hyperlink"/>
            <w:color w:val="174DA3"/>
          </w:rPr>
          <w:t>Guide to the SLAB Operational Performance Overview Report (SOPOR)</w:t>
        </w:r>
      </w:hyperlink>
      <w:r w:rsidRPr="00056820">
        <w:t>.</w:t>
      </w:r>
    </w:p>
    <w:sectPr w:rsidR="00AB4C34" w:rsidRPr="00AB4C34" w:rsidSect="00243DB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A8EB" w14:textId="77777777" w:rsidR="007F7FA8" w:rsidRPr="00C24166" w:rsidRDefault="007F7FA8" w:rsidP="00CC679C">
      <w:r w:rsidRPr="00C24166">
        <w:separator/>
      </w:r>
    </w:p>
  </w:endnote>
  <w:endnote w:type="continuationSeparator" w:id="0">
    <w:p w14:paraId="3EFA8707" w14:textId="77777777" w:rsidR="007F7FA8" w:rsidRPr="00C24166" w:rsidRDefault="007F7FA8" w:rsidP="00CC679C">
      <w:r w:rsidRPr="00C24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Pr="00C24166" w:rsidRDefault="00432B96" w:rsidP="00CC679C">
    <w:pPr>
      <w:pStyle w:val="Footer"/>
    </w:pPr>
  </w:p>
  <w:p w14:paraId="62C94757" w14:textId="57CA6C0F" w:rsidR="00432B96" w:rsidRPr="00C24166" w:rsidRDefault="00560ED5" w:rsidP="00CC679C">
    <w:r w:rsidRPr="00560ED5">
      <w:t>SLAB Board Report – Performance Update February 2026</w:t>
    </w:r>
    <w:r w:rsidR="00AB4C34" w:rsidRPr="00C24166">
      <w:tab/>
    </w:r>
    <w:r w:rsidR="00AB4C34" w:rsidRPr="00C24166">
      <w:tab/>
    </w:r>
    <w:r w:rsidR="00AB4C34" w:rsidRPr="00C24166">
      <w:tab/>
    </w:r>
    <w:r w:rsidR="00AB4C34" w:rsidRPr="00C24166">
      <w:tab/>
      <w:t xml:space="preserve">                </w:t>
    </w:r>
    <w:r w:rsidR="00432B96" w:rsidRPr="00C24166">
      <w:t xml:space="preserve"> </w:t>
    </w:r>
    <w:sdt>
      <w:sdtPr>
        <w:id w:val="-1020014772"/>
        <w:docPartObj>
          <w:docPartGallery w:val="Page Numbers (Bottom of Page)"/>
          <w:docPartUnique/>
        </w:docPartObj>
      </w:sdtPr>
      <w:sdtEndPr/>
      <w:sdtContent>
        <w:r w:rsidR="00432B96" w:rsidRPr="00C24166">
          <w:fldChar w:fldCharType="begin"/>
        </w:r>
        <w:r w:rsidR="00432B96" w:rsidRPr="00C24166">
          <w:instrText xml:space="preserve"> PAGE   \* MERGEFORMAT </w:instrText>
        </w:r>
        <w:r w:rsidR="00432B96" w:rsidRPr="00C24166">
          <w:fldChar w:fldCharType="separate"/>
        </w:r>
        <w:r w:rsidR="00432B96" w:rsidRPr="00C24166">
          <w:t>2</w:t>
        </w:r>
        <w:r w:rsidR="00432B96" w:rsidRPr="00C2416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0438" w14:textId="77777777" w:rsidR="007F7FA8" w:rsidRPr="00C24166" w:rsidRDefault="007F7FA8" w:rsidP="00CC679C">
      <w:r w:rsidRPr="00C24166">
        <w:separator/>
      </w:r>
    </w:p>
  </w:footnote>
  <w:footnote w:type="continuationSeparator" w:id="0">
    <w:p w14:paraId="7FA60A5D" w14:textId="77777777" w:rsidR="007F7FA8" w:rsidRPr="00C24166" w:rsidRDefault="007F7FA8" w:rsidP="00CC679C">
      <w:r w:rsidRPr="00C241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3C"/>
    <w:multiLevelType w:val="hybridMultilevel"/>
    <w:tmpl w:val="B3544918"/>
    <w:lvl w:ilvl="0" w:tplc="CD26DE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8269C"/>
    <w:multiLevelType w:val="hybridMultilevel"/>
    <w:tmpl w:val="DC880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4D6498"/>
    <w:multiLevelType w:val="hybridMultilevel"/>
    <w:tmpl w:val="AE1AB376"/>
    <w:lvl w:ilvl="0" w:tplc="A956C906">
      <w:start w:val="1"/>
      <w:numFmt w:val="decimal"/>
      <w:lvlText w:val="%1."/>
      <w:lvlJc w:val="left"/>
      <w:pPr>
        <w:ind w:left="360" w:hanging="360"/>
      </w:pPr>
      <w:rPr>
        <w:color w:val="174DA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87B39"/>
    <w:multiLevelType w:val="hybridMultilevel"/>
    <w:tmpl w:val="090A1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D3A41"/>
    <w:multiLevelType w:val="hybridMultilevel"/>
    <w:tmpl w:val="7B8071CC"/>
    <w:lvl w:ilvl="0" w:tplc="A956C906">
      <w:start w:val="1"/>
      <w:numFmt w:val="decimal"/>
      <w:lvlText w:val="%1."/>
      <w:lvlJc w:val="left"/>
      <w:pPr>
        <w:ind w:left="360" w:hanging="360"/>
      </w:pPr>
      <w:rPr>
        <w:rFonts w:hint="default"/>
        <w:color w:val="174DA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77466C"/>
    <w:multiLevelType w:val="hybridMultilevel"/>
    <w:tmpl w:val="46A0F006"/>
    <w:lvl w:ilvl="0" w:tplc="A956C906">
      <w:start w:val="1"/>
      <w:numFmt w:val="decimal"/>
      <w:lvlText w:val="%1."/>
      <w:lvlJc w:val="left"/>
      <w:pPr>
        <w:ind w:left="360" w:hanging="360"/>
      </w:pPr>
      <w:rPr>
        <w:color w:val="174DA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DC369B"/>
    <w:multiLevelType w:val="hybridMultilevel"/>
    <w:tmpl w:val="522CF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D2F3E"/>
    <w:multiLevelType w:val="hybridMultilevel"/>
    <w:tmpl w:val="4E56CFCE"/>
    <w:lvl w:ilvl="0" w:tplc="2486B17C">
      <w:start w:val="2025"/>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0212A0"/>
    <w:multiLevelType w:val="hybridMultilevel"/>
    <w:tmpl w:val="4EC2F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44E6C"/>
    <w:multiLevelType w:val="hybridMultilevel"/>
    <w:tmpl w:val="D766135E"/>
    <w:lvl w:ilvl="0" w:tplc="56FA40A4">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156FF2"/>
    <w:multiLevelType w:val="hybridMultilevel"/>
    <w:tmpl w:val="0A0A5E98"/>
    <w:lvl w:ilvl="0" w:tplc="10C6E2B0">
      <w:start w:val="2025"/>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B1198"/>
    <w:multiLevelType w:val="hybridMultilevel"/>
    <w:tmpl w:val="16E6DDC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FB2884"/>
    <w:multiLevelType w:val="hybridMultilevel"/>
    <w:tmpl w:val="04B87D4E"/>
    <w:lvl w:ilvl="0" w:tplc="4C804B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31C89"/>
    <w:multiLevelType w:val="hybridMultilevel"/>
    <w:tmpl w:val="C03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55B10"/>
    <w:multiLevelType w:val="hybridMultilevel"/>
    <w:tmpl w:val="25988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11"/>
  </w:num>
  <w:num w:numId="2" w16cid:durableId="2012100725">
    <w:abstractNumId w:val="2"/>
  </w:num>
  <w:num w:numId="3" w16cid:durableId="2097942416">
    <w:abstractNumId w:val="9"/>
  </w:num>
  <w:num w:numId="4" w16cid:durableId="135951669">
    <w:abstractNumId w:val="10"/>
  </w:num>
  <w:num w:numId="5" w16cid:durableId="1837988203">
    <w:abstractNumId w:val="13"/>
  </w:num>
  <w:num w:numId="6" w16cid:durableId="485516111">
    <w:abstractNumId w:val="5"/>
  </w:num>
  <w:num w:numId="7" w16cid:durableId="1688022927">
    <w:abstractNumId w:val="7"/>
  </w:num>
  <w:num w:numId="8" w16cid:durableId="301422518">
    <w:abstractNumId w:val="4"/>
  </w:num>
  <w:num w:numId="9" w16cid:durableId="1138259151">
    <w:abstractNumId w:val="20"/>
  </w:num>
  <w:num w:numId="10" w16cid:durableId="148375796">
    <w:abstractNumId w:val="18"/>
  </w:num>
  <w:num w:numId="11" w16cid:durableId="1775320325">
    <w:abstractNumId w:val="8"/>
  </w:num>
  <w:num w:numId="12" w16cid:durableId="43333577">
    <w:abstractNumId w:val="14"/>
  </w:num>
  <w:num w:numId="13" w16cid:durableId="1944803320">
    <w:abstractNumId w:val="17"/>
  </w:num>
  <w:num w:numId="14" w16cid:durableId="63771127">
    <w:abstractNumId w:val="15"/>
  </w:num>
  <w:num w:numId="15" w16cid:durableId="188492378">
    <w:abstractNumId w:val="1"/>
  </w:num>
  <w:num w:numId="16" w16cid:durableId="2043478721">
    <w:abstractNumId w:val="0"/>
  </w:num>
  <w:num w:numId="17" w16cid:durableId="971255861">
    <w:abstractNumId w:val="3"/>
  </w:num>
  <w:num w:numId="18" w16cid:durableId="1285041928">
    <w:abstractNumId w:val="19"/>
  </w:num>
  <w:num w:numId="19" w16cid:durableId="75715600">
    <w:abstractNumId w:val="6"/>
  </w:num>
  <w:num w:numId="20" w16cid:durableId="1026710427">
    <w:abstractNumId w:val="12"/>
  </w:num>
  <w:num w:numId="21" w16cid:durableId="817382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7475"/>
    <w:rsid w:val="00026711"/>
    <w:rsid w:val="0003683A"/>
    <w:rsid w:val="00042C78"/>
    <w:rsid w:val="00052106"/>
    <w:rsid w:val="00056820"/>
    <w:rsid w:val="000A1481"/>
    <w:rsid w:val="000F272F"/>
    <w:rsid w:val="000F7B8F"/>
    <w:rsid w:val="00114434"/>
    <w:rsid w:val="00130F32"/>
    <w:rsid w:val="001606DC"/>
    <w:rsid w:val="001806A5"/>
    <w:rsid w:val="001B0849"/>
    <w:rsid w:val="001E1C0C"/>
    <w:rsid w:val="00202250"/>
    <w:rsid w:val="00230A3B"/>
    <w:rsid w:val="00243DBA"/>
    <w:rsid w:val="00273E5D"/>
    <w:rsid w:val="002854DB"/>
    <w:rsid w:val="002A0BFF"/>
    <w:rsid w:val="002A5489"/>
    <w:rsid w:val="002A65D0"/>
    <w:rsid w:val="002B5B68"/>
    <w:rsid w:val="002C5C1D"/>
    <w:rsid w:val="002C6C97"/>
    <w:rsid w:val="002C7DC0"/>
    <w:rsid w:val="003046AA"/>
    <w:rsid w:val="0032118E"/>
    <w:rsid w:val="00323C61"/>
    <w:rsid w:val="00343C0F"/>
    <w:rsid w:val="003627FD"/>
    <w:rsid w:val="00363D37"/>
    <w:rsid w:val="00371B57"/>
    <w:rsid w:val="003B0090"/>
    <w:rsid w:val="003B3D67"/>
    <w:rsid w:val="003E6122"/>
    <w:rsid w:val="004115FE"/>
    <w:rsid w:val="00432B96"/>
    <w:rsid w:val="00450AC2"/>
    <w:rsid w:val="00477B40"/>
    <w:rsid w:val="004E2CE6"/>
    <w:rsid w:val="004F03D6"/>
    <w:rsid w:val="004F20D8"/>
    <w:rsid w:val="005277D3"/>
    <w:rsid w:val="0053219F"/>
    <w:rsid w:val="00536B82"/>
    <w:rsid w:val="005420DE"/>
    <w:rsid w:val="0054587B"/>
    <w:rsid w:val="00560ED5"/>
    <w:rsid w:val="005702E7"/>
    <w:rsid w:val="00575DA6"/>
    <w:rsid w:val="005B0DEE"/>
    <w:rsid w:val="005B10EC"/>
    <w:rsid w:val="005B6B57"/>
    <w:rsid w:val="00605689"/>
    <w:rsid w:val="006300D8"/>
    <w:rsid w:val="00633259"/>
    <w:rsid w:val="00641092"/>
    <w:rsid w:val="00645FCC"/>
    <w:rsid w:val="00647D80"/>
    <w:rsid w:val="0065276B"/>
    <w:rsid w:val="00661A93"/>
    <w:rsid w:val="006627CE"/>
    <w:rsid w:val="0066359E"/>
    <w:rsid w:val="006A1794"/>
    <w:rsid w:val="006F2091"/>
    <w:rsid w:val="006F4385"/>
    <w:rsid w:val="00702AE4"/>
    <w:rsid w:val="007174DC"/>
    <w:rsid w:val="00740439"/>
    <w:rsid w:val="00744034"/>
    <w:rsid w:val="00770C3C"/>
    <w:rsid w:val="00782742"/>
    <w:rsid w:val="007C2AEE"/>
    <w:rsid w:val="007D1D11"/>
    <w:rsid w:val="007F03B8"/>
    <w:rsid w:val="007F7FA8"/>
    <w:rsid w:val="008031B1"/>
    <w:rsid w:val="00821617"/>
    <w:rsid w:val="00824623"/>
    <w:rsid w:val="00850D7D"/>
    <w:rsid w:val="00851AD3"/>
    <w:rsid w:val="0087367E"/>
    <w:rsid w:val="00882182"/>
    <w:rsid w:val="00885AB4"/>
    <w:rsid w:val="008A478D"/>
    <w:rsid w:val="008D5832"/>
    <w:rsid w:val="008D7137"/>
    <w:rsid w:val="008F7C78"/>
    <w:rsid w:val="009219F9"/>
    <w:rsid w:val="00956D01"/>
    <w:rsid w:val="00962C39"/>
    <w:rsid w:val="009D0693"/>
    <w:rsid w:val="009E0364"/>
    <w:rsid w:val="009E419A"/>
    <w:rsid w:val="00A11F90"/>
    <w:rsid w:val="00A1488A"/>
    <w:rsid w:val="00A16CB9"/>
    <w:rsid w:val="00A30E64"/>
    <w:rsid w:val="00A77827"/>
    <w:rsid w:val="00A82E64"/>
    <w:rsid w:val="00A90BF3"/>
    <w:rsid w:val="00AA20FC"/>
    <w:rsid w:val="00AB4C34"/>
    <w:rsid w:val="00AE7185"/>
    <w:rsid w:val="00AF0BE6"/>
    <w:rsid w:val="00B040D0"/>
    <w:rsid w:val="00B2602F"/>
    <w:rsid w:val="00BC526E"/>
    <w:rsid w:val="00BC60BF"/>
    <w:rsid w:val="00BD2768"/>
    <w:rsid w:val="00BE270E"/>
    <w:rsid w:val="00BE6C1B"/>
    <w:rsid w:val="00BF2DDC"/>
    <w:rsid w:val="00C24166"/>
    <w:rsid w:val="00C35113"/>
    <w:rsid w:val="00C70294"/>
    <w:rsid w:val="00CC679C"/>
    <w:rsid w:val="00CF535D"/>
    <w:rsid w:val="00D16A3E"/>
    <w:rsid w:val="00D16CC0"/>
    <w:rsid w:val="00D330C3"/>
    <w:rsid w:val="00D34CF7"/>
    <w:rsid w:val="00D35FED"/>
    <w:rsid w:val="00D5444D"/>
    <w:rsid w:val="00D61268"/>
    <w:rsid w:val="00D87283"/>
    <w:rsid w:val="00D90865"/>
    <w:rsid w:val="00D96DCE"/>
    <w:rsid w:val="00DB012E"/>
    <w:rsid w:val="00E14DDA"/>
    <w:rsid w:val="00E2131E"/>
    <w:rsid w:val="00E56777"/>
    <w:rsid w:val="00E712D7"/>
    <w:rsid w:val="00EC0191"/>
    <w:rsid w:val="00EE2577"/>
    <w:rsid w:val="00EF4235"/>
    <w:rsid w:val="00F14DC9"/>
    <w:rsid w:val="00F50377"/>
    <w:rsid w:val="00F6081D"/>
    <w:rsid w:val="00F63CD7"/>
    <w:rsid w:val="00F6472A"/>
    <w:rsid w:val="00F72EA8"/>
    <w:rsid w:val="00F8791D"/>
    <w:rsid w:val="00FA704A"/>
    <w:rsid w:val="00FC45B5"/>
    <w:rsid w:val="00FE489D"/>
    <w:rsid w:val="00FF3173"/>
    <w:rsid w:val="00FF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697A35C5-4C26-41F4-9FCA-7FEE1F43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24166"/>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202250"/>
    <w:pPr>
      <w:pBdr>
        <w:top w:val="single" w:sz="4" w:space="10" w:color="156082" w:themeColor="accent1"/>
        <w:bottom w:val="single" w:sz="4" w:space="10" w:color="156082" w:themeColor="accent1"/>
      </w:pBdr>
      <w:spacing w:before="360" w:after="360"/>
      <w:ind w:left="864" w:right="864"/>
    </w:pPr>
    <w:rPr>
      <w:color w:val="174DA3"/>
      <w:sz w:val="28"/>
    </w:rPr>
  </w:style>
  <w:style w:type="character" w:customStyle="1" w:styleId="IntenseQuoteChar">
    <w:name w:val="Intense Quote Char"/>
    <w:basedOn w:val="DefaultParagraphFont"/>
    <w:link w:val="IntenseQuote"/>
    <w:uiPriority w:val="30"/>
    <w:rsid w:val="00202250"/>
    <w:rPr>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locked/>
    <w:rsid w:val="00450AC2"/>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normaltextrun">
    <w:name w:val="normaltextrun"/>
    <w:basedOn w:val="DefaultParagraphFont"/>
    <w:rsid w:val="007F03B8"/>
  </w:style>
  <w:style w:type="character" w:customStyle="1" w:styleId="eop">
    <w:name w:val="eop"/>
    <w:basedOn w:val="DefaultParagraphFont"/>
    <w:rsid w:val="007F03B8"/>
  </w:style>
  <w:style w:type="character" w:styleId="CommentReference">
    <w:name w:val="annotation reference"/>
    <w:basedOn w:val="DefaultParagraphFont"/>
    <w:uiPriority w:val="99"/>
    <w:semiHidden/>
    <w:unhideWhenUsed/>
    <w:rsid w:val="00BC60BF"/>
    <w:rPr>
      <w:sz w:val="16"/>
      <w:szCs w:val="16"/>
    </w:rPr>
  </w:style>
  <w:style w:type="paragraph" w:styleId="CommentText">
    <w:name w:val="annotation text"/>
    <w:basedOn w:val="Normal"/>
    <w:link w:val="CommentTextChar"/>
    <w:uiPriority w:val="99"/>
    <w:unhideWhenUsed/>
    <w:rsid w:val="00BC60BF"/>
    <w:rPr>
      <w:sz w:val="20"/>
      <w:szCs w:val="20"/>
    </w:rPr>
  </w:style>
  <w:style w:type="character" w:customStyle="1" w:styleId="CommentTextChar">
    <w:name w:val="Comment Text Char"/>
    <w:basedOn w:val="DefaultParagraphFont"/>
    <w:link w:val="CommentText"/>
    <w:uiPriority w:val="99"/>
    <w:rsid w:val="00BC60BF"/>
    <w:rPr>
      <w:sz w:val="20"/>
      <w:szCs w:val="20"/>
    </w:rPr>
  </w:style>
  <w:style w:type="paragraph" w:styleId="CommentSubject">
    <w:name w:val="annotation subject"/>
    <w:basedOn w:val="CommentText"/>
    <w:next w:val="CommentText"/>
    <w:link w:val="CommentSubjectChar"/>
    <w:uiPriority w:val="99"/>
    <w:semiHidden/>
    <w:unhideWhenUsed/>
    <w:rsid w:val="00BC60BF"/>
    <w:rPr>
      <w:b/>
      <w:bCs/>
    </w:rPr>
  </w:style>
  <w:style w:type="character" w:customStyle="1" w:styleId="CommentSubjectChar">
    <w:name w:val="Comment Subject Char"/>
    <w:basedOn w:val="CommentTextChar"/>
    <w:link w:val="CommentSubject"/>
    <w:uiPriority w:val="99"/>
    <w:semiHidden/>
    <w:rsid w:val="00BC60BF"/>
    <w:rPr>
      <w:b/>
      <w:bCs/>
      <w:sz w:val="20"/>
      <w:szCs w:val="20"/>
    </w:rPr>
  </w:style>
  <w:style w:type="character" w:styleId="Mention">
    <w:name w:val="Mention"/>
    <w:basedOn w:val="DefaultParagraphFont"/>
    <w:uiPriority w:val="99"/>
    <w:unhideWhenUsed/>
    <w:rsid w:val="00BC60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lab.org.uk/app/uploads/2024/12/Guide-to-the-SLAB-Operational-Performance-Overview-Report-SOPO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03233C" w:rsidP="0003233C">
          <w:pPr>
            <w:pStyle w:val="BC0454778CF0490597D1CB385A9EEDA42"/>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03233C" w:rsidP="0003233C">
          <w:pPr>
            <w:pStyle w:val="F544C7BD0D34457ABE26A5956E6205A62"/>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03233C" w:rsidP="0003233C">
          <w:pPr>
            <w:pStyle w:val="1CA18BC18242434285BA060792021EF82"/>
          </w:pPr>
          <w:r w:rsidRPr="00D35FED">
            <w:rPr>
              <w:rStyle w:val="PlaceholderText"/>
              <w:b/>
              <w:bCs/>
              <w:color w:val="A02B93" w:themeColor="accent5"/>
            </w:rPr>
            <w:t>Choose an item.</w:t>
          </w:r>
        </w:p>
      </w:docPartBody>
    </w:docPart>
    <w:docPart>
      <w:docPartPr>
        <w:name w:val="DefaultPlaceholder_-1854013437"/>
        <w:category>
          <w:name w:val="General"/>
          <w:gallery w:val="placeholder"/>
        </w:category>
        <w:types>
          <w:type w:val="bbPlcHdr"/>
        </w:types>
        <w:behaviors>
          <w:behavior w:val="content"/>
        </w:behaviors>
        <w:guid w:val="{8EF0307F-14C9-4566-91F4-127B58C9A6C5}"/>
      </w:docPartPr>
      <w:docPartBody>
        <w:p w:rsidR="00BE13D3" w:rsidRDefault="002A2A97">
          <w:r w:rsidRPr="004A36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3233C"/>
    <w:rsid w:val="00154143"/>
    <w:rsid w:val="00230A3B"/>
    <w:rsid w:val="00240BB9"/>
    <w:rsid w:val="002A2A97"/>
    <w:rsid w:val="002C7DC0"/>
    <w:rsid w:val="00343C0F"/>
    <w:rsid w:val="0054587B"/>
    <w:rsid w:val="005B10EC"/>
    <w:rsid w:val="005F78F8"/>
    <w:rsid w:val="00657A97"/>
    <w:rsid w:val="0066359E"/>
    <w:rsid w:val="00702AE4"/>
    <w:rsid w:val="00744034"/>
    <w:rsid w:val="008638C6"/>
    <w:rsid w:val="00AF770A"/>
    <w:rsid w:val="00B040D0"/>
    <w:rsid w:val="00BE13D3"/>
    <w:rsid w:val="00D34CF7"/>
    <w:rsid w:val="00D96DCE"/>
    <w:rsid w:val="00EF4235"/>
    <w:rsid w:val="00F519DB"/>
    <w:rsid w:val="00F63CD7"/>
    <w:rsid w:val="00F71229"/>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A97"/>
    <w:rPr>
      <w:color w:val="808080"/>
    </w:rPr>
  </w:style>
  <w:style w:type="paragraph" w:customStyle="1" w:styleId="BC0454778CF0490597D1CB385A9EEDA42">
    <w:name w:val="BC0454778CF0490597D1CB385A9EEDA42"/>
    <w:rsid w:val="0003233C"/>
    <w:pPr>
      <w:spacing w:line="259" w:lineRule="auto"/>
    </w:pPr>
    <w:rPr>
      <w:rFonts w:eastAsiaTheme="minorHAnsi"/>
      <w:szCs w:val="22"/>
      <w:lang w:eastAsia="en-US"/>
    </w:rPr>
  </w:style>
  <w:style w:type="paragraph" w:customStyle="1" w:styleId="F544C7BD0D34457ABE26A5956E6205A62">
    <w:name w:val="F544C7BD0D34457ABE26A5956E6205A62"/>
    <w:rsid w:val="0003233C"/>
    <w:pPr>
      <w:spacing w:line="259" w:lineRule="auto"/>
    </w:pPr>
    <w:rPr>
      <w:rFonts w:eastAsiaTheme="minorHAnsi"/>
      <w:szCs w:val="22"/>
      <w:lang w:eastAsia="en-US"/>
    </w:rPr>
  </w:style>
  <w:style w:type="paragraph" w:customStyle="1" w:styleId="1CA18BC18242434285BA060792021EF82">
    <w:name w:val="1CA18BC18242434285BA060792021EF82"/>
    <w:rsid w:val="0003233C"/>
    <w:pPr>
      <w:spacing w:line="259" w:lineRule="auto"/>
    </w:pPr>
    <w:rPr>
      <w:rFonts w:eastAsiaTheme="minorHAnsi"/>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6E21-D89F-4687-B80D-7F169E8B0DD4}">
  <ds:schemaRefs>
    <ds:schemaRef ds:uri="http://schemas.openxmlformats.org/package/2006/metadata/core-properties"/>
    <ds:schemaRef ds:uri="ddc97c0f-92d3-40cc-8a88-afbef9d2f083"/>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purl.org/dc/terms/"/>
    <ds:schemaRef ds:uri="f77c8e73-1a92-43ae-87b4-1041e4b5416f"/>
    <ds:schemaRef ds:uri="http://www.w3.org/XML/1998/namespace"/>
  </ds:schemaRefs>
</ds:datastoreItem>
</file>

<file path=customXml/itemProps2.xml><?xml version="1.0" encoding="utf-8"?>
<ds:datastoreItem xmlns:ds="http://schemas.openxmlformats.org/officeDocument/2006/customXml" ds:itemID="{FEE3FF33-6459-4A58-9B27-B1CA5D8E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1287</Words>
  <Characters>6965</Characters>
  <Application>Microsoft Office Word</Application>
  <DocSecurity>0</DocSecurity>
  <Lines>188</Lines>
  <Paragraphs>116</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8136</CharactersWithSpaces>
  <SharedDoc>false</SharedDoc>
  <HLinks>
    <vt:vector size="12" baseType="variant">
      <vt:variant>
        <vt:i4>8257653</vt:i4>
      </vt:variant>
      <vt:variant>
        <vt:i4>3</vt:i4>
      </vt:variant>
      <vt:variant>
        <vt:i4>0</vt:i4>
      </vt:variant>
      <vt:variant>
        <vt:i4>5</vt:i4>
      </vt:variant>
      <vt:variant>
        <vt:lpwstr>https://www.slab.org.uk/app/uploads/2024/12/Guide-to-the-SLAB-Operational-Performance-Overview-Report-SOPOR.pdf</vt:lpwstr>
      </vt:variant>
      <vt:variant>
        <vt:lpwstr/>
      </vt:variant>
      <vt:variant>
        <vt:i4>6619164</vt:i4>
      </vt:variant>
      <vt:variant>
        <vt:i4>0</vt:i4>
      </vt:variant>
      <vt:variant>
        <vt:i4>0</vt:i4>
      </vt:variant>
      <vt:variant>
        <vt:i4>5</vt:i4>
      </vt:variant>
      <vt:variant>
        <vt:lpwstr>mailto:CEO@slab.org.uk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Operational Performance Report February 2026</dc:title>
  <dc:subject>Board papers</dc:subject>
  <dc:creator>Scottish Legal Aid Board</dc:creator>
  <cp:keywords/>
  <dc:description/>
  <cp:lastModifiedBy>Lindsay Corr</cp:lastModifiedBy>
  <cp:revision>2</cp:revision>
  <dcterms:created xsi:type="dcterms:W3CDTF">2026-03-18T11:48:00Z</dcterms:created>
  <dcterms:modified xsi:type="dcterms:W3CDTF">2026-03-18T11:48:00Z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