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C2CEA05" w:rsidR="00B2602F" w:rsidRDefault="009D0693" w:rsidP="00CC679C">
      <w:pPr>
        <w:pStyle w:val="Title"/>
      </w:pPr>
      <w:r w:rsidRPr="00C24166">
        <w:rPr>
          <w:noProof/>
        </w:rPr>
        <w:drawing>
          <wp:inline distT="0" distB="0" distL="0" distR="0" wp14:anchorId="7EE4B071" wp14:editId="10C7E032">
            <wp:extent cx="683173" cy="901716"/>
            <wp:effectExtent l="0" t="0" r="3175" b="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219" cy="905737"/>
                    </a:xfrm>
                    <a:prstGeom prst="rect">
                      <a:avLst/>
                    </a:prstGeom>
                  </pic:spPr>
                </pic:pic>
              </a:graphicData>
            </a:graphic>
          </wp:inline>
        </w:drawing>
      </w:r>
      <w:r w:rsidRPr="00C24166">
        <w:t xml:space="preserve"> </w:t>
      </w:r>
      <w:r w:rsidR="00202250" w:rsidRPr="00987633">
        <w:t>BOARD REPORT</w:t>
      </w:r>
    </w:p>
    <w:p w14:paraId="6E1140C1" w14:textId="64F266E8" w:rsidR="00C20F4F" w:rsidRPr="00C20F4F" w:rsidRDefault="00C20F4F" w:rsidP="00C20F4F">
      <w:pPr>
        <w:rPr>
          <w:b/>
          <w:bCs/>
        </w:rPr>
      </w:pPr>
      <w:r w:rsidRPr="00C20F4F">
        <w:rPr>
          <w:b/>
          <w:bCs/>
        </w:rPr>
        <w:t xml:space="preserve">AGENDA ITEM: </w:t>
      </w:r>
      <w:r w:rsidRPr="00C20F4F">
        <w:rPr>
          <w:b/>
          <w:bCs/>
        </w:rPr>
        <w:tab/>
      </w:r>
      <w:r w:rsidRPr="00C20F4F">
        <w:rPr>
          <w:b/>
          <w:bCs/>
        </w:rPr>
        <w:tab/>
        <w:t>12</w:t>
      </w:r>
      <w:r>
        <w:rPr>
          <w:b/>
          <w:bCs/>
        </w:rPr>
        <w:br/>
      </w:r>
      <w:r w:rsidRPr="00C20F4F">
        <w:rPr>
          <w:b/>
          <w:bCs/>
        </w:rPr>
        <w:t xml:space="preserve">REPORT NUMBER:  </w:t>
      </w:r>
      <w:r w:rsidRPr="00C20F4F">
        <w:rPr>
          <w:b/>
          <w:bCs/>
        </w:rPr>
        <w:tab/>
      </w:r>
      <w:r w:rsidRPr="00C20F4F">
        <w:rPr>
          <w:b/>
          <w:bCs/>
        </w:rPr>
        <w:tab/>
      </w:r>
      <w:r w:rsidRPr="00C20F4F">
        <w:rPr>
          <w:b/>
          <w:bCs/>
        </w:rPr>
        <w:t>SLAB/2026/08</w:t>
      </w:r>
    </w:p>
    <w:p w14:paraId="05D76CD5" w14:textId="4DF13D62" w:rsidR="0025138B" w:rsidRPr="00987633" w:rsidRDefault="0025138B" w:rsidP="00987633">
      <w:pPr>
        <w:pStyle w:val="Heading2"/>
      </w:pPr>
      <w:r w:rsidRPr="00987633">
        <w:t>Report details</w:t>
      </w:r>
    </w:p>
    <w:p w14:paraId="21524C7C" w14:textId="43971FFF" w:rsidR="006F4385" w:rsidRPr="00C24166" w:rsidRDefault="006F4385" w:rsidP="00CC679C">
      <w:r w:rsidRPr="00C24166">
        <w:rPr>
          <w:rStyle w:val="Strong"/>
        </w:rPr>
        <w:t>Report to:</w:t>
      </w:r>
      <w:r w:rsidRPr="00C24166">
        <w:rPr>
          <w:rStyle w:val="Strong"/>
        </w:rPr>
        <w:tab/>
      </w:r>
      <w:r w:rsidRPr="00C24166">
        <w:tab/>
      </w:r>
      <w:r w:rsidRPr="00C24166">
        <w:tab/>
      </w:r>
      <w:r w:rsidR="00202250" w:rsidRPr="00C24166">
        <w:t>SLAB Board</w:t>
      </w:r>
    </w:p>
    <w:p w14:paraId="6D4CF6A7" w14:textId="46F53D26" w:rsidR="006F4385" w:rsidRPr="00C24166" w:rsidRDefault="006F4385" w:rsidP="00CC679C">
      <w:r w:rsidRPr="00C24166">
        <w:rPr>
          <w:rStyle w:val="Strong"/>
        </w:rPr>
        <w:t>Meeting date:</w:t>
      </w:r>
      <w:r w:rsidR="00D35FED" w:rsidRPr="00C24166">
        <w:tab/>
      </w:r>
      <w:r w:rsidR="00D35FED" w:rsidRPr="00C24166">
        <w:tab/>
      </w:r>
      <w:sdt>
        <w:sdtPr>
          <w:id w:val="-271329747"/>
          <w:placeholder>
            <w:docPart w:val="DefaultPlaceholder_-1854013437"/>
          </w:placeholder>
          <w:date w:fullDate="2026-02-09T00:00:00Z">
            <w:dateFormat w:val="dd/MM/yyyy"/>
            <w:lid w:val="en-GB"/>
            <w:storeMappedDataAs w:val="dateTime"/>
            <w:calendar w:val="gregorian"/>
          </w:date>
        </w:sdtPr>
        <w:sdtEndPr/>
        <w:sdtContent>
          <w:r w:rsidR="002D51A1">
            <w:t>09/02/2026</w:t>
          </w:r>
        </w:sdtContent>
      </w:sdt>
    </w:p>
    <w:p w14:paraId="3C9F5B0E" w14:textId="61D377CB" w:rsidR="006F4385" w:rsidRPr="00C24166" w:rsidRDefault="006F4385" w:rsidP="00CC679C">
      <w:pPr>
        <w:rPr>
          <w:rStyle w:val="Strong"/>
        </w:rPr>
      </w:pPr>
      <w:r w:rsidRPr="00C24166">
        <w:rPr>
          <w:rStyle w:val="Strong"/>
        </w:rPr>
        <w:t>Report title:</w:t>
      </w:r>
      <w:r w:rsidR="00D35FED" w:rsidRPr="00C24166">
        <w:rPr>
          <w:rStyle w:val="Strong"/>
        </w:rPr>
        <w:tab/>
      </w:r>
      <w:r w:rsidR="00D35FED" w:rsidRPr="00C24166">
        <w:rPr>
          <w:rStyle w:val="Strong"/>
        </w:rPr>
        <w:tab/>
      </w:r>
      <w:r w:rsidR="00D35FED" w:rsidRPr="00C24166">
        <w:rPr>
          <w:rStyle w:val="Strong"/>
        </w:rPr>
        <w:tab/>
      </w:r>
      <w:r w:rsidR="008556E4">
        <w:t xml:space="preserve">Complaints Update </w:t>
      </w:r>
      <w:r w:rsidR="002D51A1">
        <w:t>Q1&amp;</w:t>
      </w:r>
      <w:r w:rsidR="00F15E6B">
        <w:t xml:space="preserve"> Q</w:t>
      </w:r>
      <w:r w:rsidR="002D51A1">
        <w:t>2 2025</w:t>
      </w:r>
      <w:r w:rsidR="00F15E6B">
        <w:t>-</w:t>
      </w:r>
      <w:r w:rsidR="002D51A1">
        <w:t>26</w:t>
      </w:r>
    </w:p>
    <w:p w14:paraId="4BCC3349" w14:textId="6AB03366" w:rsidR="00450AC2" w:rsidRPr="00C24166" w:rsidRDefault="006F4385" w:rsidP="00CC679C">
      <w:pPr>
        <w:rPr>
          <w:rStyle w:val="Strong"/>
        </w:rPr>
      </w:pPr>
      <w:r w:rsidRPr="00C24166">
        <w:rPr>
          <w:rStyle w:val="Strong"/>
        </w:rPr>
        <w:t>Report category:</w:t>
      </w:r>
      <w:r w:rsidR="00D35FED" w:rsidRPr="00C24166">
        <w:rPr>
          <w:rStyle w:val="Strong"/>
        </w:rPr>
        <w:tab/>
      </w:r>
      <w:r w:rsidR="00D35FED" w:rsidRPr="00C24166">
        <w:rPr>
          <w:rStyle w:val="Strong"/>
        </w:rPr>
        <w:tab/>
      </w:r>
      <w:sdt>
        <w:sdt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8556E4">
            <w:t>For information</w:t>
          </w:r>
        </w:sdtContent>
      </w:sdt>
      <w:r w:rsidR="00D35FED" w:rsidRPr="00C24166">
        <w:rPr>
          <w:rStyle w:val="Strong"/>
        </w:rPr>
        <w:tab/>
      </w:r>
      <w:r w:rsidR="00D35FED" w:rsidRPr="00C24166">
        <w:rPr>
          <w:rStyle w:val="Strong"/>
        </w:rPr>
        <w:tab/>
      </w:r>
    </w:p>
    <w:p w14:paraId="73D86164" w14:textId="1056ED3F" w:rsidR="006F4385" w:rsidRPr="00C24166" w:rsidRDefault="006F4385" w:rsidP="00CC679C">
      <w:pPr>
        <w:rPr>
          <w:rStyle w:val="Strong"/>
        </w:rPr>
      </w:pPr>
      <w:r w:rsidRPr="00C24166">
        <w:rPr>
          <w:rStyle w:val="Strong"/>
        </w:rPr>
        <w:t>Written by:</w:t>
      </w:r>
      <w:r w:rsidR="00D35FED" w:rsidRPr="00C24166">
        <w:rPr>
          <w:rStyle w:val="Strong"/>
        </w:rPr>
        <w:tab/>
      </w:r>
      <w:r w:rsidR="00D35FED" w:rsidRPr="00C24166">
        <w:rPr>
          <w:rStyle w:val="Strong"/>
        </w:rPr>
        <w:tab/>
      </w:r>
      <w:r w:rsidR="00D35FED" w:rsidRPr="00C24166">
        <w:rPr>
          <w:rStyle w:val="Strong"/>
        </w:rPr>
        <w:tab/>
      </w:r>
      <w:r w:rsidR="008556E4">
        <w:t xml:space="preserve">Stuart Drummond, Corporate Governance and Policy Officer </w:t>
      </w:r>
    </w:p>
    <w:p w14:paraId="4F1D2C6B" w14:textId="109160A2" w:rsidR="006F4385" w:rsidRPr="00C24166" w:rsidRDefault="006F4385" w:rsidP="00CC679C">
      <w:pPr>
        <w:rPr>
          <w:rStyle w:val="Strong"/>
        </w:rPr>
      </w:pPr>
      <w:r w:rsidRPr="00C24166">
        <w:rPr>
          <w:rStyle w:val="Strong"/>
        </w:rPr>
        <w:t>Director responsible:</w:t>
      </w:r>
      <w:r w:rsidR="00D35FED" w:rsidRPr="00C24166">
        <w:rPr>
          <w:rStyle w:val="Strong"/>
        </w:rPr>
        <w:tab/>
      </w:r>
      <w:sdt>
        <w:sdt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8556E4">
            <w:t>Colin Lancaster</w:t>
          </w:r>
        </w:sdtContent>
      </w:sdt>
    </w:p>
    <w:p w14:paraId="2D3DDEB6" w14:textId="0B2FDE98" w:rsidR="006F4385" w:rsidRPr="00C24166" w:rsidRDefault="006F4385" w:rsidP="00CC679C">
      <w:r w:rsidRPr="00C24166">
        <w:rPr>
          <w:rStyle w:val="Strong"/>
        </w:rPr>
        <w:t>Presented by:</w:t>
      </w:r>
      <w:r w:rsidR="00D35FED" w:rsidRPr="00C24166">
        <w:rPr>
          <w:rStyle w:val="Strong"/>
        </w:rPr>
        <w:tab/>
      </w:r>
      <w:r w:rsidR="00D35FED" w:rsidRPr="00C24166">
        <w:rPr>
          <w:rStyle w:val="Strong"/>
        </w:rPr>
        <w:tab/>
      </w:r>
      <w:r w:rsidR="008556E4">
        <w:t xml:space="preserve">Andrew McIntosh </w:t>
      </w:r>
    </w:p>
    <w:p w14:paraId="3995BDCA" w14:textId="605D7CD1" w:rsidR="006F4385" w:rsidRPr="00C24166" w:rsidRDefault="006F4385" w:rsidP="00CC679C">
      <w:pPr>
        <w:rPr>
          <w:rStyle w:val="Strong"/>
          <w:b w:val="0"/>
          <w:bCs w:val="0"/>
        </w:rPr>
      </w:pPr>
      <w:r w:rsidRPr="00C24166">
        <w:rPr>
          <w:rStyle w:val="Strong"/>
        </w:rPr>
        <w:t>Contact details:</w:t>
      </w:r>
      <w:r w:rsidR="00D35FED" w:rsidRPr="00C24166">
        <w:rPr>
          <w:rStyle w:val="Strong"/>
        </w:rPr>
        <w:tab/>
      </w:r>
      <w:r w:rsidR="00D35FED" w:rsidRPr="00C24166">
        <w:rPr>
          <w:rStyle w:val="Strong"/>
        </w:rPr>
        <w:tab/>
      </w:r>
      <w:r w:rsidR="008556E4" w:rsidRPr="00C20F4F">
        <w:t>CEO@slab.org.uk</w:t>
      </w:r>
      <w:r w:rsidR="008556E4">
        <w:t xml:space="preserve"> </w:t>
      </w:r>
    </w:p>
    <w:p w14:paraId="77C387B5" w14:textId="5ACBAAA2" w:rsidR="0025138B" w:rsidRDefault="00A16CB9" w:rsidP="0025138B">
      <w:r w:rsidRPr="00C24166">
        <w:rPr>
          <w:rStyle w:val="Heading3Char"/>
        </w:rPr>
        <w:t>Delivery of Strategic Objectives</w:t>
      </w:r>
      <w:r w:rsidR="00C20F4F">
        <w:rPr>
          <w:rStyle w:val="Heading3Char"/>
        </w:rPr>
        <w:br/>
      </w:r>
      <w:r w:rsidR="00670A04" w:rsidRPr="00670A04">
        <w:rPr>
          <w:i/>
          <w:iCs/>
        </w:rPr>
        <w:t>Select our relevant Strategic Objective(s).</w:t>
      </w:r>
      <w:r w:rsidRPr="00C24166">
        <w:rPr>
          <w:rStyle w:val="Strong"/>
        </w:rPr>
        <w:br/>
      </w:r>
      <w:sdt>
        <w:sdt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8556E4" w:rsidRPr="006F4B34">
            <w:t>1 – Administration: Our timely, clear, and consistent decisions on legal aid applications and accounts deliver a positive customer experience.</w:t>
          </w:r>
        </w:sdtContent>
      </w:sdt>
      <w:r w:rsidR="00F14DC9" w:rsidRPr="006F4B34">
        <w:tab/>
      </w:r>
    </w:p>
    <w:p w14:paraId="2662C528" w14:textId="4A816D5E" w:rsidR="00CC679C" w:rsidRPr="00C24166" w:rsidRDefault="00CC679C" w:rsidP="00CC679C">
      <w:r w:rsidRPr="00C24166">
        <w:rPr>
          <w:rStyle w:val="Heading3Char"/>
        </w:rPr>
        <w:t>Link to Board or Committee remit:</w:t>
      </w:r>
      <w:r w:rsidRPr="00C24166">
        <w:tab/>
      </w:r>
      <w:r w:rsidR="00821617" w:rsidRPr="00C24166">
        <w:br/>
      </w:r>
      <w:r w:rsidR="008556E4" w:rsidRPr="008556E4">
        <w:t>This paper is linked to the Board’s function of overseeing performance.</w:t>
      </w:r>
    </w:p>
    <w:p w14:paraId="36325B49" w14:textId="2CA8CF16" w:rsidR="00CC679C" w:rsidRPr="00C24166" w:rsidRDefault="00CC679C" w:rsidP="00CC679C">
      <w:pPr>
        <w:rPr>
          <w:rStyle w:val="Strong"/>
        </w:rPr>
      </w:pPr>
      <w:r w:rsidRPr="0025138B">
        <w:rPr>
          <w:rStyle w:val="Heading3Char"/>
        </w:rPr>
        <w:t>Link to Risk Management:</w:t>
      </w:r>
      <w:r w:rsidRPr="0025138B">
        <w:rPr>
          <w:rStyle w:val="Heading3Char"/>
        </w:rPr>
        <w:tab/>
      </w:r>
      <w:r w:rsidRPr="00C24166">
        <w:rPr>
          <w:rStyle w:val="Strong"/>
        </w:rPr>
        <w:tab/>
      </w:r>
      <w:r w:rsidRPr="00C24166">
        <w:rPr>
          <w:rStyle w:val="Strong"/>
        </w:rPr>
        <w:tab/>
      </w:r>
      <w:r w:rsidR="00821617" w:rsidRPr="00C24166">
        <w:rPr>
          <w:rStyle w:val="Strong"/>
        </w:rPr>
        <w:br/>
      </w:r>
      <w:r w:rsidR="008556E4" w:rsidRPr="008556E4">
        <w:t>Complaints are an important way in which we can assess our service. Action taken in the case of upheld complaints is a key control for several risks that we face.</w:t>
      </w:r>
    </w:p>
    <w:p w14:paraId="44E4CB7F" w14:textId="03BD87AF" w:rsidR="00CC679C" w:rsidRPr="00C24166" w:rsidRDefault="00CC679C" w:rsidP="00CC679C">
      <w:pPr>
        <w:rPr>
          <w:rStyle w:val="Strong"/>
        </w:rPr>
      </w:pPr>
      <w:r w:rsidRPr="00C24166">
        <w:rPr>
          <w:rStyle w:val="Heading3Char"/>
        </w:rPr>
        <w:t>Publication of the paper:</w:t>
      </w:r>
      <w:r w:rsidRPr="00C24166">
        <w:rPr>
          <w:rStyle w:val="Strong"/>
        </w:rPr>
        <w:tab/>
      </w:r>
      <w:r w:rsidRPr="00C24166">
        <w:rPr>
          <w:rStyle w:val="Strong"/>
        </w:rPr>
        <w:tab/>
      </w:r>
      <w:r w:rsidRPr="00C24166">
        <w:rPr>
          <w:rStyle w:val="Strong"/>
        </w:rPr>
        <w:tab/>
      </w:r>
      <w:r w:rsidR="00821617" w:rsidRPr="00C24166">
        <w:rPr>
          <w:rStyle w:val="Strong"/>
        </w:rPr>
        <w:br/>
      </w:r>
      <w:r w:rsidR="008556E4" w:rsidRPr="008556E4">
        <w:t xml:space="preserve">This paper is suitable for publication. The information is not sensitive, and we </w:t>
      </w:r>
      <w:r w:rsidR="00CF22E0">
        <w:t>have an obligation</w:t>
      </w:r>
      <w:r w:rsidR="008556E4" w:rsidRPr="008556E4">
        <w:t xml:space="preserve"> to publish data on complaints under the </w:t>
      </w:r>
      <w:r w:rsidR="00A02197" w:rsidRPr="00A02197">
        <w:t>Scottish Public Services Ombudsman</w:t>
      </w:r>
      <w:r w:rsidR="00A02197" w:rsidRPr="00A02197">
        <w:t xml:space="preserve"> </w:t>
      </w:r>
      <w:r w:rsidR="00A02197">
        <w:t>(</w:t>
      </w:r>
      <w:r w:rsidR="008556E4" w:rsidRPr="008556E4">
        <w:t>SPSO</w:t>
      </w:r>
      <w:r w:rsidR="00A02197">
        <w:t>)</w:t>
      </w:r>
      <w:r w:rsidR="008556E4" w:rsidRPr="008556E4">
        <w:t xml:space="preserve"> model code.</w:t>
      </w:r>
      <w:r w:rsidR="008556E4" w:rsidRPr="008556E4">
        <w:tab/>
      </w:r>
    </w:p>
    <w:p w14:paraId="185FA806" w14:textId="1DE6CB48" w:rsidR="00CC679C" w:rsidRPr="00C24166" w:rsidRDefault="00CC679C" w:rsidP="00CC679C">
      <w:pPr>
        <w:rPr>
          <w:b/>
          <w:bCs/>
        </w:rPr>
      </w:pPr>
      <w:r w:rsidRPr="00C24166">
        <w:rPr>
          <w:rStyle w:val="Heading3Char"/>
        </w:rPr>
        <w:t>Executive Summary:</w:t>
      </w:r>
      <w:r w:rsidR="00AB4C34" w:rsidRPr="00C24166">
        <w:rPr>
          <w:rStyle w:val="Heading3Char"/>
        </w:rPr>
        <w:tab/>
      </w:r>
      <w:r w:rsidR="00AB4C34" w:rsidRPr="00C24166">
        <w:rPr>
          <w:rStyle w:val="Strong"/>
        </w:rPr>
        <w:tab/>
      </w:r>
      <w:r w:rsidR="00AB4C34" w:rsidRPr="00C24166">
        <w:rPr>
          <w:rStyle w:val="Strong"/>
        </w:rPr>
        <w:tab/>
      </w:r>
      <w:r w:rsidR="00F14DC9" w:rsidRPr="00C24166">
        <w:rPr>
          <w:rStyle w:val="Strong"/>
        </w:rPr>
        <w:br/>
      </w:r>
      <w:r w:rsidR="002D51A1">
        <w:t xml:space="preserve">There were a low volume of </w:t>
      </w:r>
      <w:r w:rsidR="00670A04">
        <w:t>complaints,</w:t>
      </w:r>
      <w:r w:rsidR="002D51A1">
        <w:t xml:space="preserve"> and no systemic problems were identified, with minor administrative errors being the source of upheld complaints. </w:t>
      </w:r>
    </w:p>
    <w:p w14:paraId="76A93277" w14:textId="0DD44F98" w:rsidR="00C24166" w:rsidRDefault="00CC679C" w:rsidP="00F14DC9">
      <w:pPr>
        <w:rPr>
          <w:rStyle w:val="Strong"/>
          <w:rFonts w:asciiTheme="majorHAnsi" w:hAnsiTheme="majorHAnsi"/>
          <w:b w:val="0"/>
          <w:bCs w:val="0"/>
          <w:color w:val="174DA3"/>
          <w:sz w:val="40"/>
        </w:rPr>
      </w:pPr>
      <w:r w:rsidRPr="00C24166">
        <w:rPr>
          <w:rStyle w:val="Heading3Char"/>
        </w:rPr>
        <w:t xml:space="preserve">Previous Consideration </w:t>
      </w:r>
      <w:r w:rsidRPr="00C24166">
        <w:rPr>
          <w:rStyle w:val="Strong"/>
        </w:rPr>
        <w:br/>
        <w:t>Meeting:</w:t>
      </w:r>
      <w:r w:rsidR="00670A04">
        <w:t xml:space="preserve"> </w:t>
      </w:r>
      <w:r w:rsidR="002D51A1">
        <w:t>26 May 2025</w:t>
      </w:r>
      <w:r w:rsidR="00670A04">
        <w:t>.</w:t>
      </w:r>
      <w:r w:rsidRPr="00C24166">
        <w:rPr>
          <w:rStyle w:val="Strong"/>
        </w:rPr>
        <w:br/>
        <w:t xml:space="preserve">Details: </w:t>
      </w:r>
      <w:r w:rsidR="00670A04">
        <w:t xml:space="preserve"> The board</w:t>
      </w:r>
      <w:r w:rsidR="002D51A1">
        <w:t xml:space="preserve"> were presented with the Q3</w:t>
      </w:r>
      <w:r w:rsidR="00670A04">
        <w:t xml:space="preserve"> </w:t>
      </w:r>
      <w:r w:rsidR="002D51A1">
        <w:t>&amp;</w:t>
      </w:r>
      <w:r w:rsidR="00670A04">
        <w:t xml:space="preserve"> </w:t>
      </w:r>
      <w:r w:rsidR="002D51A1">
        <w:t xml:space="preserve">Q4 2024-25 report. Members </w:t>
      </w:r>
      <w:r w:rsidR="002D51A1" w:rsidRPr="00670A04">
        <w:rPr>
          <w:b/>
          <w:bCs/>
        </w:rPr>
        <w:t>noted</w:t>
      </w:r>
      <w:r w:rsidR="002D51A1">
        <w:t xml:space="preserve"> the report. </w:t>
      </w:r>
    </w:p>
    <w:p w14:paraId="0D2364E3" w14:textId="77777777" w:rsidR="00F14DC9" w:rsidRPr="00987633" w:rsidRDefault="00F14DC9" w:rsidP="00987633">
      <w:pPr>
        <w:pStyle w:val="Heading2"/>
      </w:pPr>
      <w:r w:rsidRPr="00987633">
        <w:t>Report</w:t>
      </w:r>
    </w:p>
    <w:p w14:paraId="3C0C7B50" w14:textId="598A3F15" w:rsidR="002D51A1" w:rsidRDefault="002D51A1" w:rsidP="00F15E6B">
      <w:pPr>
        <w:spacing w:after="0" w:line="276" w:lineRule="auto"/>
      </w:pPr>
      <w:r w:rsidRPr="002D51A1">
        <w:t xml:space="preserve">This report covers closed complaints for the period starting </w:t>
      </w:r>
      <w:r>
        <w:t xml:space="preserve">April 2025 </w:t>
      </w:r>
      <w:r w:rsidR="006002C6">
        <w:t>to end September 2025 (Q1</w:t>
      </w:r>
      <w:r w:rsidR="00670A04">
        <w:t xml:space="preserve"> </w:t>
      </w:r>
      <w:r w:rsidR="006002C6">
        <w:t>&amp;</w:t>
      </w:r>
      <w:r w:rsidR="00670A04">
        <w:t xml:space="preserve"> Q</w:t>
      </w:r>
      <w:r w:rsidR="006002C6">
        <w:t>2 2025</w:t>
      </w:r>
      <w:r w:rsidR="00670A04">
        <w:t>-</w:t>
      </w:r>
      <w:r w:rsidR="006002C6">
        <w:t xml:space="preserve">26 period). </w:t>
      </w:r>
    </w:p>
    <w:p w14:paraId="2C56CBA4" w14:textId="77777777" w:rsidR="002D51A1" w:rsidRPr="002D51A1" w:rsidRDefault="002D51A1" w:rsidP="00F15E6B">
      <w:pPr>
        <w:spacing w:after="0" w:line="276" w:lineRule="auto"/>
      </w:pPr>
    </w:p>
    <w:p w14:paraId="45E38168" w14:textId="6AB582F0" w:rsidR="002D51A1" w:rsidRDefault="00737447" w:rsidP="00F15E6B">
      <w:pPr>
        <w:spacing w:after="0" w:line="276" w:lineRule="auto"/>
      </w:pPr>
      <w:hyperlink w:anchor="_Table_5:_Quarter" w:history="1">
        <w:r w:rsidR="002D51A1" w:rsidRPr="00737447">
          <w:rPr>
            <w:rStyle w:val="Hyperlink"/>
            <w:b/>
            <w:bCs/>
            <w:color w:val="174DA3"/>
          </w:rPr>
          <w:t>Table 5</w:t>
        </w:r>
      </w:hyperlink>
      <w:r w:rsidR="002D51A1" w:rsidRPr="002D51A1">
        <w:t xml:space="preserve"> appended shows the number of closed complaints across previous quarters to allow a </w:t>
      </w:r>
      <w:r w:rsidR="0095507C" w:rsidRPr="002D51A1">
        <w:t>quarter-by-quarter</w:t>
      </w:r>
      <w:r w:rsidR="002D51A1" w:rsidRPr="002D51A1">
        <w:t xml:space="preserve"> comparison. </w:t>
      </w:r>
    </w:p>
    <w:p w14:paraId="43E84859" w14:textId="013CD70C" w:rsidR="002D51A1" w:rsidRDefault="002D51A1" w:rsidP="00F15E6B">
      <w:pPr>
        <w:spacing w:after="0" w:line="276" w:lineRule="auto"/>
      </w:pPr>
      <w:r w:rsidRPr="002D51A1">
        <w:rPr>
          <w:b/>
          <w:bCs/>
        </w:rPr>
        <w:lastRenderedPageBreak/>
        <w:t>Frontline complaints</w:t>
      </w:r>
      <w:r w:rsidRPr="002D51A1">
        <w:t xml:space="preserve"> are those that are straightforward and easily resolved with little or no investigation required. These complaints have a response deadline of </w:t>
      </w:r>
      <w:r w:rsidR="00CB7CF8">
        <w:t>five</w:t>
      </w:r>
      <w:r w:rsidRPr="002D51A1">
        <w:t xml:space="preserve"> working days.</w:t>
      </w:r>
    </w:p>
    <w:p w14:paraId="4C36DBDD" w14:textId="77777777" w:rsidR="006002C6" w:rsidRPr="002D51A1" w:rsidRDefault="006002C6" w:rsidP="00F15E6B">
      <w:pPr>
        <w:spacing w:after="0" w:line="276" w:lineRule="auto"/>
        <w:rPr>
          <w:b/>
          <w:bCs/>
        </w:rPr>
      </w:pPr>
    </w:p>
    <w:p w14:paraId="412C68CE" w14:textId="77777777" w:rsidR="002D51A1" w:rsidRDefault="002D51A1" w:rsidP="00F15E6B">
      <w:pPr>
        <w:spacing w:after="0" w:line="276" w:lineRule="auto"/>
      </w:pPr>
      <w:r w:rsidRPr="002D51A1">
        <w:rPr>
          <w:b/>
          <w:bCs/>
        </w:rPr>
        <w:t>Investigation complaints</w:t>
      </w:r>
      <w:r w:rsidRPr="002D51A1">
        <w:t xml:space="preserve"> are those that have not been resolved at the frontline or for issues that require investigation and may be serious, complex or high risk. These complaints have a response deadline of 20 working days.</w:t>
      </w:r>
    </w:p>
    <w:p w14:paraId="0B834F36" w14:textId="77777777" w:rsidR="006002C6" w:rsidRPr="002D51A1" w:rsidRDefault="006002C6" w:rsidP="002D51A1">
      <w:pPr>
        <w:spacing w:after="0"/>
      </w:pPr>
    </w:p>
    <w:p w14:paraId="7506A68F" w14:textId="606690F6" w:rsidR="006002C6" w:rsidRDefault="002D51A1" w:rsidP="00432FF0">
      <w:pPr>
        <w:spacing w:after="0" w:line="276" w:lineRule="auto"/>
      </w:pPr>
      <w:r w:rsidRPr="002D51A1">
        <w:t>In addition to recording whether a complaint has been “upheld” or “not upheld” the SPSO introduced a further category of “resolved”. According to the SPSO, a complaint is considered resolved when both the customer and the organi</w:t>
      </w:r>
      <w:r w:rsidR="00CB7CF8">
        <w:t>s</w:t>
      </w:r>
      <w:r w:rsidRPr="002D51A1">
        <w:t>ation agree on a course of action to fully resolve the issue. This agreement does not require a decision on whether the complaint was upheld or not.</w:t>
      </w:r>
    </w:p>
    <w:p w14:paraId="1EB69802" w14:textId="77777777" w:rsidR="006002C6" w:rsidRDefault="006002C6" w:rsidP="00987633">
      <w:pPr>
        <w:pStyle w:val="Heading2"/>
      </w:pPr>
      <w:r w:rsidRPr="006002C6">
        <w:t>Frontline complaints closed</w:t>
      </w:r>
    </w:p>
    <w:p w14:paraId="0EBB8A3E" w14:textId="466D25C7" w:rsidR="006002C6" w:rsidRDefault="00DD6FC1" w:rsidP="00987633">
      <w:pPr>
        <w:pStyle w:val="Heading3"/>
        <w:rPr>
          <w:lang w:val="en-US"/>
        </w:rPr>
      </w:pPr>
      <w:r>
        <w:rPr>
          <w:lang w:val="en-US"/>
        </w:rPr>
        <w:t>Quarter 1 – April to June 2025</w:t>
      </w:r>
    </w:p>
    <w:p w14:paraId="4E1DD234" w14:textId="73E5FEEB" w:rsidR="00DD6FC1" w:rsidRDefault="00DD6FC1" w:rsidP="00DD6FC1">
      <w:pPr>
        <w:rPr>
          <w:lang w:val="en-US"/>
        </w:rPr>
      </w:pPr>
      <w:r>
        <w:rPr>
          <w:lang w:val="en-US"/>
        </w:rPr>
        <w:t xml:space="preserve">In quarter one there were two frontline complaints closed. One was partially upheld. </w:t>
      </w:r>
    </w:p>
    <w:tbl>
      <w:tblPr>
        <w:tblStyle w:val="TableGrid"/>
        <w:tblW w:w="0" w:type="auto"/>
        <w:tblLook w:val="04A0" w:firstRow="1" w:lastRow="0" w:firstColumn="1" w:lastColumn="0" w:noHBand="0" w:noVBand="1"/>
      </w:tblPr>
      <w:tblGrid>
        <w:gridCol w:w="3397"/>
        <w:gridCol w:w="1701"/>
        <w:gridCol w:w="2127"/>
        <w:gridCol w:w="3118"/>
      </w:tblGrid>
      <w:tr w:rsidR="00DD6FC1" w:rsidRPr="00DD6FC1" w14:paraId="05F43088" w14:textId="77777777" w:rsidTr="00F9740B">
        <w:tc>
          <w:tcPr>
            <w:tcW w:w="3397" w:type="dxa"/>
            <w:shd w:val="clear" w:color="auto" w:fill="A2D2FF"/>
          </w:tcPr>
          <w:p w14:paraId="68770E8D" w14:textId="35C96734" w:rsidR="00DD6FC1" w:rsidRPr="00DD6FC1" w:rsidRDefault="00F9740B" w:rsidP="00DD6FC1">
            <w:pPr>
              <w:spacing w:after="120"/>
              <w:rPr>
                <w:b/>
              </w:rPr>
            </w:pPr>
            <w:r w:rsidRPr="00F9740B">
              <w:rPr>
                <w:b/>
              </w:rPr>
              <w:t>Quarter One Partially Upheld Complaint</w:t>
            </w:r>
          </w:p>
        </w:tc>
        <w:tc>
          <w:tcPr>
            <w:tcW w:w="1701" w:type="dxa"/>
            <w:shd w:val="clear" w:color="auto" w:fill="A2D2FF"/>
          </w:tcPr>
          <w:p w14:paraId="3A7616D5" w14:textId="77777777" w:rsidR="00DD6FC1" w:rsidRPr="00DD6FC1" w:rsidRDefault="00DD6FC1" w:rsidP="00DD6FC1">
            <w:pPr>
              <w:spacing w:after="120"/>
              <w:rPr>
                <w:b/>
              </w:rPr>
            </w:pPr>
            <w:r w:rsidRPr="00DD6FC1">
              <w:rPr>
                <w:b/>
              </w:rPr>
              <w:t>Complainer</w:t>
            </w:r>
          </w:p>
        </w:tc>
        <w:tc>
          <w:tcPr>
            <w:tcW w:w="2127" w:type="dxa"/>
            <w:shd w:val="clear" w:color="auto" w:fill="A2D2FF"/>
          </w:tcPr>
          <w:p w14:paraId="5F56BA86" w14:textId="77777777" w:rsidR="00DD6FC1" w:rsidRPr="00DD6FC1" w:rsidRDefault="00DD6FC1" w:rsidP="00DD6FC1">
            <w:pPr>
              <w:spacing w:after="120"/>
              <w:rPr>
                <w:b/>
              </w:rPr>
            </w:pPr>
            <w:r w:rsidRPr="00DD6FC1">
              <w:rPr>
                <w:b/>
              </w:rPr>
              <w:t>Department</w:t>
            </w:r>
          </w:p>
        </w:tc>
        <w:tc>
          <w:tcPr>
            <w:tcW w:w="3118" w:type="dxa"/>
            <w:shd w:val="clear" w:color="auto" w:fill="A2D2FF"/>
          </w:tcPr>
          <w:p w14:paraId="1D3E9C05" w14:textId="77777777" w:rsidR="00DD6FC1" w:rsidRPr="00DD6FC1" w:rsidRDefault="00DD6FC1" w:rsidP="00DD6FC1">
            <w:pPr>
              <w:spacing w:after="120"/>
              <w:rPr>
                <w:b/>
              </w:rPr>
            </w:pPr>
            <w:r w:rsidRPr="00DD6FC1">
              <w:rPr>
                <w:b/>
              </w:rPr>
              <w:t>Complaint Category</w:t>
            </w:r>
          </w:p>
        </w:tc>
      </w:tr>
      <w:tr w:rsidR="00DD6FC1" w:rsidRPr="00DD6FC1" w14:paraId="03321E00" w14:textId="77777777" w:rsidTr="00F9740B">
        <w:tc>
          <w:tcPr>
            <w:tcW w:w="3397" w:type="dxa"/>
          </w:tcPr>
          <w:p w14:paraId="03F6742D" w14:textId="77777777" w:rsidR="00DD6FC1" w:rsidRPr="00DD6FC1" w:rsidRDefault="00DD6FC1" w:rsidP="00DD6FC1">
            <w:pPr>
              <w:spacing w:after="120"/>
            </w:pPr>
            <w:r w:rsidRPr="00DD6FC1">
              <w:t>Complaint A</w:t>
            </w:r>
          </w:p>
        </w:tc>
        <w:tc>
          <w:tcPr>
            <w:tcW w:w="1701" w:type="dxa"/>
          </w:tcPr>
          <w:p w14:paraId="20D3A09E" w14:textId="77777777" w:rsidR="00DD6FC1" w:rsidRPr="00DD6FC1" w:rsidRDefault="00DD6FC1" w:rsidP="00DD6FC1">
            <w:pPr>
              <w:spacing w:after="120"/>
            </w:pPr>
            <w:r w:rsidRPr="00DD6FC1">
              <w:t>Solicitor</w:t>
            </w:r>
          </w:p>
        </w:tc>
        <w:tc>
          <w:tcPr>
            <w:tcW w:w="2127" w:type="dxa"/>
          </w:tcPr>
          <w:p w14:paraId="71C57EB3" w14:textId="77777777" w:rsidR="00DD6FC1" w:rsidRPr="00DD6FC1" w:rsidRDefault="00DD6FC1" w:rsidP="00DD6FC1">
            <w:pPr>
              <w:spacing w:after="120"/>
            </w:pPr>
            <w:r w:rsidRPr="00DD6FC1">
              <w:t>Civil Applications</w:t>
            </w:r>
          </w:p>
        </w:tc>
        <w:tc>
          <w:tcPr>
            <w:tcW w:w="3118" w:type="dxa"/>
          </w:tcPr>
          <w:p w14:paraId="409A86CC" w14:textId="77777777" w:rsidR="00DD6FC1" w:rsidRPr="00DD6FC1" w:rsidRDefault="00DD6FC1" w:rsidP="00DD6FC1">
            <w:pPr>
              <w:spacing w:after="120"/>
            </w:pPr>
            <w:r w:rsidRPr="00DD6FC1">
              <w:t>Mistake in Decision Making</w:t>
            </w:r>
          </w:p>
        </w:tc>
      </w:tr>
    </w:tbl>
    <w:p w14:paraId="36AC418E" w14:textId="39F60CDF" w:rsidR="006002C6" w:rsidRDefault="00F9740B" w:rsidP="00432FF0">
      <w:pPr>
        <w:spacing w:after="0" w:line="276" w:lineRule="auto"/>
      </w:pPr>
      <w:r>
        <w:br/>
      </w:r>
      <w:r w:rsidR="00DD6FC1">
        <w:t>Complaint A related to the refusal of an application. While it was accepted the terms for refusal were correct, they could have been expressed in</w:t>
      </w:r>
      <w:r w:rsidR="002E784E">
        <w:t xml:space="preserve"> a</w:t>
      </w:r>
      <w:r w:rsidR="00DD6FC1">
        <w:t xml:space="preserve"> more detail</w:t>
      </w:r>
      <w:r w:rsidR="002E784E">
        <w:t>ed and constructive manner</w:t>
      </w:r>
      <w:r w:rsidR="00DD6FC1">
        <w:t>.</w:t>
      </w:r>
      <w:r w:rsidR="00432FF0">
        <w:t xml:space="preserve"> </w:t>
      </w:r>
      <w:r w:rsidR="00DD6FC1">
        <w:t>An apology was issued to the solicitor and</w:t>
      </w:r>
      <w:r>
        <w:t xml:space="preserve"> the </w:t>
      </w:r>
      <w:r>
        <w:t>Head of Civil and Children’s Legal Assistance</w:t>
      </w:r>
      <w:r>
        <w:t>,</w:t>
      </w:r>
      <w:r w:rsidR="00DD6FC1">
        <w:t xml:space="preserve"> Wendy Dalgliesh, </w:t>
      </w:r>
      <w:r w:rsidR="002E784E">
        <w:t xml:space="preserve">spoke to team members about framing such refusals in future. </w:t>
      </w:r>
    </w:p>
    <w:p w14:paraId="196499F2" w14:textId="77777777" w:rsidR="002E784E" w:rsidRDefault="002E784E" w:rsidP="002D51A1">
      <w:pPr>
        <w:spacing w:after="0"/>
      </w:pPr>
    </w:p>
    <w:p w14:paraId="1CFC4471" w14:textId="079FAC06" w:rsidR="002E784E" w:rsidRDefault="002E784E" w:rsidP="00987633">
      <w:pPr>
        <w:pStyle w:val="Heading3"/>
        <w:rPr>
          <w:lang w:val="en-US"/>
        </w:rPr>
      </w:pPr>
      <w:r w:rsidRPr="002E784E">
        <w:rPr>
          <w:lang w:val="en-US"/>
        </w:rPr>
        <w:t>Quarter 2 – July – September 2025</w:t>
      </w:r>
    </w:p>
    <w:p w14:paraId="3D5EAA49" w14:textId="0271E598" w:rsidR="002E784E" w:rsidRDefault="002E784E" w:rsidP="00432FF0">
      <w:pPr>
        <w:spacing w:line="276" w:lineRule="auto"/>
        <w:rPr>
          <w:lang w:val="en-US"/>
        </w:rPr>
      </w:pPr>
      <w:r>
        <w:rPr>
          <w:lang w:val="en-US"/>
        </w:rPr>
        <w:t xml:space="preserve">In quarter two there were three frontline complaints closed. None were upheld. </w:t>
      </w:r>
    </w:p>
    <w:p w14:paraId="1784FEC3" w14:textId="797291AE" w:rsidR="002E784E" w:rsidRPr="0023688A" w:rsidRDefault="002E784E" w:rsidP="0023688A">
      <w:pPr>
        <w:pStyle w:val="Heading2"/>
      </w:pPr>
      <w:r w:rsidRPr="0023688A">
        <w:t>Investigation Complaints Closed</w:t>
      </w:r>
    </w:p>
    <w:p w14:paraId="45E19B3C" w14:textId="77777777" w:rsidR="00367FC5" w:rsidRPr="00367FC5" w:rsidRDefault="00367FC5" w:rsidP="0023688A">
      <w:pPr>
        <w:pStyle w:val="Heading3"/>
        <w:rPr>
          <w:lang w:val="en-US"/>
        </w:rPr>
      </w:pPr>
      <w:r w:rsidRPr="00367FC5">
        <w:rPr>
          <w:lang w:val="en-US"/>
        </w:rPr>
        <w:t>Quarter 1 – April to June 2025</w:t>
      </w:r>
    </w:p>
    <w:p w14:paraId="5761DAC8" w14:textId="5E7A89AC" w:rsidR="00261E82" w:rsidRDefault="00367FC5" w:rsidP="00432FF0">
      <w:pPr>
        <w:spacing w:line="276" w:lineRule="auto"/>
        <w:rPr>
          <w:lang w:val="en-US"/>
        </w:rPr>
      </w:pPr>
      <w:r>
        <w:rPr>
          <w:lang w:val="en-US"/>
        </w:rPr>
        <w:t>In quarter 1 there were seven investigation complaints closed. Of these, two were upheld and one was partially upheld.</w:t>
      </w:r>
    </w:p>
    <w:tbl>
      <w:tblPr>
        <w:tblStyle w:val="TableGrid"/>
        <w:tblW w:w="0" w:type="auto"/>
        <w:tblLook w:val="04A0" w:firstRow="1" w:lastRow="0" w:firstColumn="1" w:lastColumn="0" w:noHBand="0" w:noVBand="1"/>
      </w:tblPr>
      <w:tblGrid>
        <w:gridCol w:w="3397"/>
        <w:gridCol w:w="1701"/>
        <w:gridCol w:w="1985"/>
        <w:gridCol w:w="3260"/>
      </w:tblGrid>
      <w:tr w:rsidR="00367FC5" w:rsidRPr="00367FC5" w14:paraId="583C8B62" w14:textId="77777777" w:rsidTr="00F9740B">
        <w:tc>
          <w:tcPr>
            <w:tcW w:w="3397" w:type="dxa"/>
            <w:shd w:val="clear" w:color="auto" w:fill="A2D2FF"/>
          </w:tcPr>
          <w:p w14:paraId="6F080FD1" w14:textId="1BC0CFE6" w:rsidR="00367FC5" w:rsidRPr="00367FC5" w:rsidRDefault="00F9740B" w:rsidP="00367FC5">
            <w:pPr>
              <w:rPr>
                <w:b/>
              </w:rPr>
            </w:pPr>
            <w:r w:rsidRPr="00F9740B">
              <w:rPr>
                <w:b/>
              </w:rPr>
              <w:t>Quarter One Upheld Investigation Complaints</w:t>
            </w:r>
          </w:p>
        </w:tc>
        <w:tc>
          <w:tcPr>
            <w:tcW w:w="1701" w:type="dxa"/>
            <w:shd w:val="clear" w:color="auto" w:fill="A2D2FF"/>
          </w:tcPr>
          <w:p w14:paraId="2353B89E" w14:textId="77777777" w:rsidR="00367FC5" w:rsidRPr="00367FC5" w:rsidRDefault="00367FC5" w:rsidP="00367FC5">
            <w:pPr>
              <w:rPr>
                <w:b/>
              </w:rPr>
            </w:pPr>
            <w:r w:rsidRPr="00367FC5">
              <w:rPr>
                <w:b/>
              </w:rPr>
              <w:t>Complainer</w:t>
            </w:r>
          </w:p>
        </w:tc>
        <w:tc>
          <w:tcPr>
            <w:tcW w:w="1985" w:type="dxa"/>
            <w:shd w:val="clear" w:color="auto" w:fill="A2D2FF"/>
          </w:tcPr>
          <w:p w14:paraId="5DDE4A42" w14:textId="77777777" w:rsidR="00367FC5" w:rsidRPr="00367FC5" w:rsidRDefault="00367FC5" w:rsidP="00367FC5">
            <w:pPr>
              <w:rPr>
                <w:b/>
              </w:rPr>
            </w:pPr>
            <w:r w:rsidRPr="00367FC5">
              <w:rPr>
                <w:b/>
              </w:rPr>
              <w:t>Department</w:t>
            </w:r>
          </w:p>
        </w:tc>
        <w:tc>
          <w:tcPr>
            <w:tcW w:w="3260" w:type="dxa"/>
            <w:shd w:val="clear" w:color="auto" w:fill="A2D2FF"/>
          </w:tcPr>
          <w:p w14:paraId="33D39D0B" w14:textId="77777777" w:rsidR="00367FC5" w:rsidRPr="00367FC5" w:rsidRDefault="00367FC5" w:rsidP="00367FC5">
            <w:pPr>
              <w:rPr>
                <w:b/>
              </w:rPr>
            </w:pPr>
            <w:r w:rsidRPr="00367FC5">
              <w:rPr>
                <w:b/>
              </w:rPr>
              <w:t>Complaint Category</w:t>
            </w:r>
          </w:p>
        </w:tc>
      </w:tr>
      <w:tr w:rsidR="00367FC5" w:rsidRPr="00367FC5" w14:paraId="76ECADF0" w14:textId="77777777" w:rsidTr="00F9740B">
        <w:tc>
          <w:tcPr>
            <w:tcW w:w="3397" w:type="dxa"/>
          </w:tcPr>
          <w:p w14:paraId="25BC0705" w14:textId="498C14CB" w:rsidR="00367FC5" w:rsidRPr="00367FC5" w:rsidRDefault="00367FC5" w:rsidP="00367FC5">
            <w:r w:rsidRPr="00367FC5">
              <w:t xml:space="preserve">Complaint </w:t>
            </w:r>
            <w:r>
              <w:t>B</w:t>
            </w:r>
          </w:p>
        </w:tc>
        <w:tc>
          <w:tcPr>
            <w:tcW w:w="1701" w:type="dxa"/>
          </w:tcPr>
          <w:p w14:paraId="39660B2E" w14:textId="4C6E3B2A" w:rsidR="00367FC5" w:rsidRPr="00367FC5" w:rsidRDefault="00367FC5" w:rsidP="00367FC5">
            <w:r>
              <w:t>Solicitor</w:t>
            </w:r>
          </w:p>
        </w:tc>
        <w:tc>
          <w:tcPr>
            <w:tcW w:w="1985" w:type="dxa"/>
          </w:tcPr>
          <w:p w14:paraId="1AC7BEAD" w14:textId="4E9C4A77" w:rsidR="00367FC5" w:rsidRPr="00367FC5" w:rsidRDefault="00367FC5" w:rsidP="00367FC5">
            <w:r w:rsidRPr="00367FC5">
              <w:t xml:space="preserve">Civil </w:t>
            </w:r>
            <w:r>
              <w:t>Applications</w:t>
            </w:r>
          </w:p>
        </w:tc>
        <w:tc>
          <w:tcPr>
            <w:tcW w:w="3260" w:type="dxa"/>
          </w:tcPr>
          <w:p w14:paraId="7BEAB9F4" w14:textId="5FD48D4C" w:rsidR="00367FC5" w:rsidRPr="00367FC5" w:rsidRDefault="00367FC5" w:rsidP="00367FC5">
            <w:r w:rsidRPr="00367FC5">
              <w:t>Poor communication or standard of service</w:t>
            </w:r>
          </w:p>
        </w:tc>
      </w:tr>
      <w:tr w:rsidR="00367FC5" w:rsidRPr="00367FC5" w14:paraId="65E4A456" w14:textId="77777777" w:rsidTr="00F9740B">
        <w:tc>
          <w:tcPr>
            <w:tcW w:w="3397" w:type="dxa"/>
          </w:tcPr>
          <w:p w14:paraId="7C92A3BF" w14:textId="23FD7CD4" w:rsidR="00367FC5" w:rsidRPr="00367FC5" w:rsidRDefault="00367FC5" w:rsidP="00367FC5">
            <w:r>
              <w:t>Complaint C</w:t>
            </w:r>
          </w:p>
        </w:tc>
        <w:tc>
          <w:tcPr>
            <w:tcW w:w="1701" w:type="dxa"/>
          </w:tcPr>
          <w:p w14:paraId="20A0DEAF" w14:textId="7EF25798" w:rsidR="00367FC5" w:rsidRPr="00367FC5" w:rsidRDefault="00367FC5" w:rsidP="00367FC5">
            <w:r>
              <w:t>Applicant</w:t>
            </w:r>
          </w:p>
        </w:tc>
        <w:tc>
          <w:tcPr>
            <w:tcW w:w="1985" w:type="dxa"/>
          </w:tcPr>
          <w:p w14:paraId="568BA2A2" w14:textId="5FCE346C" w:rsidR="00367FC5" w:rsidRPr="00367FC5" w:rsidRDefault="00367FC5" w:rsidP="00367FC5">
            <w:r>
              <w:t>Civil Finance</w:t>
            </w:r>
          </w:p>
        </w:tc>
        <w:tc>
          <w:tcPr>
            <w:tcW w:w="3260" w:type="dxa"/>
          </w:tcPr>
          <w:p w14:paraId="45EB107F" w14:textId="0C2A723E" w:rsidR="00367FC5" w:rsidRPr="00367FC5" w:rsidRDefault="004B312B" w:rsidP="00367FC5">
            <w:r w:rsidRPr="004B312B">
              <w:t>Treatment by staff or staff attitude</w:t>
            </w:r>
          </w:p>
        </w:tc>
      </w:tr>
    </w:tbl>
    <w:p w14:paraId="63369A13" w14:textId="77777777" w:rsidR="00202250" w:rsidRPr="00C24166" w:rsidRDefault="00202250" w:rsidP="00C24166">
      <w:pPr>
        <w:spacing w:after="0"/>
      </w:pPr>
    </w:p>
    <w:p w14:paraId="46331A77" w14:textId="6AFAD71F" w:rsidR="00367FC5" w:rsidRDefault="00AF73EB" w:rsidP="00432FF0">
      <w:pPr>
        <w:spacing w:line="276" w:lineRule="auto"/>
        <w:rPr>
          <w:bCs/>
          <w:lang w:val="en-US"/>
        </w:rPr>
      </w:pPr>
      <w:r w:rsidRPr="00AF73EB">
        <w:rPr>
          <w:bCs/>
          <w:lang w:val="en-US"/>
        </w:rPr>
        <w:t>Com</w:t>
      </w:r>
      <w:r>
        <w:rPr>
          <w:bCs/>
          <w:lang w:val="en-US"/>
        </w:rPr>
        <w:t xml:space="preserve">plaint B was from a solicitor who had not received correspondence relating to an amendment for a case cost increase. This was due to an IT system error. An apology was issued and the technical matter raised and resolved with Digital Services. </w:t>
      </w:r>
      <w:r w:rsidR="00C57E1C">
        <w:rPr>
          <w:bCs/>
          <w:lang w:val="en-US"/>
        </w:rPr>
        <w:t xml:space="preserve">The error was put down to a glitch rather than a </w:t>
      </w:r>
      <w:r w:rsidR="00333F80">
        <w:rPr>
          <w:bCs/>
          <w:lang w:val="en-US"/>
        </w:rPr>
        <w:t>recurrent problem.</w:t>
      </w:r>
    </w:p>
    <w:p w14:paraId="7ACF0C30" w14:textId="0F79C437" w:rsidR="00AF73EB" w:rsidRDefault="00AF73EB" w:rsidP="00432FF0">
      <w:pPr>
        <w:spacing w:line="276" w:lineRule="auto"/>
        <w:rPr>
          <w:bCs/>
          <w:lang w:val="en-US"/>
        </w:rPr>
      </w:pPr>
      <w:r>
        <w:rPr>
          <w:bCs/>
          <w:lang w:val="en-US"/>
        </w:rPr>
        <w:lastRenderedPageBreak/>
        <w:t>Complaint C was an applicant who was of the view</w:t>
      </w:r>
      <w:r w:rsidR="00F9740B">
        <w:rPr>
          <w:bCs/>
          <w:lang w:val="en-US"/>
        </w:rPr>
        <w:t xml:space="preserve"> that</w:t>
      </w:r>
      <w:r>
        <w:rPr>
          <w:bCs/>
          <w:lang w:val="en-US"/>
        </w:rPr>
        <w:t xml:space="preserve"> </w:t>
      </w:r>
      <w:r w:rsidR="00603314">
        <w:rPr>
          <w:bCs/>
          <w:lang w:val="en-US"/>
        </w:rPr>
        <w:t xml:space="preserve">we did not show </w:t>
      </w:r>
      <w:r>
        <w:rPr>
          <w:bCs/>
          <w:lang w:val="en-US"/>
        </w:rPr>
        <w:t>an appropriate degree of empathy</w:t>
      </w:r>
      <w:r w:rsidR="00603314">
        <w:rPr>
          <w:bCs/>
          <w:lang w:val="en-US"/>
        </w:rPr>
        <w:t xml:space="preserve"> when dealing with their case</w:t>
      </w:r>
      <w:r>
        <w:rPr>
          <w:bCs/>
          <w:lang w:val="en-US"/>
        </w:rPr>
        <w:t xml:space="preserve">. A full explanation and apology </w:t>
      </w:r>
      <w:r w:rsidR="00333F80">
        <w:rPr>
          <w:bCs/>
          <w:lang w:val="en-US"/>
        </w:rPr>
        <w:t>were</w:t>
      </w:r>
      <w:r>
        <w:rPr>
          <w:bCs/>
          <w:lang w:val="en-US"/>
        </w:rPr>
        <w:t xml:space="preserve"> provided and training requirements for staff were identified and actioned. </w:t>
      </w:r>
    </w:p>
    <w:tbl>
      <w:tblPr>
        <w:tblStyle w:val="TableGrid"/>
        <w:tblW w:w="0" w:type="auto"/>
        <w:tblLook w:val="04A0" w:firstRow="1" w:lastRow="0" w:firstColumn="1" w:lastColumn="0" w:noHBand="0" w:noVBand="1"/>
      </w:tblPr>
      <w:tblGrid>
        <w:gridCol w:w="3397"/>
        <w:gridCol w:w="1701"/>
        <w:gridCol w:w="1985"/>
        <w:gridCol w:w="3260"/>
      </w:tblGrid>
      <w:tr w:rsidR="00120117" w:rsidRPr="00120117" w14:paraId="48336494" w14:textId="77777777" w:rsidTr="00F9740B">
        <w:tc>
          <w:tcPr>
            <w:tcW w:w="3397" w:type="dxa"/>
            <w:shd w:val="clear" w:color="auto" w:fill="A2D2FF"/>
          </w:tcPr>
          <w:p w14:paraId="55D590FD" w14:textId="2A335101" w:rsidR="00120117" w:rsidRPr="00120117" w:rsidRDefault="00F9740B" w:rsidP="00120117">
            <w:pPr>
              <w:rPr>
                <w:b/>
              </w:rPr>
            </w:pPr>
            <w:r w:rsidRPr="00F9740B">
              <w:rPr>
                <w:b/>
              </w:rPr>
              <w:t>Quarter One Partially Upheld Investigation Complaints</w:t>
            </w:r>
          </w:p>
        </w:tc>
        <w:tc>
          <w:tcPr>
            <w:tcW w:w="1701" w:type="dxa"/>
            <w:shd w:val="clear" w:color="auto" w:fill="A2D2FF"/>
          </w:tcPr>
          <w:p w14:paraId="7D281625" w14:textId="77777777" w:rsidR="00120117" w:rsidRPr="00120117" w:rsidRDefault="00120117" w:rsidP="00120117">
            <w:pPr>
              <w:spacing w:after="120"/>
              <w:rPr>
                <w:b/>
              </w:rPr>
            </w:pPr>
            <w:r w:rsidRPr="00120117">
              <w:rPr>
                <w:b/>
              </w:rPr>
              <w:t>Complainer</w:t>
            </w:r>
          </w:p>
        </w:tc>
        <w:tc>
          <w:tcPr>
            <w:tcW w:w="1985" w:type="dxa"/>
            <w:shd w:val="clear" w:color="auto" w:fill="A2D2FF"/>
          </w:tcPr>
          <w:p w14:paraId="05E67A4A" w14:textId="77777777" w:rsidR="00120117" w:rsidRPr="00120117" w:rsidRDefault="00120117" w:rsidP="00120117">
            <w:pPr>
              <w:spacing w:after="120"/>
              <w:rPr>
                <w:b/>
              </w:rPr>
            </w:pPr>
            <w:r w:rsidRPr="00120117">
              <w:rPr>
                <w:b/>
              </w:rPr>
              <w:t>Department</w:t>
            </w:r>
          </w:p>
        </w:tc>
        <w:tc>
          <w:tcPr>
            <w:tcW w:w="3260" w:type="dxa"/>
            <w:shd w:val="clear" w:color="auto" w:fill="A2D2FF"/>
          </w:tcPr>
          <w:p w14:paraId="75EE0B46" w14:textId="77777777" w:rsidR="00120117" w:rsidRPr="00120117" w:rsidRDefault="00120117" w:rsidP="00120117">
            <w:pPr>
              <w:spacing w:after="120"/>
              <w:rPr>
                <w:b/>
              </w:rPr>
            </w:pPr>
            <w:r w:rsidRPr="00120117">
              <w:rPr>
                <w:b/>
              </w:rPr>
              <w:t>Complaint Category</w:t>
            </w:r>
          </w:p>
        </w:tc>
      </w:tr>
      <w:tr w:rsidR="00120117" w:rsidRPr="00120117" w14:paraId="7E3DEC88" w14:textId="77777777" w:rsidTr="00F9740B">
        <w:tc>
          <w:tcPr>
            <w:tcW w:w="3397" w:type="dxa"/>
          </w:tcPr>
          <w:p w14:paraId="76A66E2F" w14:textId="11D4AF54" w:rsidR="00120117" w:rsidRPr="00120117" w:rsidRDefault="00120117" w:rsidP="00120117">
            <w:r w:rsidRPr="00120117">
              <w:t xml:space="preserve">Complaint </w:t>
            </w:r>
            <w:r>
              <w:t>D</w:t>
            </w:r>
          </w:p>
        </w:tc>
        <w:tc>
          <w:tcPr>
            <w:tcW w:w="1701" w:type="dxa"/>
          </w:tcPr>
          <w:p w14:paraId="69DDFAE8" w14:textId="2B25DD1B" w:rsidR="00120117" w:rsidRPr="00120117" w:rsidRDefault="00120117" w:rsidP="00120117">
            <w:r>
              <w:t>Applicant</w:t>
            </w:r>
          </w:p>
        </w:tc>
        <w:tc>
          <w:tcPr>
            <w:tcW w:w="1985" w:type="dxa"/>
          </w:tcPr>
          <w:p w14:paraId="03EF7D9D" w14:textId="3F37AD30" w:rsidR="00120117" w:rsidRPr="00120117" w:rsidRDefault="00120117" w:rsidP="00120117">
            <w:r w:rsidRPr="00120117">
              <w:t xml:space="preserve">Civil </w:t>
            </w:r>
            <w:r>
              <w:t>Finance</w:t>
            </w:r>
          </w:p>
        </w:tc>
        <w:tc>
          <w:tcPr>
            <w:tcW w:w="3260" w:type="dxa"/>
          </w:tcPr>
          <w:p w14:paraId="15B28FA8" w14:textId="60196626" w:rsidR="00120117" w:rsidRPr="00120117" w:rsidRDefault="00120117" w:rsidP="00120117">
            <w:r w:rsidRPr="00120117">
              <w:t>Treatment by staff or staff attitude</w:t>
            </w:r>
          </w:p>
        </w:tc>
      </w:tr>
    </w:tbl>
    <w:p w14:paraId="7DBE69D7" w14:textId="78A3466E" w:rsidR="00120117" w:rsidRPr="00120117" w:rsidRDefault="00F9740B" w:rsidP="00432FF0">
      <w:pPr>
        <w:spacing w:line="276" w:lineRule="auto"/>
        <w:rPr>
          <w:lang w:val="en-US"/>
        </w:rPr>
      </w:pPr>
      <w:r>
        <w:rPr>
          <w:lang w:val="en-US"/>
        </w:rPr>
        <w:br/>
      </w:r>
      <w:r w:rsidR="00120117">
        <w:rPr>
          <w:lang w:val="en-US"/>
        </w:rPr>
        <w:t>The complainer in complaint D was of the view that their application had been dealt with in an incompetent manner. An error had been made</w:t>
      </w:r>
      <w:r w:rsidR="0035178C">
        <w:rPr>
          <w:lang w:val="en-US"/>
        </w:rPr>
        <w:t xml:space="preserve"> when assessing financial information </w:t>
      </w:r>
      <w:r w:rsidR="001F264E">
        <w:rPr>
          <w:lang w:val="en-US"/>
        </w:rPr>
        <w:t>and there had been some confusion on the part of the assessment officer over certain transactions, which</w:t>
      </w:r>
      <w:r w:rsidR="00261E82">
        <w:rPr>
          <w:lang w:val="en-US"/>
        </w:rPr>
        <w:t xml:space="preserve"> had</w:t>
      </w:r>
      <w:r w:rsidR="00120117">
        <w:rPr>
          <w:lang w:val="en-US"/>
        </w:rPr>
        <w:t xml:space="preserve"> </w:t>
      </w:r>
      <w:r w:rsidR="006F0D8E">
        <w:rPr>
          <w:lang w:val="en-US"/>
        </w:rPr>
        <w:t xml:space="preserve">upset the applicant. An apology was issued and steps were taken to avoid similar </w:t>
      </w:r>
      <w:r w:rsidR="00333F80">
        <w:rPr>
          <w:lang w:val="en-US"/>
        </w:rPr>
        <w:t>problems</w:t>
      </w:r>
      <w:r w:rsidR="006F0D8E">
        <w:rPr>
          <w:lang w:val="en-US"/>
        </w:rPr>
        <w:t xml:space="preserve">. The error did not affect the outcome of the application. </w:t>
      </w:r>
    </w:p>
    <w:p w14:paraId="39FB9A47" w14:textId="592F1C45" w:rsidR="00120117" w:rsidRDefault="006F0D8E" w:rsidP="0023688A">
      <w:pPr>
        <w:pStyle w:val="Heading3"/>
        <w:rPr>
          <w:lang w:val="en-US"/>
        </w:rPr>
      </w:pPr>
      <w:r>
        <w:rPr>
          <w:lang w:val="en-US"/>
        </w:rPr>
        <w:t>Quarter 2 – July to September 2025</w:t>
      </w:r>
    </w:p>
    <w:p w14:paraId="633AEB8E" w14:textId="032634F9" w:rsidR="006F0D8E" w:rsidRDefault="006F0D8E" w:rsidP="00432FF0">
      <w:pPr>
        <w:spacing w:line="276" w:lineRule="auto"/>
        <w:rPr>
          <w:lang w:val="en-US"/>
        </w:rPr>
      </w:pPr>
      <w:r>
        <w:rPr>
          <w:lang w:val="en-US"/>
        </w:rPr>
        <w:t xml:space="preserve">In quarter 2 there were nine resolved </w:t>
      </w:r>
      <w:r w:rsidR="00BD42AA">
        <w:rPr>
          <w:lang w:val="en-US"/>
        </w:rPr>
        <w:t>investigation</w:t>
      </w:r>
      <w:r>
        <w:rPr>
          <w:lang w:val="en-US"/>
        </w:rPr>
        <w:t xml:space="preserve"> complaints. One was justified and four were partially justified. </w:t>
      </w:r>
    </w:p>
    <w:tbl>
      <w:tblPr>
        <w:tblStyle w:val="TableGrid"/>
        <w:tblW w:w="0" w:type="auto"/>
        <w:tblLook w:val="04A0" w:firstRow="1" w:lastRow="0" w:firstColumn="1" w:lastColumn="0" w:noHBand="0" w:noVBand="1"/>
      </w:tblPr>
      <w:tblGrid>
        <w:gridCol w:w="3397"/>
        <w:gridCol w:w="1701"/>
        <w:gridCol w:w="2127"/>
        <w:gridCol w:w="3118"/>
      </w:tblGrid>
      <w:tr w:rsidR="00E1569F" w:rsidRPr="00E1569F" w14:paraId="112282FE" w14:textId="77777777" w:rsidTr="00F9740B">
        <w:tc>
          <w:tcPr>
            <w:tcW w:w="3397" w:type="dxa"/>
            <w:shd w:val="clear" w:color="auto" w:fill="A2D2FF"/>
          </w:tcPr>
          <w:p w14:paraId="6B72E0E7" w14:textId="42149AC3" w:rsidR="00E1569F" w:rsidRPr="00E1569F" w:rsidRDefault="00F9740B" w:rsidP="00E1569F">
            <w:pPr>
              <w:spacing w:after="120"/>
              <w:rPr>
                <w:b/>
              </w:rPr>
            </w:pPr>
            <w:r w:rsidRPr="00F9740B">
              <w:rPr>
                <w:b/>
              </w:rPr>
              <w:t>Quarter Two Upheld Investigation Complaints</w:t>
            </w:r>
          </w:p>
        </w:tc>
        <w:tc>
          <w:tcPr>
            <w:tcW w:w="1701" w:type="dxa"/>
            <w:shd w:val="clear" w:color="auto" w:fill="A2D2FF"/>
          </w:tcPr>
          <w:p w14:paraId="312AE026" w14:textId="77777777" w:rsidR="00E1569F" w:rsidRPr="00E1569F" w:rsidRDefault="00E1569F" w:rsidP="00E1569F">
            <w:pPr>
              <w:spacing w:after="120"/>
              <w:rPr>
                <w:b/>
              </w:rPr>
            </w:pPr>
            <w:r w:rsidRPr="00E1569F">
              <w:rPr>
                <w:b/>
              </w:rPr>
              <w:t>Complainer</w:t>
            </w:r>
          </w:p>
        </w:tc>
        <w:tc>
          <w:tcPr>
            <w:tcW w:w="2127" w:type="dxa"/>
            <w:shd w:val="clear" w:color="auto" w:fill="A2D2FF"/>
          </w:tcPr>
          <w:p w14:paraId="54E5F0BD" w14:textId="77777777" w:rsidR="00E1569F" w:rsidRPr="00E1569F" w:rsidRDefault="00E1569F" w:rsidP="00E1569F">
            <w:pPr>
              <w:spacing w:after="120"/>
              <w:rPr>
                <w:b/>
              </w:rPr>
            </w:pPr>
            <w:r w:rsidRPr="00E1569F">
              <w:rPr>
                <w:b/>
              </w:rPr>
              <w:t>Department</w:t>
            </w:r>
          </w:p>
        </w:tc>
        <w:tc>
          <w:tcPr>
            <w:tcW w:w="3118" w:type="dxa"/>
            <w:shd w:val="clear" w:color="auto" w:fill="A2D2FF"/>
          </w:tcPr>
          <w:p w14:paraId="145161D2" w14:textId="77777777" w:rsidR="00E1569F" w:rsidRPr="00E1569F" w:rsidRDefault="00E1569F" w:rsidP="00E1569F">
            <w:pPr>
              <w:spacing w:after="120"/>
              <w:rPr>
                <w:b/>
              </w:rPr>
            </w:pPr>
            <w:r w:rsidRPr="00E1569F">
              <w:rPr>
                <w:b/>
              </w:rPr>
              <w:t>Complaint Category</w:t>
            </w:r>
          </w:p>
        </w:tc>
      </w:tr>
      <w:tr w:rsidR="00E1569F" w:rsidRPr="00E1569F" w14:paraId="6277A579" w14:textId="77777777" w:rsidTr="00F9740B">
        <w:tc>
          <w:tcPr>
            <w:tcW w:w="3397" w:type="dxa"/>
          </w:tcPr>
          <w:p w14:paraId="74080B9C" w14:textId="7AC1F6CE" w:rsidR="00E1569F" w:rsidRPr="00E1569F" w:rsidRDefault="00E1569F" w:rsidP="00E1569F">
            <w:pPr>
              <w:spacing w:after="120"/>
            </w:pPr>
            <w:r w:rsidRPr="00E1569F">
              <w:t xml:space="preserve">Complaint </w:t>
            </w:r>
            <w:r>
              <w:t>E</w:t>
            </w:r>
          </w:p>
        </w:tc>
        <w:tc>
          <w:tcPr>
            <w:tcW w:w="1701" w:type="dxa"/>
          </w:tcPr>
          <w:p w14:paraId="73B2487E" w14:textId="762D8B35" w:rsidR="00E1569F" w:rsidRPr="00E1569F" w:rsidRDefault="00E1569F" w:rsidP="00E1569F">
            <w:pPr>
              <w:spacing w:after="120"/>
            </w:pPr>
            <w:r>
              <w:t>Other</w:t>
            </w:r>
          </w:p>
        </w:tc>
        <w:tc>
          <w:tcPr>
            <w:tcW w:w="2127" w:type="dxa"/>
          </w:tcPr>
          <w:p w14:paraId="19940E79" w14:textId="77777777" w:rsidR="00E1569F" w:rsidRPr="00E1569F" w:rsidRDefault="00E1569F" w:rsidP="00E1569F">
            <w:pPr>
              <w:spacing w:after="120"/>
            </w:pPr>
            <w:r w:rsidRPr="00E1569F">
              <w:t>Civil Finance</w:t>
            </w:r>
          </w:p>
        </w:tc>
        <w:tc>
          <w:tcPr>
            <w:tcW w:w="3118" w:type="dxa"/>
          </w:tcPr>
          <w:p w14:paraId="5FFC05CE" w14:textId="12E44A67" w:rsidR="00E1569F" w:rsidRPr="00E1569F" w:rsidRDefault="00E1569F" w:rsidP="00E1569F">
            <w:pPr>
              <w:spacing w:after="120"/>
            </w:pPr>
            <w:r w:rsidRPr="00E1569F">
              <w:t>Poor communication or standard of service</w:t>
            </w:r>
          </w:p>
        </w:tc>
      </w:tr>
    </w:tbl>
    <w:p w14:paraId="62EB45FB" w14:textId="69674CF8" w:rsidR="00367FC5" w:rsidRDefault="00367FC5" w:rsidP="00AB4C34">
      <w:pPr>
        <w:rPr>
          <w:b/>
          <w:lang w:val="en-US"/>
        </w:rPr>
      </w:pPr>
    </w:p>
    <w:p w14:paraId="23A532BF" w14:textId="1CBC5A3C" w:rsidR="00E1569F" w:rsidRDefault="00E1569F" w:rsidP="00432FF0">
      <w:pPr>
        <w:spacing w:line="276" w:lineRule="auto"/>
        <w:rPr>
          <w:bCs/>
          <w:lang w:val="en-US"/>
        </w:rPr>
      </w:pPr>
      <w:r>
        <w:rPr>
          <w:bCs/>
          <w:lang w:val="en-US"/>
        </w:rPr>
        <w:t xml:space="preserve">Complaint E was from an opponent who had not been sent </w:t>
      </w:r>
      <w:r w:rsidR="00261E82">
        <w:rPr>
          <w:bCs/>
          <w:lang w:val="en-US"/>
        </w:rPr>
        <w:t>follow-up</w:t>
      </w:r>
      <w:r>
        <w:rPr>
          <w:bCs/>
          <w:lang w:val="en-US"/>
        </w:rPr>
        <w:t xml:space="preserve"> correspondence </w:t>
      </w:r>
      <w:r w:rsidR="00FA6632">
        <w:rPr>
          <w:bCs/>
          <w:lang w:val="en-US"/>
        </w:rPr>
        <w:t xml:space="preserve">despite </w:t>
      </w:r>
      <w:r w:rsidR="00333F80">
        <w:rPr>
          <w:bCs/>
          <w:lang w:val="en-US"/>
        </w:rPr>
        <w:t>several</w:t>
      </w:r>
      <w:r w:rsidR="00FA6632">
        <w:rPr>
          <w:bCs/>
          <w:lang w:val="en-US"/>
        </w:rPr>
        <w:t xml:space="preserve"> reports being submitted to SLAB in relation to </w:t>
      </w:r>
      <w:r w:rsidR="00F9740B">
        <w:rPr>
          <w:bCs/>
          <w:lang w:val="en-US"/>
        </w:rPr>
        <w:t>the financial</w:t>
      </w:r>
      <w:r w:rsidR="00FA6632">
        <w:rPr>
          <w:bCs/>
          <w:lang w:val="en-US"/>
        </w:rPr>
        <w:t xml:space="preserve"> eligibility</w:t>
      </w:r>
      <w:r w:rsidR="00DE09E3">
        <w:rPr>
          <w:bCs/>
          <w:lang w:val="en-US"/>
        </w:rPr>
        <w:t xml:space="preserve"> of the applicant</w:t>
      </w:r>
      <w:r w:rsidR="00FA6632">
        <w:rPr>
          <w:bCs/>
          <w:lang w:val="en-US"/>
        </w:rPr>
        <w:t>. This was due to an initial error in the spelling of the opponent’s name, which was not identified</w:t>
      </w:r>
      <w:r w:rsidR="002F01D2">
        <w:rPr>
          <w:bCs/>
          <w:lang w:val="en-US"/>
        </w:rPr>
        <w:t xml:space="preserve"> at the time</w:t>
      </w:r>
      <w:r w:rsidR="00FA6632">
        <w:rPr>
          <w:bCs/>
          <w:lang w:val="en-US"/>
        </w:rPr>
        <w:t xml:space="preserve">. An apology was issued and the matter rectified. </w:t>
      </w:r>
    </w:p>
    <w:tbl>
      <w:tblPr>
        <w:tblStyle w:val="TableGrid"/>
        <w:tblW w:w="0" w:type="auto"/>
        <w:tblLook w:val="04A0" w:firstRow="1" w:lastRow="0" w:firstColumn="1" w:lastColumn="0" w:noHBand="0" w:noVBand="1"/>
      </w:tblPr>
      <w:tblGrid>
        <w:gridCol w:w="3397"/>
        <w:gridCol w:w="1701"/>
        <w:gridCol w:w="2127"/>
        <w:gridCol w:w="3118"/>
      </w:tblGrid>
      <w:tr w:rsidR="00A62C54" w:rsidRPr="00A62C54" w14:paraId="7063C540" w14:textId="77777777" w:rsidTr="00F9740B">
        <w:tc>
          <w:tcPr>
            <w:tcW w:w="3397" w:type="dxa"/>
            <w:shd w:val="clear" w:color="auto" w:fill="A2D2FF"/>
          </w:tcPr>
          <w:p w14:paraId="71749615" w14:textId="17D0A0AD" w:rsidR="00A62C54" w:rsidRPr="00A62C54" w:rsidRDefault="00F9740B" w:rsidP="00A62C54">
            <w:pPr>
              <w:spacing w:after="120"/>
              <w:rPr>
                <w:b/>
                <w:bCs/>
              </w:rPr>
            </w:pPr>
            <w:r w:rsidRPr="00F9740B">
              <w:rPr>
                <w:b/>
                <w:bCs/>
              </w:rPr>
              <w:t>Quarter Two Partially Upheld Investigation Complaints</w:t>
            </w:r>
          </w:p>
        </w:tc>
        <w:tc>
          <w:tcPr>
            <w:tcW w:w="1701" w:type="dxa"/>
            <w:shd w:val="clear" w:color="auto" w:fill="A2D2FF"/>
          </w:tcPr>
          <w:p w14:paraId="20AE9BF7" w14:textId="77777777" w:rsidR="00A62C54" w:rsidRPr="00A62C54" w:rsidRDefault="00A62C54" w:rsidP="00A62C54">
            <w:pPr>
              <w:spacing w:after="120"/>
              <w:rPr>
                <w:b/>
                <w:bCs/>
              </w:rPr>
            </w:pPr>
            <w:r w:rsidRPr="00A62C54">
              <w:rPr>
                <w:b/>
                <w:bCs/>
              </w:rPr>
              <w:t>Complainer</w:t>
            </w:r>
          </w:p>
        </w:tc>
        <w:tc>
          <w:tcPr>
            <w:tcW w:w="2127" w:type="dxa"/>
            <w:shd w:val="clear" w:color="auto" w:fill="A2D2FF"/>
          </w:tcPr>
          <w:p w14:paraId="65A221C7" w14:textId="77777777" w:rsidR="00A62C54" w:rsidRPr="00A62C54" w:rsidRDefault="00A62C54" w:rsidP="00A62C54">
            <w:pPr>
              <w:spacing w:after="120"/>
              <w:rPr>
                <w:b/>
                <w:bCs/>
              </w:rPr>
            </w:pPr>
            <w:r w:rsidRPr="00A62C54">
              <w:rPr>
                <w:b/>
                <w:bCs/>
              </w:rPr>
              <w:t>Department</w:t>
            </w:r>
          </w:p>
        </w:tc>
        <w:tc>
          <w:tcPr>
            <w:tcW w:w="3118" w:type="dxa"/>
            <w:shd w:val="clear" w:color="auto" w:fill="A2D2FF"/>
          </w:tcPr>
          <w:p w14:paraId="17F6C156" w14:textId="77777777" w:rsidR="00A62C54" w:rsidRPr="00A62C54" w:rsidRDefault="00A62C54" w:rsidP="00A62C54">
            <w:pPr>
              <w:spacing w:after="120"/>
              <w:rPr>
                <w:b/>
                <w:bCs/>
              </w:rPr>
            </w:pPr>
            <w:r w:rsidRPr="00A62C54">
              <w:rPr>
                <w:b/>
                <w:bCs/>
              </w:rPr>
              <w:t>Complaint Category</w:t>
            </w:r>
          </w:p>
        </w:tc>
      </w:tr>
      <w:tr w:rsidR="00A62C54" w:rsidRPr="00A62C54" w14:paraId="2E2D9E75" w14:textId="77777777" w:rsidTr="00F9740B">
        <w:tc>
          <w:tcPr>
            <w:tcW w:w="3397" w:type="dxa"/>
          </w:tcPr>
          <w:p w14:paraId="3E930D41" w14:textId="3C29D519" w:rsidR="00A62C54" w:rsidRPr="00A62C54" w:rsidRDefault="00A62C54" w:rsidP="00A62C54">
            <w:pPr>
              <w:spacing w:after="120"/>
              <w:rPr>
                <w:bCs/>
              </w:rPr>
            </w:pPr>
            <w:r w:rsidRPr="00A62C54">
              <w:rPr>
                <w:bCs/>
              </w:rPr>
              <w:t xml:space="preserve">Complaint </w:t>
            </w:r>
            <w:r>
              <w:rPr>
                <w:bCs/>
              </w:rPr>
              <w:t>F</w:t>
            </w:r>
          </w:p>
        </w:tc>
        <w:tc>
          <w:tcPr>
            <w:tcW w:w="1701" w:type="dxa"/>
          </w:tcPr>
          <w:p w14:paraId="2A704AC2" w14:textId="468DAFE0" w:rsidR="00A62C54" w:rsidRPr="00A62C54" w:rsidRDefault="00A62C54" w:rsidP="00A62C54">
            <w:pPr>
              <w:spacing w:after="120"/>
              <w:rPr>
                <w:bCs/>
              </w:rPr>
            </w:pPr>
            <w:r>
              <w:rPr>
                <w:bCs/>
              </w:rPr>
              <w:t>Other</w:t>
            </w:r>
          </w:p>
        </w:tc>
        <w:tc>
          <w:tcPr>
            <w:tcW w:w="2127" w:type="dxa"/>
          </w:tcPr>
          <w:p w14:paraId="30F0CDA4" w14:textId="7620F031" w:rsidR="00A62C54" w:rsidRPr="00A62C54" w:rsidRDefault="00A62C54" w:rsidP="00A62C54">
            <w:pPr>
              <w:spacing w:after="120"/>
              <w:rPr>
                <w:bCs/>
              </w:rPr>
            </w:pPr>
            <w:r>
              <w:rPr>
                <w:bCs/>
              </w:rPr>
              <w:t>Civil Applications</w:t>
            </w:r>
          </w:p>
        </w:tc>
        <w:tc>
          <w:tcPr>
            <w:tcW w:w="3118" w:type="dxa"/>
          </w:tcPr>
          <w:p w14:paraId="210DEC44" w14:textId="6700FC2C" w:rsidR="00A62C54" w:rsidRPr="00A62C54" w:rsidRDefault="00A62C54" w:rsidP="00A62C54">
            <w:pPr>
              <w:spacing w:after="120"/>
              <w:rPr>
                <w:bCs/>
              </w:rPr>
            </w:pPr>
            <w:r w:rsidRPr="00A62C54">
              <w:rPr>
                <w:bCs/>
              </w:rPr>
              <w:t>Failure to follow proper procedure</w:t>
            </w:r>
          </w:p>
        </w:tc>
      </w:tr>
      <w:tr w:rsidR="00A62C54" w:rsidRPr="00A62C54" w14:paraId="11B4EDBD" w14:textId="77777777" w:rsidTr="00F9740B">
        <w:tc>
          <w:tcPr>
            <w:tcW w:w="3397" w:type="dxa"/>
          </w:tcPr>
          <w:p w14:paraId="53386972" w14:textId="09DBED3A" w:rsidR="00A62C54" w:rsidRPr="00A62C54" w:rsidRDefault="00A62C54" w:rsidP="00A62C54">
            <w:pPr>
              <w:rPr>
                <w:bCs/>
              </w:rPr>
            </w:pPr>
            <w:r>
              <w:rPr>
                <w:bCs/>
              </w:rPr>
              <w:t>Complaint G</w:t>
            </w:r>
          </w:p>
        </w:tc>
        <w:tc>
          <w:tcPr>
            <w:tcW w:w="1701" w:type="dxa"/>
          </w:tcPr>
          <w:p w14:paraId="3632160D" w14:textId="06E0D102" w:rsidR="00A62C54" w:rsidRPr="00A62C54" w:rsidRDefault="001E6BF2" w:rsidP="00A62C54">
            <w:pPr>
              <w:rPr>
                <w:bCs/>
              </w:rPr>
            </w:pPr>
            <w:r>
              <w:rPr>
                <w:bCs/>
              </w:rPr>
              <w:t xml:space="preserve">Other </w:t>
            </w:r>
          </w:p>
        </w:tc>
        <w:tc>
          <w:tcPr>
            <w:tcW w:w="2127" w:type="dxa"/>
          </w:tcPr>
          <w:p w14:paraId="3A84D02F" w14:textId="55DC17FF" w:rsidR="00A62C54" w:rsidRPr="00A62C54" w:rsidRDefault="001E6BF2" w:rsidP="00A62C54">
            <w:pPr>
              <w:rPr>
                <w:bCs/>
              </w:rPr>
            </w:pPr>
            <w:r>
              <w:rPr>
                <w:bCs/>
              </w:rPr>
              <w:t>Civil Applications</w:t>
            </w:r>
          </w:p>
        </w:tc>
        <w:tc>
          <w:tcPr>
            <w:tcW w:w="3118" w:type="dxa"/>
          </w:tcPr>
          <w:p w14:paraId="14335E4A" w14:textId="13940CEF" w:rsidR="00A62C54" w:rsidRPr="00A62C54" w:rsidRDefault="001E6BF2" w:rsidP="00A62C54">
            <w:pPr>
              <w:rPr>
                <w:bCs/>
              </w:rPr>
            </w:pPr>
            <w:r w:rsidRPr="001E6BF2">
              <w:rPr>
                <w:bCs/>
              </w:rPr>
              <w:t>Dissatisfaction with SLAB policy or procedures</w:t>
            </w:r>
          </w:p>
        </w:tc>
      </w:tr>
      <w:tr w:rsidR="00A62C54" w:rsidRPr="00A62C54" w14:paraId="52DFF519" w14:textId="77777777" w:rsidTr="00F9740B">
        <w:tc>
          <w:tcPr>
            <w:tcW w:w="3397" w:type="dxa"/>
          </w:tcPr>
          <w:p w14:paraId="76EEE473" w14:textId="4CDBB691" w:rsidR="00A62C54" w:rsidRPr="00A62C54" w:rsidRDefault="00A62C54" w:rsidP="00A62C54">
            <w:pPr>
              <w:rPr>
                <w:bCs/>
              </w:rPr>
            </w:pPr>
            <w:r>
              <w:rPr>
                <w:bCs/>
              </w:rPr>
              <w:t>Complaint H</w:t>
            </w:r>
          </w:p>
        </w:tc>
        <w:tc>
          <w:tcPr>
            <w:tcW w:w="1701" w:type="dxa"/>
          </w:tcPr>
          <w:p w14:paraId="45BF12D4" w14:textId="5491D5A7" w:rsidR="00A62C54" w:rsidRPr="00A62C54" w:rsidRDefault="005D1F4C" w:rsidP="00A62C54">
            <w:pPr>
              <w:rPr>
                <w:bCs/>
              </w:rPr>
            </w:pPr>
            <w:r>
              <w:rPr>
                <w:bCs/>
              </w:rPr>
              <w:t>Assisted Person</w:t>
            </w:r>
          </w:p>
        </w:tc>
        <w:tc>
          <w:tcPr>
            <w:tcW w:w="2127" w:type="dxa"/>
          </w:tcPr>
          <w:p w14:paraId="4E421D04" w14:textId="4974B689" w:rsidR="00A62C54" w:rsidRPr="00A62C54" w:rsidRDefault="001E6BF2" w:rsidP="00A62C54">
            <w:pPr>
              <w:rPr>
                <w:bCs/>
              </w:rPr>
            </w:pPr>
            <w:r>
              <w:rPr>
                <w:bCs/>
              </w:rPr>
              <w:t>CLAO</w:t>
            </w:r>
          </w:p>
        </w:tc>
        <w:tc>
          <w:tcPr>
            <w:tcW w:w="3118" w:type="dxa"/>
          </w:tcPr>
          <w:p w14:paraId="595FFFAA" w14:textId="42177C43" w:rsidR="00A62C54" w:rsidRPr="00A62C54" w:rsidRDefault="001E6BF2" w:rsidP="00A62C54">
            <w:pPr>
              <w:rPr>
                <w:bCs/>
              </w:rPr>
            </w:pPr>
            <w:r>
              <w:rPr>
                <w:bCs/>
              </w:rPr>
              <w:t>Other</w:t>
            </w:r>
          </w:p>
        </w:tc>
      </w:tr>
      <w:tr w:rsidR="00A62C54" w:rsidRPr="00A62C54" w14:paraId="6A205C07" w14:textId="77777777" w:rsidTr="00F9740B">
        <w:tc>
          <w:tcPr>
            <w:tcW w:w="3397" w:type="dxa"/>
          </w:tcPr>
          <w:p w14:paraId="4B12CC69" w14:textId="4DAA3AAB" w:rsidR="00A62C54" w:rsidRPr="00A62C54" w:rsidRDefault="00A62C54" w:rsidP="00A62C54">
            <w:pPr>
              <w:rPr>
                <w:bCs/>
              </w:rPr>
            </w:pPr>
            <w:r>
              <w:rPr>
                <w:bCs/>
              </w:rPr>
              <w:t>Complaint I</w:t>
            </w:r>
          </w:p>
        </w:tc>
        <w:tc>
          <w:tcPr>
            <w:tcW w:w="1701" w:type="dxa"/>
          </w:tcPr>
          <w:p w14:paraId="2B38BA4D" w14:textId="24F59031" w:rsidR="00A62C54" w:rsidRPr="00A62C54" w:rsidRDefault="005D1F4C" w:rsidP="00A62C54">
            <w:pPr>
              <w:rPr>
                <w:bCs/>
              </w:rPr>
            </w:pPr>
            <w:r>
              <w:rPr>
                <w:bCs/>
              </w:rPr>
              <w:t>Assisted Person</w:t>
            </w:r>
          </w:p>
        </w:tc>
        <w:tc>
          <w:tcPr>
            <w:tcW w:w="2127" w:type="dxa"/>
          </w:tcPr>
          <w:p w14:paraId="3A4FF3DD" w14:textId="3A5FB5E9" w:rsidR="00A62C54" w:rsidRPr="00A62C54" w:rsidRDefault="001E6BF2" w:rsidP="00A62C54">
            <w:pPr>
              <w:rPr>
                <w:bCs/>
              </w:rPr>
            </w:pPr>
            <w:r>
              <w:rPr>
                <w:bCs/>
              </w:rPr>
              <w:t>CLAO</w:t>
            </w:r>
          </w:p>
        </w:tc>
        <w:tc>
          <w:tcPr>
            <w:tcW w:w="3118" w:type="dxa"/>
          </w:tcPr>
          <w:p w14:paraId="284B4199" w14:textId="19FEC73E" w:rsidR="00A62C54" w:rsidRPr="00A62C54" w:rsidRDefault="001E6BF2" w:rsidP="00A62C54">
            <w:pPr>
              <w:rPr>
                <w:bCs/>
              </w:rPr>
            </w:pPr>
            <w:r w:rsidRPr="001E6BF2">
              <w:rPr>
                <w:bCs/>
              </w:rPr>
              <w:t>Treatment by staff or staff attitude</w:t>
            </w:r>
          </w:p>
        </w:tc>
      </w:tr>
    </w:tbl>
    <w:p w14:paraId="625D1552" w14:textId="77777777" w:rsidR="00A62C54" w:rsidRDefault="00A62C54" w:rsidP="00AB4C34">
      <w:pPr>
        <w:rPr>
          <w:bCs/>
          <w:lang w:val="en-US"/>
        </w:rPr>
      </w:pPr>
    </w:p>
    <w:p w14:paraId="027E85A0" w14:textId="36300EC9" w:rsidR="00E1569F" w:rsidRDefault="001E6BF2" w:rsidP="00432FF0">
      <w:pPr>
        <w:spacing w:line="276" w:lineRule="auto"/>
        <w:rPr>
          <w:bCs/>
          <w:lang w:val="en-US"/>
        </w:rPr>
      </w:pPr>
      <w:r>
        <w:rPr>
          <w:bCs/>
          <w:lang w:val="en-US"/>
        </w:rPr>
        <w:t>Complaint F related to an opponent who was of the view that legal aid was granted before the expiry of the time limit for them to provide representations</w:t>
      </w:r>
      <w:r w:rsidR="009A1DA3">
        <w:rPr>
          <w:bCs/>
          <w:lang w:val="en-US"/>
        </w:rPr>
        <w:t xml:space="preserve"> as to why a legal aid grant should not be made</w:t>
      </w:r>
      <w:r>
        <w:rPr>
          <w:bCs/>
          <w:lang w:val="en-US"/>
        </w:rPr>
        <w:t xml:space="preserve">. An </w:t>
      </w:r>
      <w:r w:rsidR="00E7542F">
        <w:rPr>
          <w:bCs/>
          <w:lang w:val="en-US"/>
        </w:rPr>
        <w:t xml:space="preserve">administrative </w:t>
      </w:r>
      <w:r>
        <w:rPr>
          <w:bCs/>
          <w:lang w:val="en-US"/>
        </w:rPr>
        <w:t xml:space="preserve">error had been made with the timescale but there was no material effect on the application in question. An apology was made and staff </w:t>
      </w:r>
      <w:r w:rsidR="00CE18D1">
        <w:rPr>
          <w:bCs/>
          <w:lang w:val="en-US"/>
        </w:rPr>
        <w:t xml:space="preserve">were </w:t>
      </w:r>
      <w:r>
        <w:rPr>
          <w:bCs/>
          <w:lang w:val="en-US"/>
        </w:rPr>
        <w:t xml:space="preserve">spoken to regarding adherence to timescales. </w:t>
      </w:r>
    </w:p>
    <w:p w14:paraId="3074D9D9" w14:textId="6CB40304" w:rsidR="001E6BF2" w:rsidRDefault="001E6BF2" w:rsidP="00432FF0">
      <w:pPr>
        <w:spacing w:line="276" w:lineRule="auto"/>
        <w:rPr>
          <w:bCs/>
          <w:lang w:val="en-US"/>
        </w:rPr>
      </w:pPr>
      <w:r>
        <w:rPr>
          <w:bCs/>
          <w:lang w:val="en-US"/>
        </w:rPr>
        <w:lastRenderedPageBreak/>
        <w:t xml:space="preserve">Complaint G </w:t>
      </w:r>
      <w:r w:rsidR="00014AB4">
        <w:rPr>
          <w:bCs/>
          <w:lang w:val="en-US"/>
        </w:rPr>
        <w:t xml:space="preserve">was from an opponent who was dissatisfied with the procedures used in a legal aid application. Although the core of the complaint relating to mishandling and alleged corruption on the part of SLAB was not upheld, it was accepted that communication with the opponent could have been clearer in relation to the representations they made. An apology was issued and there was an undertaking to </w:t>
      </w:r>
      <w:r w:rsidR="00CE18D1">
        <w:rPr>
          <w:bCs/>
          <w:lang w:val="en-US"/>
        </w:rPr>
        <w:t xml:space="preserve">be clearer in such communications in the future. </w:t>
      </w:r>
    </w:p>
    <w:p w14:paraId="541271DD" w14:textId="0A025C8B" w:rsidR="001E6BF2" w:rsidRDefault="001E6BF2" w:rsidP="00432FF0">
      <w:pPr>
        <w:spacing w:line="276" w:lineRule="auto"/>
        <w:rPr>
          <w:bCs/>
          <w:lang w:val="en-US"/>
        </w:rPr>
      </w:pPr>
      <w:r>
        <w:rPr>
          <w:bCs/>
          <w:lang w:val="en-US"/>
        </w:rPr>
        <w:t xml:space="preserve">Complaint H centered around </w:t>
      </w:r>
      <w:r w:rsidR="00E7542F">
        <w:rPr>
          <w:bCs/>
          <w:lang w:val="en-US"/>
        </w:rPr>
        <w:t xml:space="preserve">an </w:t>
      </w:r>
      <w:r w:rsidR="00B62A2D">
        <w:rPr>
          <w:bCs/>
          <w:lang w:val="en-US"/>
        </w:rPr>
        <w:t>assisted person</w:t>
      </w:r>
      <w:r>
        <w:rPr>
          <w:bCs/>
          <w:lang w:val="en-US"/>
        </w:rPr>
        <w:t xml:space="preserve"> disputing </w:t>
      </w:r>
      <w:r w:rsidR="00B62A2D">
        <w:rPr>
          <w:bCs/>
          <w:lang w:val="en-US"/>
        </w:rPr>
        <w:t xml:space="preserve">their </w:t>
      </w:r>
      <w:r>
        <w:rPr>
          <w:bCs/>
          <w:lang w:val="en-US"/>
        </w:rPr>
        <w:t xml:space="preserve">contributions. There was no error in the </w:t>
      </w:r>
      <w:r w:rsidR="00333F80">
        <w:rPr>
          <w:bCs/>
          <w:lang w:val="en-US"/>
        </w:rPr>
        <w:t>calculation,</w:t>
      </w:r>
      <w:r>
        <w:rPr>
          <w:bCs/>
          <w:lang w:val="en-US"/>
        </w:rPr>
        <w:t xml:space="preserve"> but it was accepted the communication could have been clearer. An apology was made. </w:t>
      </w:r>
    </w:p>
    <w:p w14:paraId="656EA9E8" w14:textId="50836410" w:rsidR="00CE18D1" w:rsidRDefault="00CE18D1" w:rsidP="00432FF0">
      <w:pPr>
        <w:spacing w:line="276" w:lineRule="auto"/>
        <w:rPr>
          <w:bCs/>
          <w:lang w:val="en-US"/>
        </w:rPr>
      </w:pPr>
      <w:r>
        <w:rPr>
          <w:bCs/>
          <w:lang w:val="en-US"/>
        </w:rPr>
        <w:t xml:space="preserve">Complaint I related to a complaint </w:t>
      </w:r>
      <w:r w:rsidR="00B62A2D">
        <w:rPr>
          <w:bCs/>
          <w:lang w:val="en-US"/>
        </w:rPr>
        <w:t xml:space="preserve">from </w:t>
      </w:r>
      <w:r w:rsidR="00432FF0">
        <w:rPr>
          <w:bCs/>
          <w:lang w:val="en-US"/>
        </w:rPr>
        <w:t xml:space="preserve">a </w:t>
      </w:r>
      <w:r w:rsidR="00AD4F89">
        <w:rPr>
          <w:bCs/>
          <w:lang w:val="en-US"/>
        </w:rPr>
        <w:t>CLAO client</w:t>
      </w:r>
      <w:r w:rsidR="00B62A2D">
        <w:rPr>
          <w:bCs/>
          <w:lang w:val="en-US"/>
        </w:rPr>
        <w:t xml:space="preserve"> </w:t>
      </w:r>
      <w:r>
        <w:rPr>
          <w:bCs/>
          <w:lang w:val="en-US"/>
        </w:rPr>
        <w:t xml:space="preserve">about a delay in the </w:t>
      </w:r>
      <w:r w:rsidR="004A6ABC">
        <w:rPr>
          <w:bCs/>
          <w:lang w:val="en-US"/>
        </w:rPr>
        <w:t>progress</w:t>
      </w:r>
      <w:r>
        <w:rPr>
          <w:bCs/>
          <w:lang w:val="en-US"/>
        </w:rPr>
        <w:t xml:space="preserve"> of </w:t>
      </w:r>
      <w:r w:rsidR="004A6ABC">
        <w:rPr>
          <w:bCs/>
          <w:lang w:val="en-US"/>
        </w:rPr>
        <w:t>their</w:t>
      </w:r>
      <w:r>
        <w:rPr>
          <w:bCs/>
          <w:lang w:val="en-US"/>
        </w:rPr>
        <w:t xml:space="preserve"> case. It was acknowledged that there was a delay</w:t>
      </w:r>
      <w:r w:rsidR="00432FF0">
        <w:rPr>
          <w:bCs/>
          <w:lang w:val="en-US"/>
        </w:rPr>
        <w:t>,</w:t>
      </w:r>
      <w:r>
        <w:rPr>
          <w:bCs/>
          <w:lang w:val="en-US"/>
        </w:rPr>
        <w:t xml:space="preserve"> due to unplanned leave and </w:t>
      </w:r>
      <w:r w:rsidR="00B62A2D">
        <w:rPr>
          <w:bCs/>
          <w:lang w:val="en-US"/>
        </w:rPr>
        <w:t xml:space="preserve">temporary </w:t>
      </w:r>
      <w:r>
        <w:rPr>
          <w:bCs/>
          <w:lang w:val="en-US"/>
        </w:rPr>
        <w:t>staff shortages</w:t>
      </w:r>
      <w:r w:rsidR="00432FF0">
        <w:rPr>
          <w:bCs/>
          <w:lang w:val="en-US"/>
        </w:rPr>
        <w:t>,</w:t>
      </w:r>
      <w:r>
        <w:rPr>
          <w:bCs/>
          <w:lang w:val="en-US"/>
        </w:rPr>
        <w:t xml:space="preserve"> but that the delay did not materially affect the case. An apology was issued to the complainer. </w:t>
      </w:r>
    </w:p>
    <w:p w14:paraId="445A2167" w14:textId="35B0BA1A" w:rsidR="006C2B6E" w:rsidRPr="00432FF0" w:rsidRDefault="00AB4C34" w:rsidP="0023688A">
      <w:pPr>
        <w:pStyle w:val="Heading2"/>
        <w:rPr>
          <w:rStyle w:val="Heading4Char"/>
          <w:b/>
          <w:bCs/>
        </w:rPr>
      </w:pPr>
      <w:r w:rsidRPr="00432FF0">
        <w:rPr>
          <w:rStyle w:val="Heading2Char"/>
          <w:b/>
          <w:bCs/>
          <w:sz w:val="36"/>
          <w:szCs w:val="28"/>
        </w:rPr>
        <w:t>Governance links</w:t>
      </w:r>
      <w:r w:rsidRPr="00432FF0">
        <w:rPr>
          <w:rStyle w:val="Strong"/>
          <w:b/>
          <w:bCs w:val="0"/>
          <w:sz w:val="28"/>
          <w:szCs w:val="24"/>
        </w:rPr>
        <w:t xml:space="preserve"> </w:t>
      </w:r>
    </w:p>
    <w:p w14:paraId="7D79410C" w14:textId="2D0F7076" w:rsidR="008556E4" w:rsidRPr="006C2B6E" w:rsidRDefault="008556E4" w:rsidP="006C2B6E">
      <w:pPr>
        <w:pStyle w:val="ListParagraph"/>
        <w:numPr>
          <w:ilvl w:val="0"/>
          <w:numId w:val="9"/>
        </w:numPr>
        <w:ind w:left="426"/>
        <w:rPr>
          <w:b/>
          <w:bCs/>
          <w:lang w:val="en-US"/>
        </w:rPr>
      </w:pPr>
      <w:r w:rsidRPr="0023688A">
        <w:rPr>
          <w:rStyle w:val="Heading3Char"/>
        </w:rPr>
        <w:t>Finance and resources</w:t>
      </w:r>
      <w:r w:rsidRPr="008556E4">
        <w:rPr>
          <w:rStyle w:val="Heading4Char"/>
        </w:rPr>
        <w:t xml:space="preserve"> </w:t>
      </w:r>
      <w:r w:rsidRPr="008556E4">
        <w:rPr>
          <w:rStyle w:val="Heading4Char"/>
        </w:rPr>
        <w:tab/>
      </w:r>
      <w:r w:rsidRPr="008556E4">
        <w:rPr>
          <w:rStyle w:val="Heading4Char"/>
        </w:rPr>
        <w:tab/>
      </w:r>
      <w:r w:rsidRPr="006C2B6E">
        <w:rPr>
          <w:b/>
          <w:bCs/>
          <w:lang w:val="en-US"/>
        </w:rPr>
        <w:tab/>
      </w:r>
      <w:r w:rsidRPr="006C2B6E">
        <w:rPr>
          <w:b/>
          <w:bCs/>
          <w:lang w:val="en-US"/>
        </w:rPr>
        <w:br/>
      </w:r>
      <w:r w:rsidRPr="008556E4">
        <w:t>N/A.</w:t>
      </w:r>
    </w:p>
    <w:p w14:paraId="2FC16FEF" w14:textId="77777777" w:rsidR="008556E4" w:rsidRPr="008556E4" w:rsidRDefault="008556E4" w:rsidP="006C2B6E">
      <w:pPr>
        <w:numPr>
          <w:ilvl w:val="0"/>
          <w:numId w:val="9"/>
        </w:numPr>
        <w:spacing w:after="160" w:line="259" w:lineRule="auto"/>
        <w:ind w:left="426"/>
        <w:contextualSpacing/>
      </w:pPr>
      <w:r w:rsidRPr="0023688A">
        <w:rPr>
          <w:rStyle w:val="Heading3Char"/>
        </w:rPr>
        <w:t>Risk</w:t>
      </w:r>
      <w:r w:rsidRPr="008556E4">
        <w:rPr>
          <w:b/>
          <w:bCs/>
          <w:lang w:val="en-US"/>
        </w:rPr>
        <w:tab/>
      </w:r>
      <w:r w:rsidRPr="008556E4">
        <w:rPr>
          <w:b/>
          <w:bCs/>
          <w:lang w:val="en-US"/>
        </w:rPr>
        <w:br/>
      </w:r>
      <w:r w:rsidRPr="008556E4">
        <w:t>Complaints are an important way in which we can assess our service. Acting because of upheld complaints is a key control for several risks that we face.</w:t>
      </w:r>
    </w:p>
    <w:p w14:paraId="2AEFDFFE" w14:textId="5ABD9464" w:rsidR="008556E4" w:rsidRPr="008556E4" w:rsidRDefault="008556E4" w:rsidP="006C2B6E">
      <w:pPr>
        <w:numPr>
          <w:ilvl w:val="0"/>
          <w:numId w:val="9"/>
        </w:numPr>
        <w:spacing w:after="160" w:line="259" w:lineRule="auto"/>
        <w:ind w:left="426"/>
        <w:contextualSpacing/>
      </w:pPr>
      <w:r w:rsidRPr="0023688A">
        <w:rPr>
          <w:rStyle w:val="Heading3Char"/>
        </w:rPr>
        <w:t>Legal and compliance</w:t>
      </w:r>
      <w:r w:rsidRPr="008556E4">
        <w:rPr>
          <w:b/>
          <w:bCs/>
          <w:lang w:val="en-US"/>
        </w:rPr>
        <w:br/>
      </w:r>
      <w:r w:rsidRPr="008556E4">
        <w:t xml:space="preserve">Our complaints handling procedure follows a mandatory model supplied by the </w:t>
      </w:r>
      <w:r w:rsidR="00432FF0">
        <w:t>SPSO</w:t>
      </w:r>
      <w:r w:rsidRPr="008556E4">
        <w:t xml:space="preserve">. </w:t>
      </w:r>
    </w:p>
    <w:p w14:paraId="4F70E7A4" w14:textId="7D033276" w:rsidR="008556E4" w:rsidRPr="008556E4" w:rsidRDefault="008556E4" w:rsidP="006C2B6E">
      <w:pPr>
        <w:numPr>
          <w:ilvl w:val="0"/>
          <w:numId w:val="9"/>
        </w:numPr>
        <w:spacing w:after="160" w:line="259" w:lineRule="auto"/>
        <w:ind w:left="426"/>
        <w:contextualSpacing/>
        <w:rPr>
          <w:b/>
          <w:bCs/>
          <w:lang w:val="en-US"/>
        </w:rPr>
      </w:pPr>
      <w:r w:rsidRPr="0023688A">
        <w:rPr>
          <w:rStyle w:val="Heading3Char"/>
        </w:rPr>
        <w:t>Performance</w:t>
      </w:r>
      <w:r w:rsidRPr="008556E4">
        <w:rPr>
          <w:b/>
          <w:bCs/>
          <w:lang w:val="en-US"/>
        </w:rPr>
        <w:br/>
      </w:r>
      <w:r w:rsidR="006C2B6E">
        <w:t>C</w:t>
      </w:r>
      <w:r w:rsidR="007D13AB">
        <w:t>omplaints are a key way in which we inform the setting of our performance benchmarks.</w:t>
      </w:r>
    </w:p>
    <w:p w14:paraId="39736CA6" w14:textId="77777777" w:rsidR="008556E4" w:rsidRPr="008556E4" w:rsidRDefault="008556E4" w:rsidP="006C2B6E">
      <w:pPr>
        <w:numPr>
          <w:ilvl w:val="0"/>
          <w:numId w:val="9"/>
        </w:numPr>
        <w:spacing w:after="160" w:line="259" w:lineRule="auto"/>
        <w:ind w:left="426"/>
        <w:contextualSpacing/>
        <w:rPr>
          <w:b/>
          <w:bCs/>
          <w:lang w:val="en-US"/>
        </w:rPr>
      </w:pPr>
      <w:r w:rsidRPr="0023688A">
        <w:rPr>
          <w:rStyle w:val="Heading3Char"/>
        </w:rPr>
        <w:t>Equalities impact</w:t>
      </w:r>
      <w:r w:rsidRPr="008556E4">
        <w:rPr>
          <w:b/>
          <w:bCs/>
          <w:lang w:val="en-US"/>
        </w:rPr>
        <w:br/>
      </w:r>
      <w:r w:rsidRPr="008556E4">
        <w:t>N/A.</w:t>
      </w:r>
    </w:p>
    <w:p w14:paraId="1C1BEFA1" w14:textId="77777777" w:rsidR="008556E4" w:rsidRPr="008556E4" w:rsidRDefault="008556E4" w:rsidP="006C2B6E">
      <w:pPr>
        <w:numPr>
          <w:ilvl w:val="0"/>
          <w:numId w:val="9"/>
        </w:numPr>
        <w:spacing w:after="160" w:line="259" w:lineRule="auto"/>
        <w:ind w:left="426"/>
        <w:contextualSpacing/>
        <w:rPr>
          <w:b/>
          <w:bCs/>
          <w:lang w:val="en-US"/>
        </w:rPr>
      </w:pPr>
      <w:r w:rsidRPr="0023688A">
        <w:rPr>
          <w:rStyle w:val="Heading3Char"/>
        </w:rPr>
        <w:t>Privacy impact and data protection</w:t>
      </w:r>
      <w:r w:rsidRPr="008556E4">
        <w:rPr>
          <w:b/>
          <w:bCs/>
          <w:lang w:val="en-US"/>
        </w:rPr>
        <w:br/>
      </w:r>
      <w:r w:rsidRPr="008556E4">
        <w:t>N/A.</w:t>
      </w:r>
    </w:p>
    <w:p w14:paraId="76C4A65D" w14:textId="77777777" w:rsidR="008556E4" w:rsidRPr="008556E4" w:rsidRDefault="008556E4" w:rsidP="006C2B6E">
      <w:pPr>
        <w:numPr>
          <w:ilvl w:val="0"/>
          <w:numId w:val="9"/>
        </w:numPr>
        <w:spacing w:after="160" w:line="259" w:lineRule="auto"/>
        <w:ind w:left="426"/>
        <w:contextualSpacing/>
      </w:pPr>
      <w:r w:rsidRPr="0023688A">
        <w:rPr>
          <w:rStyle w:val="Heading3Char"/>
        </w:rPr>
        <w:t>Communications and engagement</w:t>
      </w:r>
      <w:r w:rsidRPr="008556E4">
        <w:rPr>
          <w:b/>
          <w:bCs/>
          <w:lang w:val="en-US"/>
        </w:rPr>
        <w:br/>
      </w:r>
      <w:r w:rsidRPr="008556E4">
        <w:t>This paper will be published as part of our ongoing commitment to publish board papers.</w:t>
      </w:r>
    </w:p>
    <w:p w14:paraId="34712B4F" w14:textId="77777777" w:rsidR="00AB4C34" w:rsidRPr="0023688A" w:rsidRDefault="00AB4C34" w:rsidP="0023688A">
      <w:pPr>
        <w:pStyle w:val="Heading2"/>
      </w:pPr>
      <w:r w:rsidRPr="0023688A">
        <w:t xml:space="preserve">Conclusion and next steps </w:t>
      </w:r>
    </w:p>
    <w:p w14:paraId="6285A5BD" w14:textId="0A461E93" w:rsidR="004B7A68" w:rsidRPr="00E1569F" w:rsidRDefault="004B7A68" w:rsidP="00701CA4">
      <w:pPr>
        <w:spacing w:line="276" w:lineRule="auto"/>
        <w:rPr>
          <w:bCs/>
          <w:lang w:val="en-US"/>
        </w:rPr>
      </w:pPr>
      <w:r w:rsidRPr="009B029B">
        <w:t xml:space="preserve">Analysis of the resolved complaints in Q1 &amp; Q2 shows most complaints relate to </w:t>
      </w:r>
      <w:r w:rsidR="00270724" w:rsidRPr="009B029B">
        <w:rPr>
          <w:bCs/>
          <w:lang w:val="en-US"/>
        </w:rPr>
        <w:t>i</w:t>
      </w:r>
      <w:r w:rsidRPr="009B029B">
        <w:rPr>
          <w:bCs/>
          <w:lang w:val="en-US"/>
        </w:rPr>
        <w:t xml:space="preserve">solated administrative errors and corrective action </w:t>
      </w:r>
      <w:r w:rsidR="00432FF0">
        <w:rPr>
          <w:bCs/>
          <w:lang w:val="en-US"/>
        </w:rPr>
        <w:t>was</w:t>
      </w:r>
      <w:r w:rsidRPr="009B029B">
        <w:rPr>
          <w:bCs/>
          <w:lang w:val="en-US"/>
        </w:rPr>
        <w:t xml:space="preserve"> taken </w:t>
      </w:r>
      <w:r w:rsidR="00270724" w:rsidRPr="009B029B">
        <w:rPr>
          <w:bCs/>
          <w:lang w:val="en-US"/>
        </w:rPr>
        <w:t>to ensure specific errors were not repeated. Given the overall volume of business</w:t>
      </w:r>
      <w:r w:rsidR="00E13B2B">
        <w:rPr>
          <w:bCs/>
          <w:lang w:val="en-US"/>
        </w:rPr>
        <w:t>,</w:t>
      </w:r>
      <w:r w:rsidR="00270724" w:rsidRPr="009B029B">
        <w:rPr>
          <w:bCs/>
          <w:lang w:val="en-US"/>
        </w:rPr>
        <w:t xml:space="preserve"> these complaints do not demonstrate there has been any systemic problems identified with staff, policies or procedures</w:t>
      </w:r>
      <w:r w:rsidR="00270724">
        <w:rPr>
          <w:bCs/>
          <w:lang w:val="en-US"/>
        </w:rPr>
        <w:t xml:space="preserve">. </w:t>
      </w:r>
    </w:p>
    <w:p w14:paraId="2510F76D" w14:textId="77777777" w:rsidR="001F0B65" w:rsidRDefault="001F0B65" w:rsidP="00C24166">
      <w:pPr>
        <w:pStyle w:val="Heading2"/>
        <w:rPr>
          <w:sz w:val="36"/>
          <w:szCs w:val="28"/>
        </w:rPr>
        <w:sectPr w:rsidR="001F0B65" w:rsidSect="00114434">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pPr>
    </w:p>
    <w:p w14:paraId="6BE47207" w14:textId="77777777" w:rsidR="00AB4C34" w:rsidRPr="0023688A" w:rsidRDefault="00AB4C34" w:rsidP="00737447">
      <w:pPr>
        <w:pStyle w:val="Heading1"/>
      </w:pPr>
      <w:r w:rsidRPr="0023688A">
        <w:lastRenderedPageBreak/>
        <w:t>Appendix and/or further reading links</w:t>
      </w:r>
    </w:p>
    <w:p w14:paraId="0EAA67F1" w14:textId="28CE674D" w:rsidR="000539A7" w:rsidRDefault="000539A7" w:rsidP="00737447">
      <w:pPr>
        <w:pStyle w:val="Heading2"/>
      </w:pPr>
      <w:r>
        <w:t>Table 1: Q1 Frontline Complaints</w:t>
      </w:r>
    </w:p>
    <w:p w14:paraId="174AA4A7" w14:textId="2C4E4254" w:rsidR="005672D6" w:rsidRDefault="00C57A0C" w:rsidP="00AB4C34">
      <w:pPr>
        <w:rPr>
          <w:rStyle w:val="SubtleEmphasis"/>
          <w:i w:val="0"/>
          <w:iCs w:val="0"/>
        </w:rPr>
      </w:pPr>
      <w:r w:rsidRPr="00C57A0C">
        <w:rPr>
          <w:rStyle w:val="SubtleEmphasis"/>
          <w:i w:val="0"/>
          <w:iCs w:val="0"/>
          <w:noProof/>
        </w:rPr>
        <w:drawing>
          <wp:inline distT="0" distB="0" distL="0" distR="0" wp14:anchorId="26E191CA" wp14:editId="055061F8">
            <wp:extent cx="9777730" cy="604520"/>
            <wp:effectExtent l="0" t="0" r="0" b="5080"/>
            <wp:docPr id="16366166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16613"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7730" cy="604520"/>
                    </a:xfrm>
                    <a:prstGeom prst="rect">
                      <a:avLst/>
                    </a:prstGeom>
                    <a:noFill/>
                    <a:ln>
                      <a:noFill/>
                    </a:ln>
                  </pic:spPr>
                </pic:pic>
              </a:graphicData>
            </a:graphic>
          </wp:inline>
        </w:drawing>
      </w:r>
    </w:p>
    <w:p w14:paraId="16A295F6" w14:textId="75CC1557" w:rsidR="001F0B65" w:rsidRPr="00737447" w:rsidRDefault="001F0B65" w:rsidP="00737447">
      <w:pPr>
        <w:pStyle w:val="Heading2"/>
        <w:rPr>
          <w:rStyle w:val="SubtleEmphasis"/>
          <w:rFonts w:asciiTheme="majorHAnsi" w:hAnsiTheme="majorHAnsi"/>
          <w:i w:val="0"/>
          <w:iCs w:val="0"/>
          <w:sz w:val="32"/>
        </w:rPr>
      </w:pPr>
      <w:r w:rsidRPr="00737447">
        <w:rPr>
          <w:rStyle w:val="SubtleEmphasis"/>
          <w:rFonts w:asciiTheme="majorHAnsi" w:hAnsiTheme="majorHAnsi"/>
          <w:i w:val="0"/>
          <w:iCs w:val="0"/>
          <w:sz w:val="32"/>
        </w:rPr>
        <w:t>Table 2: Q2 Frontline Complaints</w:t>
      </w:r>
    </w:p>
    <w:p w14:paraId="2164B61A" w14:textId="698CB89C" w:rsidR="001F0B65" w:rsidRDefault="00C57A0C" w:rsidP="00AB4C34">
      <w:pPr>
        <w:rPr>
          <w:rStyle w:val="SubtleEmphasis"/>
          <w:i w:val="0"/>
          <w:iCs w:val="0"/>
        </w:rPr>
      </w:pPr>
      <w:r w:rsidRPr="00C57A0C">
        <w:rPr>
          <w:rStyle w:val="SubtleEmphasis"/>
          <w:i w:val="0"/>
          <w:iCs w:val="0"/>
          <w:noProof/>
        </w:rPr>
        <w:drawing>
          <wp:inline distT="0" distB="0" distL="0" distR="0" wp14:anchorId="3C6D8BA9" wp14:editId="6C0C9A08">
            <wp:extent cx="9777730" cy="604520"/>
            <wp:effectExtent l="0" t="0" r="0" b="5080"/>
            <wp:docPr id="953384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8442" name="Picture 2">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604520"/>
                    </a:xfrm>
                    <a:prstGeom prst="rect">
                      <a:avLst/>
                    </a:prstGeom>
                    <a:noFill/>
                    <a:ln>
                      <a:noFill/>
                    </a:ln>
                  </pic:spPr>
                </pic:pic>
              </a:graphicData>
            </a:graphic>
          </wp:inline>
        </w:drawing>
      </w:r>
    </w:p>
    <w:p w14:paraId="0D97EAF0" w14:textId="6EE5AD1C" w:rsidR="00C57A0C" w:rsidRPr="00737447" w:rsidRDefault="00C57A0C" w:rsidP="00737447">
      <w:pPr>
        <w:pStyle w:val="Heading2"/>
        <w:rPr>
          <w:rStyle w:val="SubtleEmphasis"/>
          <w:rFonts w:asciiTheme="majorHAnsi" w:hAnsiTheme="majorHAnsi"/>
          <w:i w:val="0"/>
          <w:iCs w:val="0"/>
          <w:sz w:val="32"/>
        </w:rPr>
      </w:pPr>
      <w:r w:rsidRPr="00737447">
        <w:rPr>
          <w:rStyle w:val="SubtleEmphasis"/>
          <w:rFonts w:asciiTheme="majorHAnsi" w:hAnsiTheme="majorHAnsi"/>
          <w:i w:val="0"/>
          <w:iCs w:val="0"/>
          <w:sz w:val="32"/>
        </w:rPr>
        <w:t>Table 3: Q1 Investig</w:t>
      </w:r>
      <w:r w:rsidR="009A5926" w:rsidRPr="00737447">
        <w:rPr>
          <w:rStyle w:val="SubtleEmphasis"/>
          <w:rFonts w:asciiTheme="majorHAnsi" w:hAnsiTheme="majorHAnsi"/>
          <w:i w:val="0"/>
          <w:iCs w:val="0"/>
          <w:sz w:val="32"/>
        </w:rPr>
        <w:t>ation Complaints</w:t>
      </w:r>
    </w:p>
    <w:p w14:paraId="2FAF836B" w14:textId="28A75A20" w:rsidR="009A5926" w:rsidRDefault="009A5926" w:rsidP="00AB4C34">
      <w:pPr>
        <w:rPr>
          <w:rStyle w:val="SubtleEmphasis"/>
          <w:i w:val="0"/>
          <w:iCs w:val="0"/>
        </w:rPr>
      </w:pPr>
      <w:r w:rsidRPr="009A5926">
        <w:rPr>
          <w:rStyle w:val="SubtleEmphasis"/>
          <w:i w:val="0"/>
          <w:iCs w:val="0"/>
          <w:noProof/>
        </w:rPr>
        <w:drawing>
          <wp:inline distT="0" distB="0" distL="0" distR="0" wp14:anchorId="48DF4C71" wp14:editId="3A7E220A">
            <wp:extent cx="9777730" cy="1005205"/>
            <wp:effectExtent l="0" t="0" r="0" b="4445"/>
            <wp:docPr id="19695055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05577" name="Picture 4">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77730" cy="1005205"/>
                    </a:xfrm>
                    <a:prstGeom prst="rect">
                      <a:avLst/>
                    </a:prstGeom>
                    <a:noFill/>
                    <a:ln>
                      <a:noFill/>
                    </a:ln>
                  </pic:spPr>
                </pic:pic>
              </a:graphicData>
            </a:graphic>
          </wp:inline>
        </w:drawing>
      </w:r>
    </w:p>
    <w:p w14:paraId="34A93359" w14:textId="460750CD" w:rsidR="009A5926" w:rsidRPr="00737447" w:rsidRDefault="009A5926" w:rsidP="00737447">
      <w:pPr>
        <w:pStyle w:val="Heading2"/>
        <w:rPr>
          <w:rStyle w:val="SubtleEmphasis"/>
          <w:rFonts w:asciiTheme="majorHAnsi" w:hAnsiTheme="majorHAnsi"/>
          <w:i w:val="0"/>
          <w:iCs w:val="0"/>
          <w:sz w:val="32"/>
        </w:rPr>
      </w:pPr>
      <w:r w:rsidRPr="00737447">
        <w:rPr>
          <w:rStyle w:val="SubtleEmphasis"/>
          <w:rFonts w:asciiTheme="majorHAnsi" w:hAnsiTheme="majorHAnsi"/>
          <w:i w:val="0"/>
          <w:iCs w:val="0"/>
          <w:sz w:val="32"/>
        </w:rPr>
        <w:t>Table 4: Q2 Investigation Complaints</w:t>
      </w:r>
    </w:p>
    <w:p w14:paraId="42F7DD0B" w14:textId="248150B4" w:rsidR="009A5926" w:rsidRDefault="007D5F38" w:rsidP="00AB4C34">
      <w:pPr>
        <w:rPr>
          <w:rStyle w:val="SubtleEmphasis"/>
          <w:i w:val="0"/>
          <w:iCs w:val="0"/>
        </w:rPr>
      </w:pPr>
      <w:r w:rsidRPr="007D5F38">
        <w:rPr>
          <w:rStyle w:val="SubtleEmphasis"/>
          <w:i w:val="0"/>
          <w:iCs w:val="0"/>
          <w:noProof/>
        </w:rPr>
        <w:drawing>
          <wp:inline distT="0" distB="0" distL="0" distR="0" wp14:anchorId="6681CA2F" wp14:editId="13EC9A4D">
            <wp:extent cx="9777730" cy="1334135"/>
            <wp:effectExtent l="0" t="0" r="0" b="0"/>
            <wp:docPr id="7077483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48353"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7730" cy="1334135"/>
                    </a:xfrm>
                    <a:prstGeom prst="rect">
                      <a:avLst/>
                    </a:prstGeom>
                    <a:noFill/>
                    <a:ln>
                      <a:noFill/>
                    </a:ln>
                  </pic:spPr>
                </pic:pic>
              </a:graphicData>
            </a:graphic>
          </wp:inline>
        </w:drawing>
      </w:r>
    </w:p>
    <w:p w14:paraId="516A9A7C" w14:textId="77777777" w:rsidR="00B466D4" w:rsidRDefault="00B466D4" w:rsidP="00AB4C34">
      <w:pPr>
        <w:rPr>
          <w:rStyle w:val="SubtleEmphasis"/>
          <w:i w:val="0"/>
          <w:iCs w:val="0"/>
        </w:rPr>
      </w:pPr>
    </w:p>
    <w:p w14:paraId="6BD8884F" w14:textId="77777777" w:rsidR="00737447" w:rsidRDefault="00737447" w:rsidP="00AB4C34">
      <w:pPr>
        <w:rPr>
          <w:rStyle w:val="SubtleEmphasis"/>
          <w:i w:val="0"/>
          <w:iCs w:val="0"/>
        </w:rPr>
      </w:pPr>
    </w:p>
    <w:p w14:paraId="63F9E6FF" w14:textId="45D73351" w:rsidR="00B466D4" w:rsidRPr="00737447" w:rsidRDefault="00B466D4" w:rsidP="00737447">
      <w:pPr>
        <w:pStyle w:val="Heading2"/>
        <w:rPr>
          <w:rStyle w:val="SubtleEmphasis"/>
          <w:rFonts w:asciiTheme="majorHAnsi" w:hAnsiTheme="majorHAnsi"/>
          <w:i w:val="0"/>
          <w:iCs w:val="0"/>
          <w:sz w:val="32"/>
        </w:rPr>
      </w:pPr>
      <w:bookmarkStart w:id="0" w:name="_Table_5:_Quarter"/>
      <w:bookmarkEnd w:id="0"/>
      <w:r w:rsidRPr="00737447">
        <w:rPr>
          <w:rStyle w:val="SubtleEmphasis"/>
          <w:rFonts w:asciiTheme="majorHAnsi" w:hAnsiTheme="majorHAnsi"/>
          <w:i w:val="0"/>
          <w:iCs w:val="0"/>
          <w:sz w:val="32"/>
        </w:rPr>
        <w:lastRenderedPageBreak/>
        <w:t xml:space="preserve">Table 5: </w:t>
      </w:r>
      <w:r w:rsidR="00425E54" w:rsidRPr="00737447">
        <w:rPr>
          <w:rStyle w:val="SubtleEmphasis"/>
          <w:rFonts w:asciiTheme="majorHAnsi" w:hAnsiTheme="majorHAnsi"/>
          <w:i w:val="0"/>
          <w:iCs w:val="0"/>
          <w:sz w:val="32"/>
        </w:rPr>
        <w:t>Quarter by Quarter</w:t>
      </w:r>
      <w:r w:rsidRPr="00737447">
        <w:rPr>
          <w:rStyle w:val="SubtleEmphasis"/>
          <w:rFonts w:asciiTheme="majorHAnsi" w:hAnsiTheme="majorHAnsi"/>
          <w:i w:val="0"/>
          <w:iCs w:val="0"/>
          <w:sz w:val="32"/>
        </w:rPr>
        <w:t xml:space="preserve"> Comparison</w:t>
      </w:r>
    </w:p>
    <w:p w14:paraId="399DF033" w14:textId="4099C4EF" w:rsidR="00B466D4" w:rsidRPr="00AB4C34" w:rsidRDefault="00425E54" w:rsidP="00AB4C34">
      <w:pPr>
        <w:rPr>
          <w:rStyle w:val="SubtleEmphasis"/>
          <w:i w:val="0"/>
          <w:iCs w:val="0"/>
        </w:rPr>
      </w:pPr>
      <w:r w:rsidRPr="00425E54">
        <w:rPr>
          <w:rStyle w:val="SubtleEmphasis"/>
          <w:i w:val="0"/>
          <w:iCs w:val="0"/>
          <w:noProof/>
        </w:rPr>
        <w:drawing>
          <wp:inline distT="0" distB="0" distL="0" distR="0" wp14:anchorId="244DD177" wp14:editId="76E82614">
            <wp:extent cx="9777730" cy="2581275"/>
            <wp:effectExtent l="0" t="0" r="0" b="9525"/>
            <wp:docPr id="46802087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20870" name="Picture 6">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77730" cy="2581275"/>
                    </a:xfrm>
                    <a:prstGeom prst="rect">
                      <a:avLst/>
                    </a:prstGeom>
                    <a:noFill/>
                    <a:ln>
                      <a:noFill/>
                    </a:ln>
                  </pic:spPr>
                </pic:pic>
              </a:graphicData>
            </a:graphic>
          </wp:inline>
        </w:drawing>
      </w:r>
    </w:p>
    <w:sectPr w:rsidR="00B466D4" w:rsidRPr="00AB4C34" w:rsidSect="001F0B6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C879" w14:textId="77777777" w:rsidR="007D2AEE" w:rsidRPr="00C24166" w:rsidRDefault="007D2AEE" w:rsidP="00CC679C">
      <w:r w:rsidRPr="00C24166">
        <w:separator/>
      </w:r>
    </w:p>
  </w:endnote>
  <w:endnote w:type="continuationSeparator" w:id="0">
    <w:p w14:paraId="4113FE29" w14:textId="77777777" w:rsidR="007D2AEE" w:rsidRPr="00C24166" w:rsidRDefault="007D2AEE" w:rsidP="00CC679C">
      <w:r w:rsidRPr="00C24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Pr="00C24166" w:rsidRDefault="00432B96" w:rsidP="00CC679C">
    <w:pPr>
      <w:pStyle w:val="Footer"/>
    </w:pPr>
  </w:p>
  <w:p w14:paraId="62C94757" w14:textId="373CDFB9" w:rsidR="00432B96" w:rsidRPr="00C24166" w:rsidRDefault="00AB4C34" w:rsidP="00CC679C">
    <w:r w:rsidRPr="00C24166">
      <w:t xml:space="preserve">SLAB: Board </w:t>
    </w:r>
    <w:r w:rsidR="00F14DC9" w:rsidRPr="00C24166">
      <w:t>r</w:t>
    </w:r>
    <w:r w:rsidRPr="00C24166">
      <w:t>eport</w:t>
    </w:r>
    <w:r w:rsidR="008556E4">
      <w:t xml:space="preserve"> – Complaints Update </w:t>
    </w:r>
    <w:r w:rsidRPr="00C24166">
      <w:tab/>
    </w:r>
    <w:r w:rsidRPr="00C24166">
      <w:tab/>
    </w:r>
    <w:r w:rsidRPr="00C24166">
      <w:tab/>
    </w:r>
    <w:r w:rsidRPr="00C24166">
      <w:tab/>
    </w:r>
    <w:r w:rsidRPr="00C24166">
      <w:tab/>
    </w:r>
    <w:r w:rsidRPr="00C24166">
      <w:tab/>
    </w:r>
    <w:r w:rsidRPr="00C24166">
      <w:tab/>
    </w:r>
    <w:r w:rsidRPr="00C24166">
      <w:tab/>
      <w:t xml:space="preserve">                </w:t>
    </w:r>
    <w:r w:rsidR="00432B96" w:rsidRPr="00C24166">
      <w:t xml:space="preserve"> </w:t>
    </w:r>
    <w:sdt>
      <w:sdtPr>
        <w:id w:val="-1020014772"/>
        <w:docPartObj>
          <w:docPartGallery w:val="Page Numbers (Bottom of Page)"/>
          <w:docPartUnique/>
        </w:docPartObj>
      </w:sdtPr>
      <w:sdtEndPr/>
      <w:sdtContent>
        <w:r w:rsidR="00432B96" w:rsidRPr="00C24166">
          <w:fldChar w:fldCharType="begin"/>
        </w:r>
        <w:r w:rsidR="00432B96" w:rsidRPr="00C24166">
          <w:instrText xml:space="preserve"> PAGE   \* MERGEFORMAT </w:instrText>
        </w:r>
        <w:r w:rsidR="00432B96" w:rsidRPr="00C24166">
          <w:fldChar w:fldCharType="separate"/>
        </w:r>
        <w:r w:rsidR="00432B96" w:rsidRPr="00C24166">
          <w:t>2</w:t>
        </w:r>
        <w:r w:rsidR="00432B96" w:rsidRPr="00C2416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C79E" w14:textId="77777777" w:rsidR="007D2AEE" w:rsidRPr="00C24166" w:rsidRDefault="007D2AEE" w:rsidP="00CC679C">
      <w:r w:rsidRPr="00C24166">
        <w:separator/>
      </w:r>
    </w:p>
  </w:footnote>
  <w:footnote w:type="continuationSeparator" w:id="0">
    <w:p w14:paraId="18E8F847" w14:textId="77777777" w:rsidR="007D2AEE" w:rsidRPr="00C24166" w:rsidRDefault="007D2AEE" w:rsidP="00CC679C">
      <w:r w:rsidRPr="00C24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4624" w14:textId="2BDD52B1" w:rsidR="00202250" w:rsidRPr="00C24166" w:rsidRDefault="00202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5345" w14:textId="64BA22DF" w:rsidR="00202250" w:rsidRPr="00C24166" w:rsidRDefault="00202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9E99" w14:textId="1B6925D6" w:rsidR="00202250" w:rsidRPr="00C24166" w:rsidRDefault="0020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87B39"/>
    <w:multiLevelType w:val="hybridMultilevel"/>
    <w:tmpl w:val="090A1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84CFF"/>
    <w:multiLevelType w:val="hybridMultilevel"/>
    <w:tmpl w:val="798460FA"/>
    <w:lvl w:ilvl="0" w:tplc="D812C3D8">
      <w:start w:val="1"/>
      <w:numFmt w:val="decimal"/>
      <w:lvlText w:val="%1."/>
      <w:lvlJc w:val="left"/>
      <w:pPr>
        <w:ind w:left="720" w:hanging="360"/>
      </w:pPr>
      <w:rPr>
        <w:b/>
        <w:bCs/>
        <w:color w:val="156082"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7466C"/>
    <w:multiLevelType w:val="hybridMultilevel"/>
    <w:tmpl w:val="B43AA742"/>
    <w:lvl w:ilvl="0" w:tplc="349A6B34">
      <w:start w:val="1"/>
      <w:numFmt w:val="decimal"/>
      <w:lvlText w:val="%1."/>
      <w:lvlJc w:val="left"/>
      <w:pPr>
        <w:ind w:left="360" w:hanging="360"/>
      </w:pPr>
      <w:rPr>
        <w:b/>
        <w:bCs/>
        <w:color w:val="174DA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7"/>
  </w:num>
  <w:num w:numId="2" w16cid:durableId="2012100725">
    <w:abstractNumId w:val="0"/>
  </w:num>
  <w:num w:numId="3" w16cid:durableId="2097942416">
    <w:abstractNumId w:val="5"/>
  </w:num>
  <w:num w:numId="4" w16cid:durableId="135951669">
    <w:abstractNumId w:val="6"/>
  </w:num>
  <w:num w:numId="5" w16cid:durableId="1837988203">
    <w:abstractNumId w:val="8"/>
  </w:num>
  <w:num w:numId="6" w16cid:durableId="485516111">
    <w:abstractNumId w:val="2"/>
  </w:num>
  <w:num w:numId="7" w16cid:durableId="1688022927">
    <w:abstractNumId w:val="4"/>
  </w:num>
  <w:num w:numId="8" w16cid:durableId="301422518">
    <w:abstractNumId w:val="1"/>
  </w:num>
  <w:num w:numId="9" w16cid:durableId="1863400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14AB4"/>
    <w:rsid w:val="0003233C"/>
    <w:rsid w:val="00042C78"/>
    <w:rsid w:val="0005253B"/>
    <w:rsid w:val="000539A7"/>
    <w:rsid w:val="00097AF8"/>
    <w:rsid w:val="000C1FF6"/>
    <w:rsid w:val="000C7970"/>
    <w:rsid w:val="000F272F"/>
    <w:rsid w:val="000F2F04"/>
    <w:rsid w:val="00114434"/>
    <w:rsid w:val="001170F3"/>
    <w:rsid w:val="00120117"/>
    <w:rsid w:val="001513A5"/>
    <w:rsid w:val="0016134C"/>
    <w:rsid w:val="00177AAF"/>
    <w:rsid w:val="001806A5"/>
    <w:rsid w:val="001E1C0C"/>
    <w:rsid w:val="001E4473"/>
    <w:rsid w:val="001E6BF2"/>
    <w:rsid w:val="001F0B65"/>
    <w:rsid w:val="001F264E"/>
    <w:rsid w:val="00202250"/>
    <w:rsid w:val="00217A6D"/>
    <w:rsid w:val="0023688A"/>
    <w:rsid w:val="00250E60"/>
    <w:rsid w:val="0025138B"/>
    <w:rsid w:val="00261E82"/>
    <w:rsid w:val="00270724"/>
    <w:rsid w:val="0027610F"/>
    <w:rsid w:val="0029670E"/>
    <w:rsid w:val="002A0BFF"/>
    <w:rsid w:val="002A1F57"/>
    <w:rsid w:val="002A544E"/>
    <w:rsid w:val="002A5489"/>
    <w:rsid w:val="002B38E4"/>
    <w:rsid w:val="002C1A5F"/>
    <w:rsid w:val="002C57DC"/>
    <w:rsid w:val="002C7DC0"/>
    <w:rsid w:val="002D51A1"/>
    <w:rsid w:val="002E6789"/>
    <w:rsid w:val="002E784E"/>
    <w:rsid w:val="002F01D2"/>
    <w:rsid w:val="003046AA"/>
    <w:rsid w:val="00323C61"/>
    <w:rsid w:val="00333F80"/>
    <w:rsid w:val="00343C0F"/>
    <w:rsid w:val="0035178C"/>
    <w:rsid w:val="00363D37"/>
    <w:rsid w:val="00367FC5"/>
    <w:rsid w:val="00371B57"/>
    <w:rsid w:val="00374702"/>
    <w:rsid w:val="0039182C"/>
    <w:rsid w:val="003A39AE"/>
    <w:rsid w:val="003D070F"/>
    <w:rsid w:val="003E6122"/>
    <w:rsid w:val="003F011C"/>
    <w:rsid w:val="004111E8"/>
    <w:rsid w:val="00425E54"/>
    <w:rsid w:val="004320DD"/>
    <w:rsid w:val="00432B96"/>
    <w:rsid w:val="00432FF0"/>
    <w:rsid w:val="00450AC2"/>
    <w:rsid w:val="0045397D"/>
    <w:rsid w:val="00470A18"/>
    <w:rsid w:val="00472170"/>
    <w:rsid w:val="00477B40"/>
    <w:rsid w:val="004A6ABC"/>
    <w:rsid w:val="004B2A9C"/>
    <w:rsid w:val="004B312B"/>
    <w:rsid w:val="004B7A68"/>
    <w:rsid w:val="005277D3"/>
    <w:rsid w:val="00536838"/>
    <w:rsid w:val="005672D6"/>
    <w:rsid w:val="00567EB3"/>
    <w:rsid w:val="005702E7"/>
    <w:rsid w:val="00575DA6"/>
    <w:rsid w:val="005850AE"/>
    <w:rsid w:val="005B0DEE"/>
    <w:rsid w:val="005B10EC"/>
    <w:rsid w:val="005C5F6E"/>
    <w:rsid w:val="005D1F4C"/>
    <w:rsid w:val="005D268A"/>
    <w:rsid w:val="006002C6"/>
    <w:rsid w:val="00603314"/>
    <w:rsid w:val="006300D8"/>
    <w:rsid w:val="00633F8E"/>
    <w:rsid w:val="006454F3"/>
    <w:rsid w:val="006467D9"/>
    <w:rsid w:val="00647D80"/>
    <w:rsid w:val="0065276B"/>
    <w:rsid w:val="0066359E"/>
    <w:rsid w:val="00663B2C"/>
    <w:rsid w:val="006674CD"/>
    <w:rsid w:val="00670A04"/>
    <w:rsid w:val="00674646"/>
    <w:rsid w:val="00682EC5"/>
    <w:rsid w:val="00692038"/>
    <w:rsid w:val="006A1794"/>
    <w:rsid w:val="006C2B6E"/>
    <w:rsid w:val="006D0A2A"/>
    <w:rsid w:val="006D4B9D"/>
    <w:rsid w:val="006F0D8E"/>
    <w:rsid w:val="006F4385"/>
    <w:rsid w:val="006F4B34"/>
    <w:rsid w:val="00701CA4"/>
    <w:rsid w:val="007041F6"/>
    <w:rsid w:val="00722B98"/>
    <w:rsid w:val="00737447"/>
    <w:rsid w:val="00740439"/>
    <w:rsid w:val="00744034"/>
    <w:rsid w:val="00767186"/>
    <w:rsid w:val="00782742"/>
    <w:rsid w:val="007C6895"/>
    <w:rsid w:val="007D13AB"/>
    <w:rsid w:val="007D2AEE"/>
    <w:rsid w:val="007D5F38"/>
    <w:rsid w:val="00802C97"/>
    <w:rsid w:val="008031B1"/>
    <w:rsid w:val="00821617"/>
    <w:rsid w:val="00850D7D"/>
    <w:rsid w:val="008556E4"/>
    <w:rsid w:val="00890B27"/>
    <w:rsid w:val="008A478D"/>
    <w:rsid w:val="008D5832"/>
    <w:rsid w:val="008F7C78"/>
    <w:rsid w:val="009219F9"/>
    <w:rsid w:val="0095507C"/>
    <w:rsid w:val="00987633"/>
    <w:rsid w:val="009A1DA3"/>
    <w:rsid w:val="009A5926"/>
    <w:rsid w:val="009B029B"/>
    <w:rsid w:val="009B4ED5"/>
    <w:rsid w:val="009D0693"/>
    <w:rsid w:val="009F03A5"/>
    <w:rsid w:val="00A02197"/>
    <w:rsid w:val="00A1488A"/>
    <w:rsid w:val="00A16CB9"/>
    <w:rsid w:val="00A53553"/>
    <w:rsid w:val="00A62C54"/>
    <w:rsid w:val="00A82E64"/>
    <w:rsid w:val="00A90BF3"/>
    <w:rsid w:val="00AA3819"/>
    <w:rsid w:val="00AB4C34"/>
    <w:rsid w:val="00AD1666"/>
    <w:rsid w:val="00AD4F89"/>
    <w:rsid w:val="00AE7185"/>
    <w:rsid w:val="00AE7F49"/>
    <w:rsid w:val="00AF0BE6"/>
    <w:rsid w:val="00AF73EB"/>
    <w:rsid w:val="00B2602F"/>
    <w:rsid w:val="00B46302"/>
    <w:rsid w:val="00B466D4"/>
    <w:rsid w:val="00B62A2D"/>
    <w:rsid w:val="00B646AF"/>
    <w:rsid w:val="00B86A0D"/>
    <w:rsid w:val="00B970C1"/>
    <w:rsid w:val="00BD2768"/>
    <w:rsid w:val="00BD42AA"/>
    <w:rsid w:val="00BE7AB7"/>
    <w:rsid w:val="00BF2DDC"/>
    <w:rsid w:val="00C15338"/>
    <w:rsid w:val="00C17331"/>
    <w:rsid w:val="00C20F4F"/>
    <w:rsid w:val="00C24166"/>
    <w:rsid w:val="00C35113"/>
    <w:rsid w:val="00C37D52"/>
    <w:rsid w:val="00C57A0C"/>
    <w:rsid w:val="00C57E1C"/>
    <w:rsid w:val="00C60686"/>
    <w:rsid w:val="00C6753D"/>
    <w:rsid w:val="00CA46C3"/>
    <w:rsid w:val="00CB7CF8"/>
    <w:rsid w:val="00CC679C"/>
    <w:rsid w:val="00CD0F67"/>
    <w:rsid w:val="00CE18D1"/>
    <w:rsid w:val="00CF22E0"/>
    <w:rsid w:val="00D166AF"/>
    <w:rsid w:val="00D16A3E"/>
    <w:rsid w:val="00D16CC0"/>
    <w:rsid w:val="00D237E9"/>
    <w:rsid w:val="00D330C3"/>
    <w:rsid w:val="00D35FED"/>
    <w:rsid w:val="00DB012E"/>
    <w:rsid w:val="00DD66EC"/>
    <w:rsid w:val="00DD6FC1"/>
    <w:rsid w:val="00DE09E3"/>
    <w:rsid w:val="00E13B2B"/>
    <w:rsid w:val="00E14DDA"/>
    <w:rsid w:val="00E1569F"/>
    <w:rsid w:val="00E25605"/>
    <w:rsid w:val="00E32AF9"/>
    <w:rsid w:val="00E7542F"/>
    <w:rsid w:val="00E771B8"/>
    <w:rsid w:val="00EC0191"/>
    <w:rsid w:val="00F14DC9"/>
    <w:rsid w:val="00F15E6B"/>
    <w:rsid w:val="00F37D96"/>
    <w:rsid w:val="00F6081D"/>
    <w:rsid w:val="00F63CD7"/>
    <w:rsid w:val="00F9114A"/>
    <w:rsid w:val="00F939E9"/>
    <w:rsid w:val="00F9740B"/>
    <w:rsid w:val="00FA6632"/>
    <w:rsid w:val="00FA704A"/>
    <w:rsid w:val="00FC45B5"/>
    <w:rsid w:val="00FD2041"/>
    <w:rsid w:val="00FE3583"/>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C09FC462-5C74-449E-B070-04094C7A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24166"/>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202250"/>
    <w:pPr>
      <w:pBdr>
        <w:top w:val="single" w:sz="4" w:space="10" w:color="156082" w:themeColor="accent1"/>
        <w:bottom w:val="single" w:sz="4" w:space="10" w:color="156082" w:themeColor="accent1"/>
      </w:pBdr>
      <w:spacing w:before="360" w:after="360"/>
      <w:ind w:left="864" w:right="864"/>
    </w:pPr>
    <w:rPr>
      <w:color w:val="174DA3"/>
      <w:sz w:val="28"/>
    </w:rPr>
  </w:style>
  <w:style w:type="character" w:customStyle="1" w:styleId="IntenseQuoteChar">
    <w:name w:val="Intense Quote Char"/>
    <w:basedOn w:val="DefaultParagraphFont"/>
    <w:link w:val="IntenseQuote"/>
    <w:uiPriority w:val="30"/>
    <w:rsid w:val="00202250"/>
    <w:rPr>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locked/>
    <w:rsid w:val="00450AC2"/>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B46302"/>
    <w:rPr>
      <w:sz w:val="16"/>
      <w:szCs w:val="16"/>
    </w:rPr>
  </w:style>
  <w:style w:type="paragraph" w:styleId="CommentText">
    <w:name w:val="annotation text"/>
    <w:basedOn w:val="Normal"/>
    <w:link w:val="CommentTextChar"/>
    <w:uiPriority w:val="99"/>
    <w:unhideWhenUsed/>
    <w:rsid w:val="00B46302"/>
    <w:rPr>
      <w:sz w:val="20"/>
      <w:szCs w:val="20"/>
    </w:rPr>
  </w:style>
  <w:style w:type="character" w:customStyle="1" w:styleId="CommentTextChar">
    <w:name w:val="Comment Text Char"/>
    <w:basedOn w:val="DefaultParagraphFont"/>
    <w:link w:val="CommentText"/>
    <w:uiPriority w:val="99"/>
    <w:rsid w:val="00B46302"/>
    <w:rPr>
      <w:sz w:val="20"/>
      <w:szCs w:val="20"/>
    </w:rPr>
  </w:style>
  <w:style w:type="paragraph" w:styleId="CommentSubject">
    <w:name w:val="annotation subject"/>
    <w:basedOn w:val="CommentText"/>
    <w:next w:val="CommentText"/>
    <w:link w:val="CommentSubjectChar"/>
    <w:uiPriority w:val="99"/>
    <w:semiHidden/>
    <w:unhideWhenUsed/>
    <w:rsid w:val="00B46302"/>
    <w:rPr>
      <w:b/>
      <w:bCs/>
    </w:rPr>
  </w:style>
  <w:style w:type="character" w:customStyle="1" w:styleId="CommentSubjectChar">
    <w:name w:val="Comment Subject Char"/>
    <w:basedOn w:val="CommentTextChar"/>
    <w:link w:val="CommentSubject"/>
    <w:uiPriority w:val="99"/>
    <w:semiHidden/>
    <w:rsid w:val="00B46302"/>
    <w:rPr>
      <w:b/>
      <w:bCs/>
      <w:sz w:val="20"/>
      <w:szCs w:val="20"/>
    </w:rPr>
  </w:style>
  <w:style w:type="character" w:styleId="Mention">
    <w:name w:val="Mention"/>
    <w:basedOn w:val="DefaultParagraphFont"/>
    <w:uiPriority w:val="99"/>
    <w:unhideWhenUsed/>
    <w:rsid w:val="00B463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0496">
      <w:bodyDiv w:val="1"/>
      <w:marLeft w:val="0"/>
      <w:marRight w:val="0"/>
      <w:marTop w:val="0"/>
      <w:marBottom w:val="0"/>
      <w:divBdr>
        <w:top w:val="none" w:sz="0" w:space="0" w:color="auto"/>
        <w:left w:val="none" w:sz="0" w:space="0" w:color="auto"/>
        <w:bottom w:val="none" w:sz="0" w:space="0" w:color="auto"/>
        <w:right w:val="none" w:sz="0" w:space="0" w:color="auto"/>
      </w:divBdr>
    </w:div>
    <w:div w:id="2079278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03233C" w:rsidP="0003233C">
          <w:pPr>
            <w:pStyle w:val="BC0454778CF0490597D1CB385A9EEDA42"/>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03233C" w:rsidP="0003233C">
          <w:pPr>
            <w:pStyle w:val="F544C7BD0D34457ABE26A5956E6205A62"/>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03233C" w:rsidP="0003233C">
          <w:pPr>
            <w:pStyle w:val="1CA18BC18242434285BA060792021EF82"/>
          </w:pPr>
          <w:r w:rsidRPr="00D35FED">
            <w:rPr>
              <w:rStyle w:val="PlaceholderText"/>
              <w:b/>
              <w:bCs/>
              <w:color w:val="A02B93" w:themeColor="accent5"/>
            </w:rPr>
            <w:t>Choose an item.</w:t>
          </w:r>
        </w:p>
      </w:docPartBody>
    </w:docPart>
    <w:docPart>
      <w:docPartPr>
        <w:name w:val="DefaultPlaceholder_-1854013437"/>
        <w:category>
          <w:name w:val="General"/>
          <w:gallery w:val="placeholder"/>
        </w:category>
        <w:types>
          <w:type w:val="bbPlcHdr"/>
        </w:types>
        <w:behaviors>
          <w:behavior w:val="content"/>
        </w:behaviors>
        <w:guid w:val="{7407DFCE-4D67-4D24-A6B9-D0D94E793AAA}"/>
      </w:docPartPr>
      <w:docPartBody>
        <w:p w:rsidR="00E10CF2" w:rsidRDefault="00F9114A">
          <w:r w:rsidRPr="000009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3233C"/>
    <w:rsid w:val="001170F3"/>
    <w:rsid w:val="002B38E4"/>
    <w:rsid w:val="002C7DC0"/>
    <w:rsid w:val="002E2000"/>
    <w:rsid w:val="00343C0F"/>
    <w:rsid w:val="003D070F"/>
    <w:rsid w:val="0045397D"/>
    <w:rsid w:val="004B2A9C"/>
    <w:rsid w:val="00536F88"/>
    <w:rsid w:val="005B10EC"/>
    <w:rsid w:val="005D0590"/>
    <w:rsid w:val="005F78F8"/>
    <w:rsid w:val="0060132D"/>
    <w:rsid w:val="006467D9"/>
    <w:rsid w:val="0066359E"/>
    <w:rsid w:val="00663B2C"/>
    <w:rsid w:val="00692038"/>
    <w:rsid w:val="00744034"/>
    <w:rsid w:val="007B091A"/>
    <w:rsid w:val="00802C97"/>
    <w:rsid w:val="00861799"/>
    <w:rsid w:val="00A53553"/>
    <w:rsid w:val="00AA3819"/>
    <w:rsid w:val="00AB3ED8"/>
    <w:rsid w:val="00B31A93"/>
    <w:rsid w:val="00B634DC"/>
    <w:rsid w:val="00B970C1"/>
    <w:rsid w:val="00BC06B6"/>
    <w:rsid w:val="00C60686"/>
    <w:rsid w:val="00C8248B"/>
    <w:rsid w:val="00E10CF2"/>
    <w:rsid w:val="00E32AF9"/>
    <w:rsid w:val="00F135F6"/>
    <w:rsid w:val="00F37D96"/>
    <w:rsid w:val="00F519DB"/>
    <w:rsid w:val="00F63CD7"/>
    <w:rsid w:val="00F9114A"/>
    <w:rsid w:val="00F961F8"/>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4A"/>
    <w:rPr>
      <w:color w:val="808080"/>
    </w:rPr>
  </w:style>
  <w:style w:type="paragraph" w:customStyle="1" w:styleId="BC0454778CF0490597D1CB385A9EEDA42">
    <w:name w:val="BC0454778CF0490597D1CB385A9EEDA42"/>
    <w:rsid w:val="0003233C"/>
    <w:pPr>
      <w:spacing w:line="259" w:lineRule="auto"/>
    </w:pPr>
    <w:rPr>
      <w:rFonts w:eastAsiaTheme="minorHAnsi"/>
      <w:szCs w:val="22"/>
      <w:lang w:eastAsia="en-US"/>
    </w:rPr>
  </w:style>
  <w:style w:type="paragraph" w:customStyle="1" w:styleId="F544C7BD0D34457ABE26A5956E6205A62">
    <w:name w:val="F544C7BD0D34457ABE26A5956E6205A62"/>
    <w:rsid w:val="0003233C"/>
    <w:pPr>
      <w:spacing w:line="259" w:lineRule="auto"/>
    </w:pPr>
    <w:rPr>
      <w:rFonts w:eastAsiaTheme="minorHAnsi"/>
      <w:szCs w:val="22"/>
      <w:lang w:eastAsia="en-US"/>
    </w:rPr>
  </w:style>
  <w:style w:type="paragraph" w:customStyle="1" w:styleId="1CA18BC18242434285BA060792021EF82">
    <w:name w:val="1CA18BC18242434285BA060792021EF82"/>
    <w:rsid w:val="0003233C"/>
    <w:pPr>
      <w:spacing w:line="259" w:lineRule="auto"/>
    </w:pPr>
    <w:rPr>
      <w:rFonts w:eastAsiaTheme="minorHAnsi"/>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9AB4BB82-1971-4BF0-8E3C-25CDB6AE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7E696E21-D89F-4687-B80D-7F169E8B0DD4}">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f77c8e73-1a92-43ae-87b4-1041e4b5416f"/>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7152</Characters>
  <Application>Microsoft Office Word</Application>
  <DocSecurity>0</DocSecurity>
  <Lines>193</Lines>
  <Paragraphs>119</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8354</CharactersWithSpaces>
  <SharedDoc>false</SharedDoc>
  <HLinks>
    <vt:vector size="6" baseType="variant">
      <vt:variant>
        <vt:i4>6619164</vt:i4>
      </vt:variant>
      <vt:variant>
        <vt:i4>0</vt:i4>
      </vt:variant>
      <vt:variant>
        <vt:i4>0</vt:i4>
      </vt:variant>
      <vt:variant>
        <vt:i4>5</vt:i4>
      </vt:variant>
      <vt:variant>
        <vt:lpwstr>mailto:CEO@slab.org.uk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Complaints Update – Q1 &amp; Q2 2025-26</dc:title>
  <dc:subject>Board papers</dc:subject>
  <dc:creator>Scottish Legal Aid Board</dc:creator>
  <cp:keywords/>
  <dc:description/>
  <cp:lastModifiedBy>Lindsay Corr</cp:lastModifiedBy>
  <cp:revision>2</cp:revision>
  <dcterms:created xsi:type="dcterms:W3CDTF">2026-03-18T11:23:00Z</dcterms:created>
  <dcterms:modified xsi:type="dcterms:W3CDTF">2026-03-18T11:23:00Z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