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D6012C" w:rsidRDefault="0023662B" w:rsidP="00E67425">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D6012C">
        <w:rPr>
          <w:sz w:val="24"/>
          <w:szCs w:val="24"/>
        </w:rPr>
        <w:t>Report No:</w:t>
      </w:r>
      <w:r w:rsidR="00E755E4" w:rsidRPr="00D6012C">
        <w:rPr>
          <w:sz w:val="24"/>
          <w:szCs w:val="24"/>
        </w:rPr>
        <w:t xml:space="preserve"> </w:t>
      </w:r>
      <w:r w:rsidR="0002748C">
        <w:rPr>
          <w:b/>
          <w:color w:val="000000" w:themeColor="text1"/>
          <w:sz w:val="24"/>
          <w:szCs w:val="24"/>
        </w:rPr>
        <w:t>SLAB/2019</w:t>
      </w:r>
      <w:r w:rsidR="00E755E4" w:rsidRPr="00D6012C">
        <w:rPr>
          <w:b/>
          <w:color w:val="000000" w:themeColor="text1"/>
          <w:sz w:val="24"/>
          <w:szCs w:val="24"/>
        </w:rPr>
        <w:t>/</w:t>
      </w:r>
      <w:r w:rsidR="0002748C">
        <w:rPr>
          <w:b/>
          <w:color w:val="000000" w:themeColor="text1"/>
          <w:sz w:val="24"/>
          <w:szCs w:val="24"/>
        </w:rPr>
        <w:t>05</w:t>
      </w:r>
    </w:p>
    <w:p w:rsidR="00B26F64" w:rsidRPr="00D6012C" w:rsidRDefault="00B26F64" w:rsidP="00B26F64">
      <w:pPr>
        <w:jc w:val="right"/>
        <w:rPr>
          <w:sz w:val="24"/>
          <w:szCs w:val="24"/>
        </w:rPr>
      </w:pPr>
      <w:r w:rsidRPr="00D6012C">
        <w:rPr>
          <w:sz w:val="24"/>
          <w:szCs w:val="24"/>
        </w:rPr>
        <w:t>Agenda Item:</w:t>
      </w:r>
      <w:r w:rsidR="00E755E4" w:rsidRPr="00D6012C">
        <w:rPr>
          <w:sz w:val="24"/>
          <w:szCs w:val="24"/>
        </w:rPr>
        <w:t xml:space="preserve"> </w:t>
      </w:r>
      <w:r w:rsidR="00C32371">
        <w:rPr>
          <w:b/>
          <w:sz w:val="24"/>
          <w:szCs w:val="24"/>
        </w:rPr>
        <w:t>11</w:t>
      </w:r>
    </w:p>
    <w:p w:rsidR="00B26F64" w:rsidRPr="00DE249E" w:rsidRDefault="00B26F64" w:rsidP="00B26F64">
      <w:pPr>
        <w:jc w:val="right"/>
        <w:rPr>
          <w:sz w:val="24"/>
          <w:szCs w:val="24"/>
          <w:highlight w:val="yellow"/>
        </w:rPr>
      </w:pPr>
    </w:p>
    <w:p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B86375">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Meeting Date:</w:t>
            </w:r>
          </w:p>
        </w:tc>
        <w:tc>
          <w:tcPr>
            <w:tcW w:w="7088" w:type="dxa"/>
          </w:tcPr>
          <w:p w:rsidR="00B26F64" w:rsidRPr="00576202" w:rsidRDefault="0002748C" w:rsidP="00205332">
            <w:pPr>
              <w:rPr>
                <w:sz w:val="24"/>
                <w:szCs w:val="24"/>
              </w:rPr>
            </w:pPr>
            <w:r>
              <w:rPr>
                <w:sz w:val="24"/>
                <w:szCs w:val="24"/>
              </w:rPr>
              <w:t>11</w:t>
            </w:r>
            <w:r w:rsidR="00205332" w:rsidRPr="00576202">
              <w:rPr>
                <w:sz w:val="24"/>
                <w:szCs w:val="24"/>
                <w:vertAlign w:val="superscript"/>
              </w:rPr>
              <w:t>th</w:t>
            </w:r>
            <w:r>
              <w:rPr>
                <w:sz w:val="24"/>
                <w:szCs w:val="24"/>
              </w:rPr>
              <w:t xml:space="preserve"> February 2019</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Title</w:t>
            </w:r>
          </w:p>
        </w:tc>
        <w:tc>
          <w:tcPr>
            <w:tcW w:w="7088" w:type="dxa"/>
          </w:tcPr>
          <w:p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rsidTr="00F666E1">
        <w:tc>
          <w:tcPr>
            <w:tcW w:w="2405" w:type="dxa"/>
            <w:shd w:val="clear" w:color="auto" w:fill="D9D9D9" w:themeFill="background1" w:themeFillShade="D9"/>
          </w:tcPr>
          <w:p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9D2260">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2C16D3">
            <w:pPr>
              <w:rPr>
                <w:b/>
                <w:sz w:val="24"/>
                <w:szCs w:val="24"/>
              </w:rPr>
            </w:pPr>
            <w:r w:rsidRPr="00576202">
              <w:rPr>
                <w:b/>
                <w:sz w:val="24"/>
                <w:szCs w:val="24"/>
              </w:rPr>
              <w:t>Issue status:</w:t>
            </w:r>
          </w:p>
          <w:p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E71AAA" w:rsidP="00331BF0">
            <w:pPr>
              <w:rPr>
                <w:sz w:val="24"/>
                <w:szCs w:val="24"/>
              </w:rPr>
            </w:pPr>
            <w:r>
              <w:rPr>
                <w:sz w:val="24"/>
                <w:szCs w:val="24"/>
              </w:rPr>
              <w:t>Financial Accountant</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rsidR="00B26F64" w:rsidRPr="00576202" w:rsidRDefault="00E71AAA" w:rsidP="00B86375">
            <w:pPr>
              <w:rPr>
                <w:sz w:val="24"/>
                <w:szCs w:val="24"/>
              </w:rPr>
            </w:pPr>
            <w:r>
              <w:rPr>
                <w:sz w:val="24"/>
                <w:szCs w:val="24"/>
              </w:rPr>
              <w:t>Director of Corporate Services and Accounts</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E71AAA" w:rsidP="00205332">
            <w:pPr>
              <w:rPr>
                <w:sz w:val="24"/>
                <w:szCs w:val="24"/>
              </w:rPr>
            </w:pPr>
            <w:r w:rsidRPr="00E71AAA">
              <w:rPr>
                <w:sz w:val="24"/>
                <w:szCs w:val="24"/>
              </w:rPr>
              <w:t>Director of Corporate Services and Accounts</w:t>
            </w:r>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576202" w:rsidP="00205332">
            <w:pPr>
              <w:rPr>
                <w:sz w:val="24"/>
                <w:szCs w:val="24"/>
              </w:rPr>
            </w:pPr>
            <w:bookmarkStart w:id="0" w:name="_GoBack"/>
            <w:bookmarkEnd w:id="0"/>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7006AA" w:rsidRPr="00DE249E" w:rsidTr="00390110">
        <w:tc>
          <w:tcPr>
            <w:tcW w:w="2405" w:type="dxa"/>
          </w:tcPr>
          <w:p w:rsidR="007006AA" w:rsidRPr="00835827" w:rsidRDefault="007006AA" w:rsidP="007006AA">
            <w:pPr>
              <w:rPr>
                <w:sz w:val="24"/>
                <w:szCs w:val="24"/>
              </w:rPr>
            </w:pPr>
            <w:r w:rsidRPr="00835827">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E4474DFBC37144B685678176C0474EA7"/>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7006AA" w:rsidRPr="00835827" w:rsidRDefault="007006AA" w:rsidP="007006AA">
                <w:pPr>
                  <w:rPr>
                    <w:sz w:val="24"/>
                    <w:szCs w:val="24"/>
                  </w:rPr>
                </w:pPr>
                <w:r w:rsidRPr="00835827">
                  <w:rPr>
                    <w:sz w:val="24"/>
                    <w:szCs w:val="24"/>
                  </w:rPr>
                  <w:t>2. to advise Scottish Ministers on strategic development pf legal assistance and its contribution to Scotland in which rights are supported and disputes are resolved fairly and swiftly</w:t>
                </w:r>
              </w:p>
            </w:sdtContent>
          </w:sdt>
          <w:p w:rsidR="007006AA" w:rsidRPr="00835827" w:rsidRDefault="007006AA" w:rsidP="007006AA">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255D5A" w:rsidP="0002748C">
            <w:pPr>
              <w:spacing w:before="120" w:after="120"/>
              <w:rPr>
                <w:sz w:val="24"/>
                <w:szCs w:val="24"/>
              </w:rPr>
            </w:pPr>
            <w:r w:rsidRPr="00DA7163">
              <w:rPr>
                <w:sz w:val="24"/>
                <w:szCs w:val="24"/>
              </w:rPr>
              <w:t xml:space="preserve">Cash expenditure as at end of </w:t>
            </w:r>
            <w:r w:rsidR="0002748C">
              <w:rPr>
                <w:sz w:val="24"/>
                <w:szCs w:val="24"/>
              </w:rPr>
              <w:t>December</w:t>
            </w:r>
            <w:r w:rsidRPr="00DA7163">
              <w:rPr>
                <w:sz w:val="24"/>
                <w:szCs w:val="24"/>
              </w:rPr>
              <w:t xml:space="preserve"> </w:t>
            </w:r>
            <w:r w:rsidR="00DA7163">
              <w:rPr>
                <w:sz w:val="24"/>
                <w:szCs w:val="24"/>
              </w:rPr>
              <w:t xml:space="preserve">2018 </w:t>
            </w:r>
            <w:r w:rsidRPr="00F17971">
              <w:rPr>
                <w:sz w:val="24"/>
                <w:szCs w:val="24"/>
              </w:rPr>
              <w:t xml:space="preserve">is </w:t>
            </w:r>
            <w:r w:rsidR="00F17971" w:rsidRPr="00F17971">
              <w:rPr>
                <w:sz w:val="24"/>
                <w:szCs w:val="24"/>
              </w:rPr>
              <w:t>£8</w:t>
            </w:r>
            <w:r w:rsidRPr="00F17971">
              <w:rPr>
                <w:sz w:val="24"/>
                <w:szCs w:val="24"/>
              </w:rPr>
              <w:t xml:space="preserve">.6m which is </w:t>
            </w:r>
            <w:r w:rsidR="00F17971" w:rsidRPr="00F17971">
              <w:rPr>
                <w:sz w:val="24"/>
                <w:szCs w:val="24"/>
              </w:rPr>
              <w:t>£0.2</w:t>
            </w:r>
            <w:r w:rsidR="00924E42" w:rsidRPr="00F17971">
              <w:rPr>
                <w:sz w:val="24"/>
                <w:szCs w:val="24"/>
              </w:rPr>
              <w:t>m under budget.</w:t>
            </w:r>
            <w:r w:rsidR="00924E42" w:rsidRPr="00DA7163">
              <w:rPr>
                <w:sz w:val="24"/>
                <w:szCs w:val="24"/>
              </w:rPr>
              <w:t xml:space="preserve">  Most of this</w:t>
            </w:r>
            <w:r w:rsidRPr="00DA7163">
              <w:rPr>
                <w:sz w:val="24"/>
                <w:szCs w:val="24"/>
              </w:rPr>
              <w:t xml:space="preserve"> </w:t>
            </w:r>
            <w:r w:rsidR="005C5E9D" w:rsidRPr="00DA7163">
              <w:rPr>
                <w:sz w:val="24"/>
                <w:szCs w:val="24"/>
              </w:rPr>
              <w:t>underspend</w:t>
            </w:r>
            <w:r w:rsidRPr="00DA7163">
              <w:rPr>
                <w:sz w:val="24"/>
                <w:szCs w:val="24"/>
              </w:rPr>
              <w:t xml:space="preserve"> is timing only.</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B668B4">
        <w:tc>
          <w:tcPr>
            <w:tcW w:w="2410" w:type="dxa"/>
            <w:tcBorders>
              <w:left w:val="single" w:sz="4" w:space="0" w:color="000000"/>
            </w:tcBorders>
          </w:tcPr>
          <w:p w:rsidR="00D82F86" w:rsidRPr="00331BF0" w:rsidRDefault="00D82F86" w:rsidP="003C5DEA">
            <w:pPr>
              <w:spacing w:before="120" w:after="120"/>
              <w:rPr>
                <w:sz w:val="24"/>
                <w:szCs w:val="24"/>
                <w:highlight w:val="yellow"/>
              </w:rPr>
            </w:pPr>
            <w:r w:rsidRPr="00893DA6">
              <w:rPr>
                <w:sz w:val="24"/>
                <w:szCs w:val="24"/>
              </w:rPr>
              <w:t>5</w:t>
            </w:r>
            <w:r w:rsidRPr="00893DA6">
              <w:rPr>
                <w:sz w:val="24"/>
                <w:szCs w:val="24"/>
                <w:vertAlign w:val="superscript"/>
              </w:rPr>
              <w:t>th</w:t>
            </w:r>
            <w:r w:rsidRPr="00893DA6">
              <w:rPr>
                <w:sz w:val="24"/>
                <w:szCs w:val="24"/>
              </w:rPr>
              <w:t xml:space="preserve"> November 2018</w:t>
            </w:r>
            <w:r w:rsidR="0002748C">
              <w:rPr>
                <w:sz w:val="22"/>
                <w:szCs w:val="22"/>
              </w:rPr>
              <w:t xml:space="preserve"> -</w:t>
            </w:r>
            <w:r w:rsidR="0002748C" w:rsidRPr="0002748C">
              <w:rPr>
                <w:sz w:val="24"/>
                <w:szCs w:val="24"/>
              </w:rPr>
              <w:t>SLAB/2018/77</w:t>
            </w:r>
          </w:p>
        </w:tc>
        <w:tc>
          <w:tcPr>
            <w:tcW w:w="7083" w:type="dxa"/>
            <w:tcBorders>
              <w:left w:val="single" w:sz="4" w:space="0" w:color="000000"/>
            </w:tcBorders>
          </w:tcPr>
          <w:p w:rsidR="00F41C80" w:rsidRPr="00331BF0" w:rsidRDefault="0037522E" w:rsidP="00FF4C57">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02748C">
              <w:rPr>
                <w:sz w:val="24"/>
                <w:szCs w:val="24"/>
              </w:rPr>
              <w:t>for October</w:t>
            </w:r>
            <w:r w:rsidR="00924E42">
              <w:rPr>
                <w:sz w:val="24"/>
                <w:szCs w:val="24"/>
              </w:rPr>
              <w:t xml:space="preserve"> year to date</w:t>
            </w:r>
            <w:r w:rsidR="002C7D14">
              <w:rPr>
                <w:sz w:val="24"/>
                <w:szCs w:val="24"/>
              </w:rPr>
              <w:t xml:space="preserve">.  </w:t>
            </w:r>
            <w:r w:rsidR="00D5384D">
              <w:rPr>
                <w:sz w:val="24"/>
                <w:szCs w:val="24"/>
              </w:rPr>
              <w:t>There</w:t>
            </w:r>
            <w:r w:rsidR="0002748C">
              <w:rPr>
                <w:sz w:val="24"/>
                <w:szCs w:val="24"/>
              </w:rPr>
              <w:t xml:space="preserve"> are no major changes</w:t>
            </w:r>
            <w:r w:rsidR="00D5384D">
              <w:rPr>
                <w:sz w:val="24"/>
                <w:szCs w:val="24"/>
              </w:rPr>
              <w:t xml:space="preserve"> since then and</w:t>
            </w:r>
            <w:r w:rsidR="0002748C">
              <w:rPr>
                <w:sz w:val="24"/>
                <w:szCs w:val="24"/>
              </w:rPr>
              <w:t xml:space="preserve"> expenditure has continued at expected levels.</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917"/>
        <w:tblW w:w="9493" w:type="dxa"/>
        <w:tblLook w:val="04A0" w:firstRow="1" w:lastRow="0" w:firstColumn="1" w:lastColumn="0" w:noHBand="0" w:noVBand="1"/>
      </w:tblPr>
      <w:tblGrid>
        <w:gridCol w:w="9493"/>
      </w:tblGrid>
      <w:tr w:rsidR="004B140A" w:rsidRPr="00DE249E" w:rsidTr="004B140A">
        <w:tc>
          <w:tcPr>
            <w:tcW w:w="9493" w:type="dxa"/>
            <w:shd w:val="clear" w:color="auto" w:fill="D9D9D9" w:themeFill="background1" w:themeFillShade="D9"/>
          </w:tcPr>
          <w:p w:rsidR="004B140A" w:rsidRPr="00DE249E" w:rsidRDefault="004B140A" w:rsidP="004B140A">
            <w:pPr>
              <w:rPr>
                <w:b/>
                <w:sz w:val="24"/>
                <w:szCs w:val="24"/>
                <w:highlight w:val="yellow"/>
              </w:rPr>
            </w:pPr>
            <w:r w:rsidRPr="005B73BF">
              <w:rPr>
                <w:b/>
                <w:sz w:val="24"/>
                <w:szCs w:val="24"/>
              </w:rPr>
              <w:lastRenderedPageBreak/>
              <w:t>Report</w:t>
            </w:r>
          </w:p>
        </w:tc>
      </w:tr>
    </w:tbl>
    <w:p w:rsidR="00390110" w:rsidRPr="00DE249E" w:rsidRDefault="00390110">
      <w:pPr>
        <w:rPr>
          <w:highlight w:val="yellow"/>
        </w:rPr>
      </w:pPr>
    </w:p>
    <w:p w:rsidR="00255D5A" w:rsidRPr="00DA7163" w:rsidRDefault="004E430C" w:rsidP="00D42BF5">
      <w:pPr>
        <w:keepNext/>
        <w:numPr>
          <w:ilvl w:val="1"/>
          <w:numId w:val="0"/>
        </w:numPr>
        <w:tabs>
          <w:tab w:val="num" w:pos="576"/>
        </w:tabs>
        <w:spacing w:after="120"/>
        <w:ind w:left="576" w:hanging="576"/>
        <w:outlineLvl w:val="1"/>
        <w:rPr>
          <w:rFonts w:eastAsia="Times New Roman" w:cs="Times New Roman"/>
          <w:b/>
          <w:sz w:val="24"/>
          <w:szCs w:val="24"/>
        </w:rPr>
      </w:pPr>
      <w:r>
        <w:rPr>
          <w:rFonts w:eastAsia="Times New Roman" w:cs="Times New Roman"/>
          <w:b/>
          <w:sz w:val="22"/>
          <w:szCs w:val="22"/>
        </w:rPr>
        <w:t xml:space="preserve">1. </w:t>
      </w:r>
      <w:r w:rsidR="005C5E9D" w:rsidRPr="00DA7163">
        <w:rPr>
          <w:rFonts w:eastAsia="Times New Roman" w:cs="Times New Roman"/>
          <w:b/>
          <w:sz w:val="24"/>
          <w:szCs w:val="24"/>
        </w:rPr>
        <w:t>Grant-in-Aid</w:t>
      </w:r>
      <w:r w:rsidR="00255D5A" w:rsidRPr="00DA7163">
        <w:rPr>
          <w:rFonts w:eastAsia="Times New Roman" w:cs="Times New Roman"/>
          <w:b/>
          <w:sz w:val="24"/>
          <w:szCs w:val="24"/>
        </w:rPr>
        <w:t xml:space="preserve"> </w:t>
      </w:r>
      <w:r w:rsidR="005C5E9D" w:rsidRPr="00DA7163">
        <w:rPr>
          <w:rFonts w:eastAsia="Times New Roman" w:cs="Times New Roman"/>
          <w:b/>
          <w:sz w:val="24"/>
          <w:szCs w:val="24"/>
        </w:rPr>
        <w:t>Funding</w:t>
      </w:r>
    </w:p>
    <w:p w:rsidR="00255D5A" w:rsidRPr="00DA7163" w:rsidRDefault="00255D5A" w:rsidP="00D42BF5">
      <w:pPr>
        <w:tabs>
          <w:tab w:val="num" w:pos="576"/>
        </w:tabs>
        <w:spacing w:after="120"/>
        <w:jc w:val="both"/>
        <w:rPr>
          <w:rFonts w:eastAsia="Times New Roman" w:cs="Times New Roman"/>
          <w:sz w:val="24"/>
          <w:szCs w:val="24"/>
        </w:rPr>
      </w:pPr>
      <w:r w:rsidRPr="00DA7163">
        <w:rPr>
          <w:rFonts w:eastAsia="Times New Roman" w:cs="Times New Roman"/>
          <w:sz w:val="24"/>
          <w:szCs w:val="24"/>
        </w:rPr>
        <w:t xml:space="preserve">Core Scottish Government funding for 2018-19 is £11,320k.  This is the same as 2017-18. The SG budget includes £100k of capital funding which cannot be transferred to staff or running costs. Core cash funding (after removing £550k of funding for Depreciation) is £10,770k. We are also allowed to retain £250k of superannuation receipts. Estimated additional monies have also been added for pension costs above the £327k threshold bringing the total in year funding to £11,768k.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1701"/>
        <w:gridCol w:w="1559"/>
      </w:tblGrid>
      <w:tr w:rsidR="00255D5A" w:rsidRPr="00DA7163" w:rsidTr="002C7D14">
        <w:trPr>
          <w:trHeight w:hRule="exact" w:val="562"/>
        </w:trPr>
        <w:tc>
          <w:tcPr>
            <w:tcW w:w="6663" w:type="dxa"/>
            <w:tcBorders>
              <w:bottom w:val="single" w:sz="4" w:space="0" w:color="auto"/>
            </w:tcBorders>
          </w:tcPr>
          <w:p w:rsidR="00255D5A" w:rsidRPr="00DA7163" w:rsidRDefault="00255D5A" w:rsidP="002C7D14">
            <w:pPr>
              <w:spacing w:after="120"/>
              <w:jc w:val="both"/>
              <w:rPr>
                <w:rFonts w:eastAsia="Times New Roman" w:cs="Times New Roman"/>
                <w:b/>
                <w:sz w:val="22"/>
                <w:szCs w:val="22"/>
              </w:rPr>
            </w:pPr>
            <w:r w:rsidRPr="00DA7163">
              <w:rPr>
                <w:rFonts w:eastAsia="Times New Roman" w:cs="Times New Roman"/>
                <w:b/>
                <w:sz w:val="22"/>
                <w:szCs w:val="22"/>
              </w:rPr>
              <w:t>Funding</w:t>
            </w:r>
          </w:p>
        </w:tc>
        <w:tc>
          <w:tcPr>
            <w:tcW w:w="1701" w:type="dxa"/>
            <w:tcBorders>
              <w:bottom w:val="single" w:sz="4" w:space="0" w:color="auto"/>
            </w:tcBorders>
          </w:tcPr>
          <w:p w:rsidR="00255D5A" w:rsidRPr="00DA7163" w:rsidRDefault="00255D5A" w:rsidP="002C7D14">
            <w:pPr>
              <w:spacing w:after="60"/>
              <w:jc w:val="center"/>
              <w:rPr>
                <w:rFonts w:eastAsia="Times New Roman" w:cs="Times New Roman"/>
                <w:b/>
                <w:sz w:val="22"/>
                <w:szCs w:val="22"/>
              </w:rPr>
            </w:pPr>
            <w:r w:rsidRPr="00DA7163">
              <w:rPr>
                <w:rFonts w:eastAsia="Times New Roman" w:cs="Times New Roman"/>
                <w:b/>
                <w:sz w:val="22"/>
                <w:szCs w:val="22"/>
              </w:rPr>
              <w:t>2017-18</w:t>
            </w:r>
          </w:p>
          <w:p w:rsidR="00255D5A" w:rsidRPr="00DA7163" w:rsidRDefault="00255D5A" w:rsidP="002C7D14">
            <w:pPr>
              <w:spacing w:after="120"/>
              <w:jc w:val="center"/>
              <w:rPr>
                <w:rFonts w:eastAsia="Times New Roman" w:cs="Times New Roman"/>
                <w:b/>
                <w:sz w:val="22"/>
                <w:szCs w:val="22"/>
              </w:rPr>
            </w:pPr>
            <w:r w:rsidRPr="00DA7163">
              <w:rPr>
                <w:rFonts w:eastAsia="Times New Roman" w:cs="Times New Roman"/>
                <w:b/>
                <w:sz w:val="22"/>
                <w:szCs w:val="22"/>
              </w:rPr>
              <w:t>Actual</w:t>
            </w:r>
          </w:p>
        </w:tc>
        <w:tc>
          <w:tcPr>
            <w:tcW w:w="1559" w:type="dxa"/>
            <w:tcBorders>
              <w:bottom w:val="single" w:sz="4" w:space="0" w:color="auto"/>
            </w:tcBorders>
          </w:tcPr>
          <w:p w:rsidR="00255D5A" w:rsidRPr="00DA7163" w:rsidRDefault="00255D5A" w:rsidP="002C7D14">
            <w:pPr>
              <w:spacing w:after="60"/>
              <w:jc w:val="center"/>
              <w:rPr>
                <w:rFonts w:eastAsia="Times New Roman" w:cs="Times New Roman"/>
                <w:b/>
                <w:sz w:val="22"/>
                <w:szCs w:val="22"/>
              </w:rPr>
            </w:pPr>
            <w:r w:rsidRPr="00DA7163">
              <w:rPr>
                <w:rFonts w:eastAsia="Times New Roman" w:cs="Times New Roman"/>
                <w:b/>
                <w:sz w:val="22"/>
                <w:szCs w:val="22"/>
              </w:rPr>
              <w:t>2018-19</w:t>
            </w:r>
          </w:p>
          <w:p w:rsidR="00255D5A" w:rsidRPr="00DA7163" w:rsidRDefault="00255D5A" w:rsidP="002C7D14">
            <w:pPr>
              <w:spacing w:after="120"/>
              <w:jc w:val="center"/>
              <w:rPr>
                <w:rFonts w:eastAsia="Times New Roman" w:cs="Times New Roman"/>
                <w:b/>
                <w:sz w:val="22"/>
                <w:szCs w:val="22"/>
              </w:rPr>
            </w:pPr>
            <w:r w:rsidRPr="00DA7163">
              <w:rPr>
                <w:rFonts w:eastAsia="Times New Roman" w:cs="Times New Roman"/>
                <w:b/>
                <w:sz w:val="22"/>
                <w:szCs w:val="22"/>
              </w:rPr>
              <w:t>Budget</w:t>
            </w:r>
          </w:p>
        </w:tc>
      </w:tr>
      <w:tr w:rsidR="00255D5A" w:rsidRPr="00DA7163" w:rsidTr="002C7D14">
        <w:trPr>
          <w:trHeight w:hRule="exact" w:val="332"/>
        </w:trPr>
        <w:tc>
          <w:tcPr>
            <w:tcW w:w="6663" w:type="dxa"/>
            <w:tcBorders>
              <w:bottom w:val="nil"/>
            </w:tcBorders>
          </w:tcPr>
          <w:p w:rsidR="00255D5A" w:rsidRPr="00DA7163" w:rsidRDefault="00255D5A" w:rsidP="002C7D14">
            <w:pPr>
              <w:spacing w:after="120"/>
              <w:jc w:val="both"/>
              <w:rPr>
                <w:rFonts w:eastAsia="Times New Roman" w:cs="Times New Roman"/>
                <w:sz w:val="22"/>
                <w:szCs w:val="22"/>
              </w:rPr>
            </w:pPr>
          </w:p>
        </w:tc>
        <w:tc>
          <w:tcPr>
            <w:tcW w:w="1701" w:type="dxa"/>
            <w:tcBorders>
              <w:bottom w:val="nil"/>
            </w:tcBorders>
          </w:tcPr>
          <w:p w:rsidR="00255D5A" w:rsidRPr="00DA7163" w:rsidRDefault="00255D5A" w:rsidP="002C7D14">
            <w:pPr>
              <w:spacing w:after="120"/>
              <w:jc w:val="center"/>
              <w:rPr>
                <w:rFonts w:eastAsia="Times New Roman" w:cs="Times New Roman"/>
                <w:b/>
                <w:sz w:val="22"/>
                <w:szCs w:val="22"/>
              </w:rPr>
            </w:pPr>
            <w:r w:rsidRPr="00DA7163">
              <w:rPr>
                <w:rFonts w:eastAsia="Times New Roman" w:cs="Times New Roman"/>
                <w:b/>
                <w:sz w:val="22"/>
                <w:szCs w:val="22"/>
              </w:rPr>
              <w:t>£k</w:t>
            </w:r>
          </w:p>
        </w:tc>
        <w:tc>
          <w:tcPr>
            <w:tcW w:w="1559" w:type="dxa"/>
            <w:tcBorders>
              <w:bottom w:val="nil"/>
            </w:tcBorders>
          </w:tcPr>
          <w:p w:rsidR="00255D5A" w:rsidRPr="00DA7163" w:rsidRDefault="00255D5A" w:rsidP="002C7D14">
            <w:pPr>
              <w:spacing w:after="120"/>
              <w:jc w:val="center"/>
              <w:rPr>
                <w:rFonts w:eastAsia="Times New Roman" w:cs="Times New Roman"/>
                <w:sz w:val="22"/>
                <w:szCs w:val="22"/>
              </w:rPr>
            </w:pPr>
            <w:r w:rsidRPr="00DA7163">
              <w:rPr>
                <w:rFonts w:eastAsia="Times New Roman" w:cs="Times New Roman"/>
                <w:b/>
                <w:sz w:val="22"/>
                <w:szCs w:val="22"/>
              </w:rPr>
              <w:t>£k</w:t>
            </w:r>
          </w:p>
        </w:tc>
      </w:tr>
      <w:tr w:rsidR="00255D5A" w:rsidRPr="00DA7163" w:rsidTr="002C7D14">
        <w:trPr>
          <w:trHeight w:hRule="exact" w:val="328"/>
        </w:trPr>
        <w:tc>
          <w:tcPr>
            <w:tcW w:w="6663" w:type="dxa"/>
            <w:tcBorders>
              <w:top w:val="nil"/>
              <w:bottom w:val="nil"/>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Core SG Funding (Actual/SG budget)</w:t>
            </w:r>
          </w:p>
        </w:tc>
        <w:tc>
          <w:tcPr>
            <w:tcW w:w="1701" w:type="dxa"/>
            <w:tcBorders>
              <w:top w:val="nil"/>
              <w:bottom w:val="nil"/>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11,320</w:t>
            </w:r>
          </w:p>
        </w:tc>
        <w:tc>
          <w:tcPr>
            <w:tcW w:w="1559" w:type="dxa"/>
            <w:tcBorders>
              <w:top w:val="nil"/>
              <w:bottom w:val="nil"/>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11,320</w:t>
            </w:r>
          </w:p>
        </w:tc>
      </w:tr>
      <w:tr w:rsidR="00255D5A" w:rsidRPr="00DA7163" w:rsidTr="002C7D14">
        <w:trPr>
          <w:trHeight w:hRule="exact" w:val="332"/>
        </w:trPr>
        <w:tc>
          <w:tcPr>
            <w:tcW w:w="6663" w:type="dxa"/>
            <w:tcBorders>
              <w:top w:val="nil"/>
              <w:bottom w:val="nil"/>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Non cash funding for Depreciation</w:t>
            </w:r>
          </w:p>
        </w:tc>
        <w:tc>
          <w:tcPr>
            <w:tcW w:w="1701" w:type="dxa"/>
            <w:tcBorders>
              <w:top w:val="nil"/>
              <w:bottom w:val="nil"/>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(550)</w:t>
            </w:r>
          </w:p>
        </w:tc>
        <w:tc>
          <w:tcPr>
            <w:tcW w:w="1559" w:type="dxa"/>
            <w:tcBorders>
              <w:top w:val="nil"/>
              <w:bottom w:val="nil"/>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(550)</w:t>
            </w:r>
          </w:p>
        </w:tc>
      </w:tr>
      <w:tr w:rsidR="00255D5A" w:rsidRPr="00DA7163" w:rsidTr="002C7D14">
        <w:trPr>
          <w:trHeight w:hRule="exact" w:val="332"/>
        </w:trPr>
        <w:tc>
          <w:tcPr>
            <w:tcW w:w="6663" w:type="dxa"/>
            <w:tcBorders>
              <w:top w:val="nil"/>
              <w:left w:val="single" w:sz="4" w:space="0" w:color="auto"/>
              <w:bottom w:val="nil"/>
              <w:right w:val="single" w:sz="4" w:space="0" w:color="auto"/>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Retained superannuation receipts</w:t>
            </w:r>
          </w:p>
        </w:tc>
        <w:tc>
          <w:tcPr>
            <w:tcW w:w="1701"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250</w:t>
            </w:r>
          </w:p>
        </w:tc>
        <w:tc>
          <w:tcPr>
            <w:tcW w:w="1559"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250</w:t>
            </w:r>
          </w:p>
        </w:tc>
      </w:tr>
      <w:tr w:rsidR="00255D5A" w:rsidRPr="00DA7163" w:rsidTr="002C7D14">
        <w:trPr>
          <w:trHeight w:hRule="exact" w:val="332"/>
        </w:trPr>
        <w:tc>
          <w:tcPr>
            <w:tcW w:w="6663" w:type="dxa"/>
            <w:tcBorders>
              <w:top w:val="nil"/>
              <w:left w:val="single" w:sz="4" w:space="0" w:color="auto"/>
              <w:bottom w:val="nil"/>
              <w:right w:val="single" w:sz="4" w:space="0" w:color="auto"/>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 xml:space="preserve">Additional funding for Grant Funding Administration </w:t>
            </w:r>
          </w:p>
        </w:tc>
        <w:tc>
          <w:tcPr>
            <w:tcW w:w="1701"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vertAlign w:val="superscript"/>
              </w:rPr>
            </w:pPr>
            <w:r w:rsidRPr="00DA7163">
              <w:rPr>
                <w:rFonts w:eastAsia="Times New Roman" w:cs="Times New Roman"/>
                <w:b/>
                <w:sz w:val="22"/>
                <w:szCs w:val="22"/>
              </w:rPr>
              <w:t>-</w:t>
            </w:r>
            <w:r w:rsidRPr="00DA7163">
              <w:rPr>
                <w:rFonts w:eastAsia="Times New Roman" w:cs="Times New Roman"/>
                <w:b/>
                <w:sz w:val="22"/>
                <w:szCs w:val="22"/>
                <w:vertAlign w:val="superscript"/>
              </w:rPr>
              <w:t>1</w:t>
            </w:r>
          </w:p>
          <w:p w:rsidR="00255D5A" w:rsidRPr="00DA7163" w:rsidRDefault="00255D5A" w:rsidP="002C7D14">
            <w:pPr>
              <w:ind w:right="601"/>
              <w:jc w:val="center"/>
              <w:rPr>
                <w:rFonts w:eastAsia="Times New Roman" w:cs="Times New Roman"/>
                <w:b/>
                <w:sz w:val="22"/>
                <w:szCs w:val="22"/>
              </w:rPr>
            </w:pPr>
          </w:p>
        </w:tc>
        <w:tc>
          <w:tcPr>
            <w:tcW w:w="1559"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vertAlign w:val="superscript"/>
              </w:rPr>
            </w:pPr>
            <w:r w:rsidRPr="00DA7163">
              <w:rPr>
                <w:rFonts w:eastAsia="Times New Roman" w:cs="Times New Roman"/>
                <w:b/>
                <w:sz w:val="22"/>
                <w:szCs w:val="22"/>
              </w:rPr>
              <w:t>75</w:t>
            </w:r>
            <w:r w:rsidRPr="00DA7163">
              <w:rPr>
                <w:rFonts w:eastAsia="Times New Roman" w:cs="Times New Roman"/>
                <w:b/>
                <w:sz w:val="22"/>
                <w:szCs w:val="22"/>
                <w:vertAlign w:val="superscript"/>
              </w:rPr>
              <w:t>1</w:t>
            </w:r>
          </w:p>
          <w:p w:rsidR="00255D5A" w:rsidRPr="00DA7163" w:rsidRDefault="00255D5A" w:rsidP="002C7D14">
            <w:pPr>
              <w:ind w:right="601"/>
              <w:jc w:val="center"/>
              <w:rPr>
                <w:rFonts w:eastAsia="Times New Roman" w:cs="Times New Roman"/>
                <w:b/>
                <w:sz w:val="22"/>
                <w:szCs w:val="22"/>
              </w:rPr>
            </w:pPr>
          </w:p>
        </w:tc>
      </w:tr>
      <w:tr w:rsidR="00255D5A" w:rsidRPr="00DA7163" w:rsidTr="002C7D14">
        <w:trPr>
          <w:trHeight w:hRule="exact" w:val="332"/>
        </w:trPr>
        <w:tc>
          <w:tcPr>
            <w:tcW w:w="6663" w:type="dxa"/>
            <w:tcBorders>
              <w:top w:val="nil"/>
              <w:left w:val="single" w:sz="4" w:space="0" w:color="auto"/>
              <w:bottom w:val="nil"/>
              <w:right w:val="single" w:sz="4" w:space="0" w:color="auto"/>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Actual/estimated Pensions funding (above £327k threshold)</w:t>
            </w:r>
          </w:p>
        </w:tc>
        <w:tc>
          <w:tcPr>
            <w:tcW w:w="1701"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722</w:t>
            </w:r>
          </w:p>
        </w:tc>
        <w:tc>
          <w:tcPr>
            <w:tcW w:w="1559" w:type="dxa"/>
            <w:tcBorders>
              <w:top w:val="nil"/>
              <w:left w:val="single" w:sz="4" w:space="0" w:color="auto"/>
              <w:bottom w:val="nil"/>
              <w:right w:val="single" w:sz="4" w:space="0" w:color="auto"/>
            </w:tcBorders>
            <w:vAlign w:val="center"/>
          </w:tcPr>
          <w:p w:rsidR="00255D5A" w:rsidRPr="00DA7163" w:rsidRDefault="00255D5A" w:rsidP="002C7D14">
            <w:pPr>
              <w:ind w:right="601"/>
              <w:jc w:val="right"/>
              <w:rPr>
                <w:rFonts w:eastAsia="Times New Roman" w:cs="Times New Roman"/>
                <w:b/>
                <w:sz w:val="22"/>
                <w:szCs w:val="22"/>
              </w:rPr>
            </w:pPr>
            <w:r w:rsidRPr="00DA7163">
              <w:rPr>
                <w:rFonts w:eastAsia="Times New Roman" w:cs="Times New Roman"/>
                <w:b/>
                <w:sz w:val="22"/>
                <w:szCs w:val="22"/>
              </w:rPr>
              <w:t>673</w:t>
            </w:r>
          </w:p>
        </w:tc>
      </w:tr>
      <w:tr w:rsidR="00255D5A" w:rsidRPr="00DA7163" w:rsidTr="002C7D14">
        <w:trPr>
          <w:trHeight w:hRule="exact" w:val="415"/>
        </w:trPr>
        <w:tc>
          <w:tcPr>
            <w:tcW w:w="6663" w:type="dxa"/>
            <w:tcBorders>
              <w:top w:val="single" w:sz="4" w:space="0" w:color="auto"/>
              <w:bottom w:val="nil"/>
            </w:tcBorders>
            <w:vAlign w:val="center"/>
          </w:tcPr>
          <w:p w:rsidR="00255D5A" w:rsidRPr="00DA7163" w:rsidRDefault="00255D5A" w:rsidP="002C7D14">
            <w:pPr>
              <w:rPr>
                <w:rFonts w:eastAsia="Times New Roman" w:cs="Times New Roman"/>
                <w:b/>
                <w:bCs/>
                <w:sz w:val="22"/>
                <w:szCs w:val="22"/>
              </w:rPr>
            </w:pPr>
            <w:r w:rsidRPr="00DA7163">
              <w:rPr>
                <w:rFonts w:eastAsia="Times New Roman" w:cs="Times New Roman"/>
                <w:b/>
                <w:bCs/>
                <w:sz w:val="22"/>
                <w:szCs w:val="22"/>
              </w:rPr>
              <w:t>Total in year funding</w:t>
            </w:r>
          </w:p>
        </w:tc>
        <w:tc>
          <w:tcPr>
            <w:tcW w:w="1701" w:type="dxa"/>
            <w:tcBorders>
              <w:top w:val="single" w:sz="4" w:space="0" w:color="auto"/>
              <w:bottom w:val="nil"/>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11,742</w:t>
            </w:r>
          </w:p>
        </w:tc>
        <w:tc>
          <w:tcPr>
            <w:tcW w:w="1559" w:type="dxa"/>
            <w:tcBorders>
              <w:top w:val="single" w:sz="4" w:space="0" w:color="auto"/>
              <w:bottom w:val="nil"/>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11,768</w:t>
            </w:r>
          </w:p>
        </w:tc>
      </w:tr>
      <w:tr w:rsidR="00255D5A" w:rsidRPr="00DA7163" w:rsidTr="002C7D14">
        <w:trPr>
          <w:trHeight w:hRule="exact" w:val="332"/>
        </w:trPr>
        <w:tc>
          <w:tcPr>
            <w:tcW w:w="6663" w:type="dxa"/>
            <w:tcBorders>
              <w:top w:val="nil"/>
              <w:left w:val="single" w:sz="4" w:space="0" w:color="auto"/>
              <w:bottom w:val="single" w:sz="4" w:space="0" w:color="auto"/>
              <w:right w:val="single" w:sz="4" w:space="0" w:color="auto"/>
            </w:tcBorders>
            <w:vAlign w:val="center"/>
          </w:tcPr>
          <w:p w:rsidR="00255D5A" w:rsidRPr="00DA7163" w:rsidRDefault="00255D5A" w:rsidP="002C7D14">
            <w:pPr>
              <w:rPr>
                <w:rFonts w:eastAsia="Times New Roman" w:cs="Times New Roman"/>
                <w:bCs/>
                <w:sz w:val="22"/>
                <w:szCs w:val="22"/>
              </w:rPr>
            </w:pPr>
            <w:r w:rsidRPr="00DA7163">
              <w:rPr>
                <w:rFonts w:eastAsia="Times New Roman" w:cs="Times New Roman"/>
                <w:b/>
                <w:bCs/>
                <w:sz w:val="22"/>
                <w:szCs w:val="22"/>
              </w:rPr>
              <w:t>Bank balance brought forward from previous year</w:t>
            </w:r>
          </w:p>
        </w:tc>
        <w:tc>
          <w:tcPr>
            <w:tcW w:w="1701" w:type="dxa"/>
            <w:tcBorders>
              <w:top w:val="nil"/>
              <w:left w:val="single" w:sz="4" w:space="0" w:color="auto"/>
              <w:bottom w:val="single" w:sz="4" w:space="0" w:color="auto"/>
              <w:right w:val="single" w:sz="4" w:space="0" w:color="auto"/>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624</w:t>
            </w:r>
          </w:p>
        </w:tc>
        <w:tc>
          <w:tcPr>
            <w:tcW w:w="1559" w:type="dxa"/>
            <w:tcBorders>
              <w:top w:val="nil"/>
              <w:left w:val="single" w:sz="4" w:space="0" w:color="auto"/>
              <w:bottom w:val="single" w:sz="4" w:space="0" w:color="auto"/>
              <w:right w:val="single" w:sz="4" w:space="0" w:color="auto"/>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344</w:t>
            </w:r>
          </w:p>
        </w:tc>
      </w:tr>
      <w:tr w:rsidR="00255D5A" w:rsidRPr="00DA7163" w:rsidTr="002C7D14">
        <w:trPr>
          <w:trHeight w:hRule="exact" w:val="405"/>
        </w:trPr>
        <w:tc>
          <w:tcPr>
            <w:tcW w:w="6663" w:type="dxa"/>
            <w:tcBorders>
              <w:top w:val="single" w:sz="4" w:space="0" w:color="auto"/>
              <w:bottom w:val="single" w:sz="4" w:space="0" w:color="auto"/>
            </w:tcBorders>
            <w:vAlign w:val="center"/>
          </w:tcPr>
          <w:p w:rsidR="00255D5A" w:rsidRPr="00DA7163" w:rsidRDefault="00255D5A" w:rsidP="002C7D14">
            <w:pPr>
              <w:tabs>
                <w:tab w:val="left" w:pos="3990"/>
              </w:tabs>
              <w:rPr>
                <w:rFonts w:eastAsia="Times New Roman" w:cs="Times New Roman"/>
                <w:b/>
                <w:bCs/>
                <w:sz w:val="22"/>
                <w:szCs w:val="22"/>
              </w:rPr>
            </w:pPr>
            <w:r w:rsidRPr="00DA7163">
              <w:rPr>
                <w:rFonts w:eastAsia="Times New Roman" w:cs="Times New Roman"/>
                <w:b/>
                <w:bCs/>
                <w:sz w:val="22"/>
                <w:szCs w:val="22"/>
              </w:rPr>
              <w:t>Total available funding for the year</w:t>
            </w:r>
          </w:p>
        </w:tc>
        <w:tc>
          <w:tcPr>
            <w:tcW w:w="1701" w:type="dxa"/>
            <w:tcBorders>
              <w:top w:val="single" w:sz="4" w:space="0" w:color="auto"/>
              <w:bottom w:val="single" w:sz="4" w:space="0" w:color="auto"/>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12,366</w:t>
            </w:r>
          </w:p>
        </w:tc>
        <w:tc>
          <w:tcPr>
            <w:tcW w:w="1559" w:type="dxa"/>
            <w:tcBorders>
              <w:top w:val="single" w:sz="4" w:space="0" w:color="auto"/>
              <w:bottom w:val="single" w:sz="4" w:space="0" w:color="auto"/>
            </w:tcBorders>
            <w:vAlign w:val="center"/>
          </w:tcPr>
          <w:p w:rsidR="00255D5A" w:rsidRPr="00DA7163" w:rsidRDefault="00255D5A" w:rsidP="002C7D14">
            <w:pPr>
              <w:ind w:right="601"/>
              <w:jc w:val="right"/>
              <w:rPr>
                <w:rFonts w:eastAsia="Times New Roman" w:cs="Times New Roman"/>
                <w:b/>
                <w:bCs/>
                <w:sz w:val="22"/>
                <w:szCs w:val="22"/>
              </w:rPr>
            </w:pPr>
            <w:r w:rsidRPr="00DA7163">
              <w:rPr>
                <w:rFonts w:eastAsia="Times New Roman" w:cs="Times New Roman"/>
                <w:b/>
                <w:bCs/>
                <w:sz w:val="22"/>
                <w:szCs w:val="22"/>
              </w:rPr>
              <w:t>12,112</w:t>
            </w:r>
          </w:p>
        </w:tc>
      </w:tr>
    </w:tbl>
    <w:p w:rsidR="00255D5A" w:rsidRPr="00F17971" w:rsidRDefault="00255D5A" w:rsidP="002C7D14">
      <w:pPr>
        <w:spacing w:before="120" w:after="120"/>
        <w:jc w:val="both"/>
        <w:rPr>
          <w:rFonts w:eastAsia="Times New Roman" w:cs="Times New Roman"/>
          <w:sz w:val="24"/>
          <w:szCs w:val="24"/>
          <w:vertAlign w:val="superscript"/>
        </w:rPr>
      </w:pPr>
      <w:r w:rsidRPr="00F17971">
        <w:rPr>
          <w:rFonts w:eastAsia="Times New Roman" w:cs="Times New Roman"/>
          <w:sz w:val="24"/>
          <w:szCs w:val="24"/>
          <w:vertAlign w:val="superscript"/>
        </w:rPr>
        <w:t>1</w:t>
      </w:r>
      <w:r w:rsidR="00F17971">
        <w:rPr>
          <w:rFonts w:eastAsia="Times New Roman" w:cs="Times New Roman"/>
          <w:sz w:val="24"/>
          <w:szCs w:val="24"/>
          <w:vertAlign w:val="superscript"/>
        </w:rPr>
        <w:t>.</w:t>
      </w:r>
      <w:r w:rsidRPr="00F17971">
        <w:rPr>
          <w:rFonts w:eastAsia="Times New Roman" w:cs="Times New Roman"/>
          <w:sz w:val="24"/>
          <w:szCs w:val="24"/>
          <w:vertAlign w:val="superscript"/>
        </w:rPr>
        <w:t xml:space="preserve"> In 2017-18 SG funding for Grant Funding - Rape Crisis (£20k) and MAW (£55k) was waived. SG agreed that this would be for 1 year only and the funding has been made available again in 2018-19.  </w:t>
      </w:r>
    </w:p>
    <w:p w:rsidR="00255D5A" w:rsidRPr="00DA7163" w:rsidRDefault="00E24668" w:rsidP="002C7D14">
      <w:pPr>
        <w:spacing w:after="120"/>
        <w:jc w:val="both"/>
        <w:rPr>
          <w:rFonts w:eastAsia="Times New Roman" w:cs="Times New Roman"/>
          <w:sz w:val="24"/>
          <w:szCs w:val="24"/>
        </w:rPr>
      </w:pPr>
      <w:r w:rsidRPr="00DA7163">
        <w:rPr>
          <w:rFonts w:eastAsia="Times New Roman" w:cs="Times New Roman"/>
          <w:sz w:val="24"/>
          <w:szCs w:val="24"/>
        </w:rPr>
        <w:t>SLAB</w:t>
      </w:r>
      <w:r w:rsidR="00255D5A" w:rsidRPr="00DA7163">
        <w:rPr>
          <w:rFonts w:eastAsia="Times New Roman" w:cs="Times New Roman"/>
          <w:sz w:val="24"/>
          <w:szCs w:val="24"/>
        </w:rPr>
        <w:t xml:space="preserve"> receive additional grant-in-aid for any pension costs above £327k, we anticipate p</w:t>
      </w:r>
      <w:r w:rsidRPr="00DA7163">
        <w:rPr>
          <w:rFonts w:eastAsia="Times New Roman" w:cs="Times New Roman"/>
          <w:sz w:val="24"/>
          <w:szCs w:val="24"/>
        </w:rPr>
        <w:t>ensions will cost around £1m in</w:t>
      </w:r>
      <w:r w:rsidR="00255D5A" w:rsidRPr="00DA7163">
        <w:rPr>
          <w:rFonts w:eastAsia="Times New Roman" w:cs="Times New Roman"/>
          <w:sz w:val="24"/>
          <w:szCs w:val="24"/>
        </w:rPr>
        <w:t xml:space="preserve"> 2018-19 so additional funding of £673k is included in the table above. </w:t>
      </w:r>
    </w:p>
    <w:p w:rsidR="00255D5A" w:rsidRPr="00DA7163" w:rsidRDefault="00255D5A" w:rsidP="002C7D14">
      <w:pPr>
        <w:spacing w:after="120"/>
        <w:jc w:val="both"/>
        <w:rPr>
          <w:rFonts w:eastAsia="Times New Roman" w:cs="Times New Roman"/>
          <w:sz w:val="24"/>
          <w:szCs w:val="24"/>
        </w:rPr>
      </w:pPr>
      <w:r w:rsidRPr="00DA7163">
        <w:rPr>
          <w:rFonts w:eastAsia="Times New Roman" w:cs="Times New Roman"/>
          <w:sz w:val="24"/>
          <w:szCs w:val="24"/>
        </w:rPr>
        <w:t>We are required to transfer to the Scottish Government any pension receipts (contributions and transfers in) over £250k. Actual/forecast pension receipts are set out in the following table.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701"/>
        <w:gridCol w:w="1701"/>
      </w:tblGrid>
      <w:tr w:rsidR="00255D5A" w:rsidRPr="00DA7163" w:rsidTr="002C7D14">
        <w:trPr>
          <w:trHeight w:hRule="exact" w:val="497"/>
        </w:trPr>
        <w:tc>
          <w:tcPr>
            <w:tcW w:w="6379" w:type="dxa"/>
            <w:tcBorders>
              <w:bottom w:val="single" w:sz="4" w:space="0" w:color="auto"/>
            </w:tcBorders>
          </w:tcPr>
          <w:p w:rsidR="00255D5A" w:rsidRPr="00DA7163" w:rsidRDefault="00255D5A" w:rsidP="002C7D14">
            <w:pPr>
              <w:spacing w:after="120"/>
              <w:jc w:val="both"/>
              <w:rPr>
                <w:rFonts w:eastAsia="Times New Roman" w:cs="Times New Roman"/>
                <w:b/>
                <w:sz w:val="22"/>
                <w:szCs w:val="22"/>
              </w:rPr>
            </w:pPr>
            <w:r w:rsidRPr="00DA7163">
              <w:rPr>
                <w:rFonts w:eastAsia="Times New Roman" w:cs="Times New Roman"/>
                <w:b/>
                <w:sz w:val="22"/>
                <w:szCs w:val="22"/>
              </w:rPr>
              <w:t xml:space="preserve">Pension contributions and transfers in </w:t>
            </w:r>
          </w:p>
        </w:tc>
        <w:tc>
          <w:tcPr>
            <w:tcW w:w="1701" w:type="dxa"/>
            <w:tcBorders>
              <w:bottom w:val="single" w:sz="4" w:space="0" w:color="auto"/>
            </w:tcBorders>
          </w:tcPr>
          <w:p w:rsidR="00255D5A" w:rsidRPr="00DA7163" w:rsidRDefault="00255D5A" w:rsidP="002C7D14">
            <w:pPr>
              <w:jc w:val="center"/>
              <w:rPr>
                <w:rFonts w:eastAsia="Times New Roman" w:cs="Times New Roman"/>
                <w:b/>
                <w:sz w:val="22"/>
                <w:szCs w:val="22"/>
              </w:rPr>
            </w:pPr>
            <w:r w:rsidRPr="00DA7163">
              <w:rPr>
                <w:rFonts w:eastAsia="Times New Roman" w:cs="Times New Roman"/>
                <w:b/>
                <w:sz w:val="22"/>
                <w:szCs w:val="22"/>
              </w:rPr>
              <w:t>2017-18</w:t>
            </w:r>
          </w:p>
          <w:p w:rsidR="00255D5A" w:rsidRPr="00DA7163" w:rsidRDefault="00255D5A" w:rsidP="002C7D14">
            <w:pPr>
              <w:jc w:val="center"/>
              <w:rPr>
                <w:rFonts w:eastAsia="Times New Roman" w:cs="Times New Roman"/>
                <w:b/>
                <w:sz w:val="22"/>
                <w:szCs w:val="22"/>
              </w:rPr>
            </w:pPr>
            <w:r w:rsidRPr="00DA7163">
              <w:rPr>
                <w:rFonts w:eastAsia="Times New Roman" w:cs="Times New Roman"/>
                <w:b/>
                <w:sz w:val="22"/>
                <w:szCs w:val="22"/>
              </w:rPr>
              <w:t>Actual</w:t>
            </w:r>
          </w:p>
        </w:tc>
        <w:tc>
          <w:tcPr>
            <w:tcW w:w="1701" w:type="dxa"/>
            <w:tcBorders>
              <w:bottom w:val="single" w:sz="4" w:space="0" w:color="auto"/>
            </w:tcBorders>
            <w:shd w:val="clear" w:color="auto" w:fill="auto"/>
          </w:tcPr>
          <w:p w:rsidR="00255D5A" w:rsidRPr="00DA7163" w:rsidRDefault="00255D5A" w:rsidP="002C7D14">
            <w:pPr>
              <w:jc w:val="center"/>
              <w:rPr>
                <w:rFonts w:eastAsia="Times New Roman" w:cs="Times New Roman"/>
                <w:b/>
                <w:sz w:val="22"/>
                <w:szCs w:val="22"/>
              </w:rPr>
            </w:pPr>
            <w:r w:rsidRPr="00DA7163">
              <w:rPr>
                <w:rFonts w:eastAsia="Times New Roman" w:cs="Times New Roman"/>
                <w:b/>
                <w:sz w:val="22"/>
                <w:szCs w:val="22"/>
              </w:rPr>
              <w:t>2018-19</w:t>
            </w:r>
          </w:p>
          <w:p w:rsidR="00255D5A" w:rsidRPr="00DA7163" w:rsidRDefault="00255D5A" w:rsidP="002C7D14">
            <w:pPr>
              <w:spacing w:after="120"/>
              <w:jc w:val="center"/>
              <w:rPr>
                <w:rFonts w:eastAsia="Times New Roman" w:cs="Times New Roman"/>
                <w:b/>
                <w:sz w:val="22"/>
                <w:szCs w:val="22"/>
              </w:rPr>
            </w:pPr>
            <w:r w:rsidRPr="00DA7163">
              <w:rPr>
                <w:rFonts w:eastAsia="Times New Roman" w:cs="Times New Roman"/>
                <w:b/>
                <w:sz w:val="22"/>
                <w:szCs w:val="22"/>
              </w:rPr>
              <w:t>Budget</w:t>
            </w:r>
          </w:p>
        </w:tc>
      </w:tr>
      <w:tr w:rsidR="00255D5A" w:rsidRPr="00DA7163" w:rsidTr="002C7D14">
        <w:trPr>
          <w:trHeight w:hRule="exact" w:val="340"/>
        </w:trPr>
        <w:tc>
          <w:tcPr>
            <w:tcW w:w="6379" w:type="dxa"/>
            <w:tcBorders>
              <w:bottom w:val="nil"/>
            </w:tcBorders>
          </w:tcPr>
          <w:p w:rsidR="00255D5A" w:rsidRPr="00DA7163" w:rsidRDefault="00255D5A" w:rsidP="002C7D14">
            <w:pPr>
              <w:spacing w:after="120"/>
              <w:jc w:val="both"/>
              <w:rPr>
                <w:rFonts w:eastAsia="Times New Roman" w:cs="Times New Roman"/>
                <w:sz w:val="22"/>
                <w:szCs w:val="22"/>
              </w:rPr>
            </w:pPr>
          </w:p>
        </w:tc>
        <w:tc>
          <w:tcPr>
            <w:tcW w:w="1701" w:type="dxa"/>
            <w:tcBorders>
              <w:bottom w:val="nil"/>
            </w:tcBorders>
          </w:tcPr>
          <w:p w:rsidR="00255D5A" w:rsidRPr="00DA7163" w:rsidRDefault="00255D5A" w:rsidP="002C7D14">
            <w:pPr>
              <w:spacing w:after="120"/>
              <w:jc w:val="center"/>
              <w:rPr>
                <w:rFonts w:eastAsia="Times New Roman" w:cs="Times New Roman"/>
                <w:sz w:val="22"/>
                <w:szCs w:val="22"/>
              </w:rPr>
            </w:pPr>
            <w:r w:rsidRPr="00DA7163">
              <w:rPr>
                <w:rFonts w:eastAsia="Times New Roman" w:cs="Times New Roman"/>
                <w:b/>
                <w:sz w:val="22"/>
                <w:szCs w:val="22"/>
              </w:rPr>
              <w:t>£k</w:t>
            </w:r>
          </w:p>
        </w:tc>
        <w:tc>
          <w:tcPr>
            <w:tcW w:w="1701" w:type="dxa"/>
            <w:tcBorders>
              <w:bottom w:val="nil"/>
            </w:tcBorders>
            <w:shd w:val="clear" w:color="auto" w:fill="auto"/>
          </w:tcPr>
          <w:p w:rsidR="00255D5A" w:rsidRPr="00DA7163" w:rsidRDefault="00255D5A" w:rsidP="002C7D14">
            <w:pPr>
              <w:spacing w:after="120"/>
              <w:jc w:val="center"/>
              <w:rPr>
                <w:rFonts w:eastAsia="Times New Roman" w:cs="Times New Roman"/>
                <w:sz w:val="22"/>
                <w:szCs w:val="22"/>
              </w:rPr>
            </w:pPr>
            <w:r w:rsidRPr="00DA7163">
              <w:rPr>
                <w:rFonts w:eastAsia="Times New Roman" w:cs="Times New Roman"/>
                <w:b/>
                <w:sz w:val="22"/>
                <w:szCs w:val="22"/>
              </w:rPr>
              <w:t>£k</w:t>
            </w:r>
          </w:p>
        </w:tc>
      </w:tr>
      <w:tr w:rsidR="00255D5A" w:rsidRPr="00DA7163" w:rsidTr="002C7D14">
        <w:trPr>
          <w:trHeight w:hRule="exact" w:val="340"/>
        </w:trPr>
        <w:tc>
          <w:tcPr>
            <w:tcW w:w="6379" w:type="dxa"/>
            <w:tcBorders>
              <w:top w:val="nil"/>
              <w:bottom w:val="nil"/>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 xml:space="preserve">Pension receipts </w:t>
            </w:r>
          </w:p>
        </w:tc>
        <w:tc>
          <w:tcPr>
            <w:tcW w:w="1701" w:type="dxa"/>
            <w:tcBorders>
              <w:top w:val="nil"/>
              <w:bottom w:val="nil"/>
            </w:tcBorders>
            <w:vAlign w:val="center"/>
          </w:tcPr>
          <w:p w:rsidR="00255D5A" w:rsidRPr="00DA7163" w:rsidRDefault="00255D5A" w:rsidP="002C7D14">
            <w:pPr>
              <w:ind w:right="600"/>
              <w:jc w:val="right"/>
              <w:rPr>
                <w:rFonts w:eastAsia="Times New Roman" w:cs="Times New Roman"/>
                <w:sz w:val="22"/>
                <w:szCs w:val="22"/>
              </w:rPr>
            </w:pPr>
            <w:r w:rsidRPr="00DA7163">
              <w:rPr>
                <w:rFonts w:eastAsia="Times New Roman" w:cs="Times New Roman"/>
                <w:sz w:val="22"/>
                <w:szCs w:val="22"/>
              </w:rPr>
              <w:t>425</w:t>
            </w:r>
          </w:p>
        </w:tc>
        <w:tc>
          <w:tcPr>
            <w:tcW w:w="1701" w:type="dxa"/>
            <w:tcBorders>
              <w:top w:val="nil"/>
              <w:bottom w:val="nil"/>
            </w:tcBorders>
            <w:shd w:val="clear" w:color="auto" w:fill="auto"/>
            <w:vAlign w:val="center"/>
          </w:tcPr>
          <w:p w:rsidR="00255D5A" w:rsidRPr="00DA7163" w:rsidRDefault="00255D5A" w:rsidP="002C7D14">
            <w:pPr>
              <w:ind w:right="599"/>
              <w:jc w:val="right"/>
              <w:rPr>
                <w:rFonts w:eastAsia="Times New Roman" w:cs="Times New Roman"/>
                <w:sz w:val="22"/>
                <w:szCs w:val="22"/>
              </w:rPr>
            </w:pPr>
            <w:r w:rsidRPr="00DA7163">
              <w:rPr>
                <w:rFonts w:eastAsia="Times New Roman" w:cs="Times New Roman"/>
                <w:sz w:val="22"/>
                <w:szCs w:val="22"/>
              </w:rPr>
              <w:t>430</w:t>
            </w:r>
          </w:p>
        </w:tc>
      </w:tr>
      <w:tr w:rsidR="00255D5A" w:rsidRPr="00DA7163" w:rsidTr="002C7D14">
        <w:trPr>
          <w:trHeight w:hRule="exact" w:val="340"/>
        </w:trPr>
        <w:tc>
          <w:tcPr>
            <w:tcW w:w="6379" w:type="dxa"/>
            <w:tcBorders>
              <w:top w:val="nil"/>
              <w:bottom w:val="single" w:sz="4" w:space="0" w:color="auto"/>
            </w:tcBorders>
            <w:vAlign w:val="center"/>
          </w:tcPr>
          <w:p w:rsidR="00255D5A" w:rsidRPr="00DA7163" w:rsidRDefault="00255D5A" w:rsidP="002C7D14">
            <w:pPr>
              <w:rPr>
                <w:rFonts w:eastAsia="Times New Roman" w:cs="Times New Roman"/>
                <w:sz w:val="22"/>
                <w:szCs w:val="22"/>
              </w:rPr>
            </w:pPr>
            <w:r w:rsidRPr="00DA7163">
              <w:rPr>
                <w:rFonts w:eastAsia="Times New Roman" w:cs="Times New Roman"/>
                <w:sz w:val="22"/>
                <w:szCs w:val="22"/>
              </w:rPr>
              <w:t>Amount to be retained</w:t>
            </w:r>
          </w:p>
        </w:tc>
        <w:tc>
          <w:tcPr>
            <w:tcW w:w="1701" w:type="dxa"/>
            <w:tcBorders>
              <w:top w:val="nil"/>
              <w:bottom w:val="single" w:sz="4" w:space="0" w:color="auto"/>
            </w:tcBorders>
            <w:vAlign w:val="center"/>
          </w:tcPr>
          <w:p w:rsidR="00255D5A" w:rsidRPr="00DA7163" w:rsidRDefault="00255D5A" w:rsidP="002C7D14">
            <w:pPr>
              <w:ind w:right="600"/>
              <w:jc w:val="right"/>
              <w:rPr>
                <w:rFonts w:eastAsia="Times New Roman" w:cs="Times New Roman"/>
                <w:sz w:val="22"/>
                <w:szCs w:val="22"/>
              </w:rPr>
            </w:pPr>
            <w:r w:rsidRPr="00DA7163">
              <w:rPr>
                <w:rFonts w:eastAsia="Times New Roman" w:cs="Times New Roman"/>
                <w:sz w:val="22"/>
                <w:szCs w:val="22"/>
              </w:rPr>
              <w:t>250</w:t>
            </w:r>
          </w:p>
        </w:tc>
        <w:tc>
          <w:tcPr>
            <w:tcW w:w="1701" w:type="dxa"/>
            <w:tcBorders>
              <w:top w:val="nil"/>
              <w:bottom w:val="single" w:sz="4" w:space="0" w:color="auto"/>
            </w:tcBorders>
            <w:shd w:val="clear" w:color="auto" w:fill="auto"/>
            <w:vAlign w:val="center"/>
          </w:tcPr>
          <w:p w:rsidR="00255D5A" w:rsidRPr="00DA7163" w:rsidRDefault="00255D5A" w:rsidP="002C7D14">
            <w:pPr>
              <w:ind w:right="599"/>
              <w:jc w:val="right"/>
              <w:rPr>
                <w:rFonts w:eastAsia="Times New Roman" w:cs="Times New Roman"/>
                <w:sz w:val="22"/>
                <w:szCs w:val="22"/>
              </w:rPr>
            </w:pPr>
            <w:r w:rsidRPr="00DA7163">
              <w:rPr>
                <w:rFonts w:eastAsia="Times New Roman" w:cs="Times New Roman"/>
                <w:sz w:val="22"/>
                <w:szCs w:val="22"/>
              </w:rPr>
              <w:t>250</w:t>
            </w:r>
          </w:p>
        </w:tc>
      </w:tr>
      <w:tr w:rsidR="00255D5A" w:rsidRPr="00DA7163" w:rsidTr="002C7D14">
        <w:trPr>
          <w:trHeight w:hRule="exact" w:val="414"/>
        </w:trPr>
        <w:tc>
          <w:tcPr>
            <w:tcW w:w="6379" w:type="dxa"/>
            <w:tcBorders>
              <w:top w:val="single" w:sz="4" w:space="0" w:color="auto"/>
              <w:left w:val="single" w:sz="4" w:space="0" w:color="auto"/>
              <w:bottom w:val="single" w:sz="4" w:space="0" w:color="auto"/>
              <w:right w:val="single" w:sz="4" w:space="0" w:color="auto"/>
            </w:tcBorders>
            <w:vAlign w:val="center"/>
          </w:tcPr>
          <w:p w:rsidR="00255D5A" w:rsidRPr="00DA7163" w:rsidRDefault="00255D5A" w:rsidP="002C7D14">
            <w:pPr>
              <w:tabs>
                <w:tab w:val="left" w:pos="3990"/>
              </w:tabs>
              <w:rPr>
                <w:rFonts w:eastAsia="Times New Roman" w:cs="Times New Roman"/>
                <w:b/>
                <w:bCs/>
                <w:sz w:val="22"/>
                <w:szCs w:val="22"/>
              </w:rPr>
            </w:pPr>
            <w:r w:rsidRPr="00DA7163">
              <w:rPr>
                <w:rFonts w:eastAsia="Times New Roman" w:cs="Times New Roman"/>
                <w:b/>
                <w:bCs/>
                <w:sz w:val="22"/>
                <w:szCs w:val="22"/>
              </w:rPr>
              <w:t>Amount to be returned to Scottish Government</w:t>
            </w:r>
          </w:p>
        </w:tc>
        <w:tc>
          <w:tcPr>
            <w:tcW w:w="1701" w:type="dxa"/>
            <w:tcBorders>
              <w:top w:val="single" w:sz="4" w:space="0" w:color="auto"/>
              <w:left w:val="single" w:sz="4" w:space="0" w:color="auto"/>
              <w:bottom w:val="single" w:sz="4" w:space="0" w:color="auto"/>
              <w:right w:val="single" w:sz="4" w:space="0" w:color="auto"/>
            </w:tcBorders>
            <w:vAlign w:val="center"/>
          </w:tcPr>
          <w:p w:rsidR="00255D5A" w:rsidRPr="00DA7163" w:rsidRDefault="00255D5A" w:rsidP="002C7D14">
            <w:pPr>
              <w:ind w:right="600"/>
              <w:jc w:val="right"/>
              <w:rPr>
                <w:rFonts w:eastAsia="Times New Roman" w:cs="Times New Roman"/>
                <w:b/>
                <w:bCs/>
                <w:sz w:val="22"/>
                <w:szCs w:val="22"/>
              </w:rPr>
            </w:pPr>
            <w:r w:rsidRPr="00DA7163">
              <w:rPr>
                <w:rFonts w:eastAsia="Times New Roman" w:cs="Times New Roman"/>
                <w:b/>
                <w:bCs/>
                <w:sz w:val="22"/>
                <w:szCs w:val="22"/>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55D5A" w:rsidRPr="00DA7163" w:rsidRDefault="00255D5A" w:rsidP="002C7D14">
            <w:pPr>
              <w:ind w:right="599"/>
              <w:jc w:val="right"/>
              <w:rPr>
                <w:rFonts w:eastAsia="Times New Roman" w:cs="Times New Roman"/>
                <w:b/>
                <w:bCs/>
                <w:sz w:val="22"/>
                <w:szCs w:val="22"/>
              </w:rPr>
            </w:pPr>
            <w:r w:rsidRPr="00DA7163">
              <w:rPr>
                <w:rFonts w:eastAsia="Times New Roman" w:cs="Times New Roman"/>
                <w:b/>
                <w:bCs/>
                <w:sz w:val="22"/>
                <w:szCs w:val="22"/>
              </w:rPr>
              <w:t>180</w:t>
            </w:r>
          </w:p>
        </w:tc>
      </w:tr>
    </w:tbl>
    <w:p w:rsidR="00D42BF5" w:rsidRPr="00DA7163" w:rsidRDefault="00D42BF5" w:rsidP="002C7D14">
      <w:pPr>
        <w:keepNext/>
        <w:spacing w:after="120"/>
        <w:outlineLvl w:val="1"/>
        <w:rPr>
          <w:rFonts w:eastAsia="Times New Roman" w:cs="Times New Roman"/>
          <w:b/>
          <w:sz w:val="24"/>
          <w:szCs w:val="24"/>
        </w:rPr>
      </w:pPr>
    </w:p>
    <w:p w:rsidR="00D42BF5" w:rsidRPr="00DA7163" w:rsidRDefault="00D42BF5" w:rsidP="00D42BF5">
      <w:pPr>
        <w:keepNext/>
        <w:numPr>
          <w:ilvl w:val="1"/>
          <w:numId w:val="0"/>
        </w:numPr>
        <w:tabs>
          <w:tab w:val="num" w:pos="576"/>
        </w:tabs>
        <w:ind w:left="576" w:hanging="576"/>
        <w:outlineLvl w:val="1"/>
        <w:rPr>
          <w:rFonts w:eastAsia="Times New Roman" w:cs="Times New Roman"/>
          <w:b/>
          <w:sz w:val="24"/>
          <w:szCs w:val="24"/>
        </w:rPr>
      </w:pPr>
    </w:p>
    <w:p w:rsidR="00D42BF5" w:rsidRPr="00DA7163" w:rsidRDefault="00D42BF5">
      <w:pPr>
        <w:rPr>
          <w:rFonts w:eastAsia="Times New Roman" w:cs="Times New Roman"/>
          <w:b/>
          <w:sz w:val="24"/>
          <w:szCs w:val="24"/>
        </w:rPr>
      </w:pPr>
      <w:r w:rsidRPr="00DA7163">
        <w:rPr>
          <w:rFonts w:eastAsia="Times New Roman" w:cs="Times New Roman"/>
          <w:b/>
          <w:sz w:val="24"/>
          <w:szCs w:val="24"/>
        </w:rPr>
        <w:br w:type="page"/>
      </w:r>
    </w:p>
    <w:p w:rsidR="00D42BF5" w:rsidRPr="00DA7163" w:rsidRDefault="00D42BF5" w:rsidP="00D42BF5">
      <w:pPr>
        <w:keepNext/>
        <w:numPr>
          <w:ilvl w:val="1"/>
          <w:numId w:val="0"/>
        </w:numPr>
        <w:tabs>
          <w:tab w:val="num" w:pos="576"/>
        </w:tabs>
        <w:ind w:left="576" w:hanging="576"/>
        <w:outlineLvl w:val="1"/>
        <w:rPr>
          <w:rFonts w:eastAsia="Times New Roman" w:cs="Times New Roman"/>
          <w:b/>
          <w:sz w:val="24"/>
          <w:szCs w:val="24"/>
        </w:rPr>
      </w:pPr>
    </w:p>
    <w:p w:rsidR="00255D5A" w:rsidRPr="00DA7163" w:rsidRDefault="004E430C" w:rsidP="00255D5A">
      <w:pPr>
        <w:keepNext/>
        <w:numPr>
          <w:ilvl w:val="1"/>
          <w:numId w:val="0"/>
        </w:numPr>
        <w:tabs>
          <w:tab w:val="num" w:pos="576"/>
        </w:tabs>
        <w:spacing w:after="120"/>
        <w:ind w:left="576" w:hanging="576"/>
        <w:outlineLvl w:val="1"/>
        <w:rPr>
          <w:rFonts w:eastAsia="Times New Roman" w:cs="Times New Roman"/>
          <w:b/>
          <w:sz w:val="24"/>
          <w:szCs w:val="24"/>
        </w:rPr>
      </w:pPr>
      <w:r w:rsidRPr="00DA7163">
        <w:rPr>
          <w:rFonts w:eastAsia="Times New Roman" w:cs="Times New Roman"/>
          <w:b/>
          <w:sz w:val="24"/>
          <w:szCs w:val="24"/>
        </w:rPr>
        <w:t xml:space="preserve">2. </w:t>
      </w:r>
      <w:r w:rsidR="00255D5A" w:rsidRPr="00DA7163">
        <w:rPr>
          <w:rFonts w:eastAsia="Times New Roman" w:cs="Times New Roman"/>
          <w:b/>
          <w:sz w:val="24"/>
          <w:szCs w:val="24"/>
        </w:rPr>
        <w:t>Grant-in-Aid</w:t>
      </w:r>
      <w:r w:rsidR="003E2074" w:rsidRPr="00DA7163">
        <w:rPr>
          <w:rFonts w:eastAsia="Times New Roman" w:cs="Times New Roman"/>
          <w:b/>
          <w:sz w:val="24"/>
          <w:szCs w:val="24"/>
        </w:rPr>
        <w:t xml:space="preserve"> Budgets and </w:t>
      </w:r>
      <w:r w:rsidR="00255D5A" w:rsidRPr="00DA7163">
        <w:rPr>
          <w:rFonts w:eastAsia="Times New Roman" w:cs="Times New Roman"/>
          <w:b/>
          <w:sz w:val="24"/>
          <w:szCs w:val="24"/>
        </w:rPr>
        <w:t xml:space="preserve">Expenditure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1134"/>
        <w:gridCol w:w="1134"/>
        <w:gridCol w:w="1134"/>
        <w:gridCol w:w="1134"/>
        <w:gridCol w:w="1276"/>
      </w:tblGrid>
      <w:tr w:rsidR="00255D5A" w:rsidRPr="00DA7163" w:rsidTr="008C6047">
        <w:trPr>
          <w:trHeight w:hRule="exact" w:val="765"/>
        </w:trPr>
        <w:tc>
          <w:tcPr>
            <w:tcW w:w="1980" w:type="dxa"/>
          </w:tcPr>
          <w:p w:rsidR="00255D5A" w:rsidRPr="00DA7163" w:rsidRDefault="00255D5A" w:rsidP="00255D5A">
            <w:pPr>
              <w:jc w:val="center"/>
              <w:rPr>
                <w:rFonts w:eastAsia="Times New Roman" w:cs="Times New Roman"/>
                <w:b/>
                <w:sz w:val="22"/>
                <w:szCs w:val="22"/>
              </w:rPr>
            </w:pPr>
            <w:r w:rsidRPr="00DA7163">
              <w:rPr>
                <w:rFonts w:eastAsia="Times New Roman" w:cs="Times New Roman"/>
                <w:sz w:val="22"/>
                <w:szCs w:val="22"/>
              </w:rPr>
              <w:br w:type="page"/>
            </w:r>
            <w:r w:rsidRPr="00DA7163">
              <w:rPr>
                <w:rFonts w:eastAsia="Times New Roman" w:cs="Times New Roman"/>
                <w:b/>
                <w:sz w:val="22"/>
                <w:szCs w:val="22"/>
              </w:rPr>
              <w:br w:type="page"/>
              <w:t xml:space="preserve"> Department</w:t>
            </w:r>
          </w:p>
        </w:tc>
        <w:tc>
          <w:tcPr>
            <w:tcW w:w="1134" w:type="dxa"/>
            <w:shd w:val="clear" w:color="auto" w:fill="D9D9D9"/>
          </w:tcPr>
          <w:p w:rsidR="00255D5A" w:rsidRPr="00DA7163" w:rsidRDefault="00255D5A" w:rsidP="00255D5A">
            <w:pPr>
              <w:jc w:val="center"/>
              <w:rPr>
                <w:rFonts w:eastAsia="Times New Roman" w:cs="Times New Roman"/>
                <w:b/>
                <w:bCs/>
                <w:sz w:val="22"/>
                <w:szCs w:val="22"/>
              </w:rPr>
            </w:pPr>
            <w:r w:rsidRPr="00DA7163">
              <w:rPr>
                <w:rFonts w:eastAsia="Times New Roman" w:cs="Times New Roman"/>
                <w:b/>
                <w:bCs/>
                <w:sz w:val="22"/>
                <w:szCs w:val="22"/>
              </w:rPr>
              <w:t>Original</w:t>
            </w:r>
          </w:p>
          <w:p w:rsidR="00255D5A" w:rsidRPr="00DA7163" w:rsidRDefault="00255D5A" w:rsidP="00255D5A">
            <w:pPr>
              <w:jc w:val="center"/>
              <w:rPr>
                <w:rFonts w:eastAsia="Times New Roman" w:cs="Times New Roman"/>
                <w:b/>
                <w:bCs/>
                <w:sz w:val="22"/>
                <w:szCs w:val="22"/>
              </w:rPr>
            </w:pPr>
            <w:r w:rsidRPr="00DA7163">
              <w:rPr>
                <w:rFonts w:eastAsia="Times New Roman" w:cs="Times New Roman"/>
                <w:b/>
                <w:bCs/>
                <w:sz w:val="22"/>
                <w:szCs w:val="22"/>
              </w:rPr>
              <w:t>Annual Budget</w:t>
            </w:r>
          </w:p>
        </w:tc>
        <w:tc>
          <w:tcPr>
            <w:tcW w:w="1134" w:type="dxa"/>
            <w:shd w:val="clear" w:color="auto" w:fill="D9D9D9"/>
          </w:tcPr>
          <w:p w:rsidR="00255D5A" w:rsidRPr="00DA7163" w:rsidRDefault="00255D5A" w:rsidP="00255D5A">
            <w:pPr>
              <w:jc w:val="center"/>
              <w:rPr>
                <w:rFonts w:eastAsia="Times New Roman" w:cs="Times New Roman"/>
                <w:b/>
                <w:bCs/>
                <w:sz w:val="22"/>
                <w:szCs w:val="22"/>
              </w:rPr>
            </w:pPr>
            <w:r w:rsidRPr="00DA7163">
              <w:rPr>
                <w:rFonts w:eastAsia="Times New Roman" w:cs="Times New Roman"/>
                <w:b/>
                <w:bCs/>
                <w:sz w:val="22"/>
                <w:szCs w:val="22"/>
              </w:rPr>
              <w:t>Revised Q1 Budget</w:t>
            </w:r>
          </w:p>
        </w:tc>
        <w:tc>
          <w:tcPr>
            <w:tcW w:w="1134" w:type="dxa"/>
            <w:shd w:val="clear" w:color="auto" w:fill="DDDDDD"/>
          </w:tcPr>
          <w:p w:rsidR="00255D5A" w:rsidRPr="00DA7163" w:rsidRDefault="00255D5A" w:rsidP="00255D5A">
            <w:pPr>
              <w:jc w:val="center"/>
              <w:rPr>
                <w:rFonts w:eastAsia="Times New Roman" w:cs="Times New Roman"/>
                <w:b/>
                <w:bCs/>
                <w:sz w:val="22"/>
                <w:szCs w:val="22"/>
              </w:rPr>
            </w:pPr>
            <w:r w:rsidRPr="00DA7163">
              <w:rPr>
                <w:rFonts w:eastAsia="Times New Roman" w:cs="Times New Roman"/>
                <w:b/>
                <w:bCs/>
                <w:sz w:val="22"/>
                <w:szCs w:val="22"/>
              </w:rPr>
              <w:t>Revised Q2 Budget</w:t>
            </w:r>
          </w:p>
        </w:tc>
        <w:tc>
          <w:tcPr>
            <w:tcW w:w="1134" w:type="dxa"/>
            <w:tcBorders>
              <w:top w:val="single" w:sz="6" w:space="0" w:color="auto"/>
              <w:left w:val="single" w:sz="6" w:space="0" w:color="auto"/>
              <w:bottom w:val="single" w:sz="6" w:space="0" w:color="auto"/>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 xml:space="preserve">Actual </w:t>
            </w:r>
          </w:p>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YTD</w:t>
            </w:r>
          </w:p>
        </w:tc>
        <w:tc>
          <w:tcPr>
            <w:tcW w:w="1134" w:type="dxa"/>
            <w:tcBorders>
              <w:top w:val="single" w:sz="6" w:space="0" w:color="auto"/>
              <w:left w:val="single" w:sz="6" w:space="0" w:color="auto"/>
              <w:bottom w:val="single" w:sz="6" w:space="0" w:color="auto"/>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Budget</w:t>
            </w:r>
          </w:p>
          <w:p w:rsidR="00255D5A" w:rsidRPr="00DA7163" w:rsidRDefault="00255D5A" w:rsidP="00255D5A">
            <w:pPr>
              <w:spacing w:after="120"/>
              <w:jc w:val="center"/>
              <w:rPr>
                <w:rFonts w:eastAsia="Times New Roman" w:cs="Times New Roman"/>
                <w:sz w:val="22"/>
                <w:szCs w:val="22"/>
              </w:rPr>
            </w:pPr>
            <w:r w:rsidRPr="00DA7163">
              <w:rPr>
                <w:rFonts w:eastAsia="Times New Roman" w:cs="Times New Roman"/>
                <w:b/>
                <w:sz w:val="22"/>
                <w:szCs w:val="22"/>
              </w:rPr>
              <w:t>YTD</w:t>
            </w:r>
          </w:p>
        </w:tc>
        <w:tc>
          <w:tcPr>
            <w:tcW w:w="1134" w:type="dxa"/>
            <w:tcBorders>
              <w:top w:val="single" w:sz="6" w:space="0" w:color="auto"/>
              <w:left w:val="single" w:sz="6" w:space="0" w:color="auto"/>
              <w:bottom w:val="single" w:sz="6" w:space="0" w:color="auto"/>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Variance</w:t>
            </w:r>
          </w:p>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YTD</w:t>
            </w:r>
          </w:p>
        </w:tc>
        <w:tc>
          <w:tcPr>
            <w:tcW w:w="1276" w:type="dxa"/>
            <w:tcBorders>
              <w:top w:val="single" w:sz="6" w:space="0" w:color="auto"/>
              <w:left w:val="single" w:sz="6" w:space="0" w:color="auto"/>
              <w:bottom w:val="single" w:sz="6" w:space="0" w:color="auto"/>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Variance</w:t>
            </w:r>
          </w:p>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YTD</w:t>
            </w:r>
          </w:p>
        </w:tc>
      </w:tr>
      <w:tr w:rsidR="00255D5A" w:rsidRPr="00DA7163" w:rsidTr="008C6047">
        <w:trPr>
          <w:trHeight w:val="225"/>
        </w:trPr>
        <w:tc>
          <w:tcPr>
            <w:tcW w:w="1980" w:type="dxa"/>
            <w:tcBorders>
              <w:bottom w:val="nil"/>
            </w:tcBorders>
          </w:tcPr>
          <w:p w:rsidR="00255D5A" w:rsidRPr="00DA7163" w:rsidRDefault="00255D5A" w:rsidP="00255D5A">
            <w:pPr>
              <w:jc w:val="both"/>
              <w:rPr>
                <w:rFonts w:eastAsia="Times New Roman" w:cs="Times New Roman"/>
                <w:sz w:val="22"/>
                <w:szCs w:val="22"/>
              </w:rPr>
            </w:pPr>
          </w:p>
        </w:tc>
        <w:tc>
          <w:tcPr>
            <w:tcW w:w="1134" w:type="dxa"/>
            <w:tcBorders>
              <w:bottom w:val="nil"/>
            </w:tcBorders>
            <w:shd w:val="clear" w:color="auto" w:fill="D9D9D9" w:themeFill="background1" w:themeFillShade="D9"/>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£k</w:t>
            </w:r>
          </w:p>
        </w:tc>
        <w:tc>
          <w:tcPr>
            <w:tcW w:w="1134" w:type="dxa"/>
            <w:tcBorders>
              <w:bottom w:val="nil"/>
            </w:tcBorders>
            <w:shd w:val="clear" w:color="auto" w:fill="D9D9D9" w:themeFill="background1" w:themeFillShade="D9"/>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£k</w:t>
            </w:r>
          </w:p>
        </w:tc>
        <w:tc>
          <w:tcPr>
            <w:tcW w:w="1134" w:type="dxa"/>
            <w:tcBorders>
              <w:bottom w:val="nil"/>
            </w:tcBorders>
            <w:shd w:val="clear" w:color="auto" w:fill="DDDDDD"/>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£k</w:t>
            </w:r>
          </w:p>
        </w:tc>
        <w:tc>
          <w:tcPr>
            <w:tcW w:w="1134" w:type="dxa"/>
            <w:tcBorders>
              <w:top w:val="single" w:sz="6" w:space="0" w:color="auto"/>
              <w:left w:val="single" w:sz="6" w:space="0" w:color="auto"/>
              <w:bottom w:val="nil"/>
              <w:right w:val="single" w:sz="6" w:space="0" w:color="auto"/>
            </w:tcBorders>
          </w:tcPr>
          <w:p w:rsidR="00255D5A" w:rsidRPr="00DA7163" w:rsidRDefault="00255D5A" w:rsidP="00255D5A">
            <w:pPr>
              <w:ind w:right="-108"/>
              <w:jc w:val="center"/>
              <w:rPr>
                <w:rFonts w:eastAsia="Times New Roman" w:cs="Times New Roman"/>
                <w:b/>
                <w:sz w:val="22"/>
                <w:szCs w:val="22"/>
              </w:rPr>
            </w:pPr>
            <w:r w:rsidRPr="00DA7163">
              <w:rPr>
                <w:rFonts w:eastAsia="Times New Roman" w:cs="Times New Roman"/>
                <w:b/>
                <w:sz w:val="22"/>
                <w:szCs w:val="22"/>
              </w:rPr>
              <w:t>£k</w:t>
            </w:r>
          </w:p>
        </w:tc>
        <w:tc>
          <w:tcPr>
            <w:tcW w:w="1134" w:type="dxa"/>
            <w:tcBorders>
              <w:top w:val="single" w:sz="6" w:space="0" w:color="auto"/>
              <w:left w:val="single" w:sz="6" w:space="0" w:color="auto"/>
              <w:bottom w:val="nil"/>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£k</w:t>
            </w:r>
          </w:p>
        </w:tc>
        <w:tc>
          <w:tcPr>
            <w:tcW w:w="1134" w:type="dxa"/>
            <w:tcBorders>
              <w:top w:val="single" w:sz="6" w:space="0" w:color="auto"/>
              <w:left w:val="single" w:sz="6" w:space="0" w:color="auto"/>
              <w:bottom w:val="nil"/>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£k</w:t>
            </w:r>
          </w:p>
        </w:tc>
        <w:tc>
          <w:tcPr>
            <w:tcW w:w="1276" w:type="dxa"/>
            <w:tcBorders>
              <w:top w:val="single" w:sz="6" w:space="0" w:color="auto"/>
              <w:left w:val="single" w:sz="6" w:space="0" w:color="auto"/>
              <w:bottom w:val="nil"/>
              <w:right w:val="single" w:sz="6" w:space="0" w:color="auto"/>
            </w:tcBorders>
          </w:tcPr>
          <w:p w:rsidR="00255D5A" w:rsidRPr="00DA7163" w:rsidRDefault="00255D5A" w:rsidP="00255D5A">
            <w:pPr>
              <w:jc w:val="center"/>
              <w:rPr>
                <w:rFonts w:eastAsia="Times New Roman" w:cs="Times New Roman"/>
                <w:b/>
                <w:sz w:val="22"/>
                <w:szCs w:val="22"/>
              </w:rPr>
            </w:pPr>
            <w:r w:rsidRPr="00DA7163">
              <w:rPr>
                <w:rFonts w:eastAsia="Times New Roman" w:cs="Times New Roman"/>
                <w:b/>
                <w:sz w:val="22"/>
                <w:szCs w:val="22"/>
              </w:rPr>
              <w:t>%</w:t>
            </w:r>
          </w:p>
        </w:tc>
      </w:tr>
      <w:tr w:rsidR="008C5C22" w:rsidRPr="00DA7163" w:rsidTr="008C6047">
        <w:trPr>
          <w:trHeight w:hRule="exact" w:val="453"/>
        </w:trPr>
        <w:tc>
          <w:tcPr>
            <w:tcW w:w="1980" w:type="dxa"/>
            <w:tcBorders>
              <w:top w:val="nil"/>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Staff Costs</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1,122</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1,099</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1,203</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882</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894</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12</w:t>
            </w:r>
          </w:p>
        </w:tc>
        <w:tc>
          <w:tcPr>
            <w:tcW w:w="1276" w:type="dxa"/>
            <w:tcBorders>
              <w:top w:val="nil"/>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1.4</w:t>
            </w:r>
          </w:p>
        </w:tc>
      </w:tr>
      <w:tr w:rsidR="008C5C22" w:rsidRPr="00DA7163" w:rsidTr="008C6047">
        <w:trPr>
          <w:trHeight w:val="225"/>
        </w:trPr>
        <w:tc>
          <w:tcPr>
            <w:tcW w:w="1980" w:type="dxa"/>
            <w:tcBorders>
              <w:top w:val="nil"/>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vertAlign w:val="superscript"/>
              </w:rPr>
              <w:t>1</w:t>
            </w:r>
            <w:r w:rsidRPr="00DA7163">
              <w:rPr>
                <w:rFonts w:eastAsia="Times New Roman" w:cs="Times New Roman"/>
                <w:sz w:val="22"/>
                <w:szCs w:val="22"/>
              </w:rPr>
              <w:t>Running Costs</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31</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29</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(44)</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(8)</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340"/>
              <w:jc w:val="right"/>
              <w:rPr>
                <w:rFonts w:eastAsia="Times New Roman" w:cs="Times New Roman"/>
                <w:color w:val="000000"/>
                <w:sz w:val="22"/>
                <w:szCs w:val="22"/>
              </w:rPr>
            </w:pPr>
            <w:r w:rsidRPr="008C5C22">
              <w:rPr>
                <w:color w:val="000000"/>
                <w:sz w:val="22"/>
                <w:szCs w:val="22"/>
              </w:rPr>
              <w:t>36</w:t>
            </w:r>
          </w:p>
        </w:tc>
        <w:tc>
          <w:tcPr>
            <w:tcW w:w="1276" w:type="dxa"/>
            <w:tcBorders>
              <w:top w:val="nil"/>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color w:val="000000"/>
                <w:sz w:val="22"/>
                <w:szCs w:val="22"/>
              </w:rPr>
            </w:pPr>
            <w:r w:rsidRPr="008C5C22">
              <w:rPr>
                <w:color w:val="000000"/>
                <w:sz w:val="22"/>
                <w:szCs w:val="22"/>
              </w:rPr>
              <w:t>(457.5)</w:t>
            </w:r>
          </w:p>
        </w:tc>
      </w:tr>
      <w:tr w:rsidR="008C5C22" w:rsidRPr="00DA7163" w:rsidTr="008C6047">
        <w:trPr>
          <w:trHeight w:val="240"/>
        </w:trPr>
        <w:tc>
          <w:tcPr>
            <w:tcW w:w="1980" w:type="dxa"/>
            <w:tcBorders>
              <w:top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Capital Costs</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50</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20</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340"/>
              <w:jc w:val="right"/>
              <w:rPr>
                <w:rFonts w:eastAsia="Times New Roman" w:cs="Times New Roman"/>
                <w:sz w:val="22"/>
                <w:szCs w:val="22"/>
              </w:rPr>
            </w:pPr>
            <w:r w:rsidRPr="008C5C22">
              <w:rPr>
                <w:sz w:val="22"/>
                <w:szCs w:val="22"/>
              </w:rPr>
              <w:t>20</w:t>
            </w:r>
          </w:p>
        </w:tc>
        <w:tc>
          <w:tcPr>
            <w:tcW w:w="1276"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84"/>
              <w:jc w:val="right"/>
              <w:rPr>
                <w:rFonts w:eastAsia="Times New Roman" w:cs="Times New Roman"/>
                <w:sz w:val="22"/>
                <w:szCs w:val="22"/>
              </w:rPr>
            </w:pPr>
            <w:r w:rsidRPr="008C5C22">
              <w:rPr>
                <w:sz w:val="22"/>
                <w:szCs w:val="22"/>
              </w:rPr>
              <w:t>100.0</w:t>
            </w:r>
          </w:p>
        </w:tc>
      </w:tr>
      <w:tr w:rsidR="008C5C22" w:rsidRPr="00DA7163" w:rsidTr="008C6047">
        <w:trPr>
          <w:trHeight w:hRule="exact" w:val="461"/>
        </w:trPr>
        <w:tc>
          <w:tcPr>
            <w:tcW w:w="1980" w:type="dxa"/>
            <w:shd w:val="pct15" w:color="auto" w:fill="FFFFFF"/>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Total Strategic Development</w:t>
            </w:r>
          </w:p>
        </w:tc>
        <w:tc>
          <w:tcPr>
            <w:tcW w:w="1134" w:type="dxa"/>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1,153</w:t>
            </w:r>
          </w:p>
        </w:tc>
        <w:tc>
          <w:tcPr>
            <w:tcW w:w="1134" w:type="dxa"/>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1,128</w:t>
            </w:r>
          </w:p>
        </w:tc>
        <w:tc>
          <w:tcPr>
            <w:tcW w:w="1134" w:type="dxa"/>
            <w:shd w:val="clear" w:color="auto" w:fill="DDDDDD"/>
            <w:vAlign w:val="center"/>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1,254</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838</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906</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340"/>
              <w:jc w:val="right"/>
              <w:rPr>
                <w:rFonts w:eastAsia="Times New Roman" w:cs="Times New Roman"/>
                <w:b/>
                <w:sz w:val="22"/>
                <w:szCs w:val="22"/>
              </w:rPr>
            </w:pPr>
            <w:r w:rsidRPr="008C5C22">
              <w:rPr>
                <w:b/>
                <w:sz w:val="22"/>
                <w:szCs w:val="22"/>
              </w:rPr>
              <w:t>68</w:t>
            </w:r>
          </w:p>
        </w:tc>
        <w:tc>
          <w:tcPr>
            <w:tcW w:w="1276"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84"/>
              <w:jc w:val="right"/>
              <w:rPr>
                <w:rFonts w:eastAsia="Times New Roman" w:cs="Times New Roman"/>
                <w:b/>
                <w:color w:val="000000"/>
                <w:sz w:val="22"/>
                <w:szCs w:val="22"/>
              </w:rPr>
            </w:pPr>
            <w:r w:rsidRPr="008C5C22">
              <w:rPr>
                <w:b/>
                <w:color w:val="000000"/>
                <w:sz w:val="22"/>
                <w:szCs w:val="22"/>
              </w:rPr>
              <w:t>7.5</w:t>
            </w:r>
          </w:p>
        </w:tc>
      </w:tr>
      <w:tr w:rsidR="008C5C22" w:rsidRPr="00DA7163" w:rsidTr="008C6047">
        <w:trPr>
          <w:trHeight w:hRule="exact" w:val="453"/>
        </w:trPr>
        <w:tc>
          <w:tcPr>
            <w:tcW w:w="1980" w:type="dxa"/>
            <w:tcBorders>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Staff Costs</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4,245</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4,155</w:t>
            </w:r>
          </w:p>
        </w:tc>
        <w:tc>
          <w:tcPr>
            <w:tcW w:w="1134" w:type="dxa"/>
            <w:tcBorders>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3,995</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2,921</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2,959</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340"/>
              <w:jc w:val="right"/>
              <w:rPr>
                <w:rFonts w:eastAsia="Times New Roman" w:cs="Times New Roman"/>
                <w:color w:val="000000"/>
                <w:sz w:val="22"/>
                <w:szCs w:val="22"/>
              </w:rPr>
            </w:pPr>
            <w:r w:rsidRPr="008C5C22">
              <w:rPr>
                <w:color w:val="000000"/>
                <w:sz w:val="22"/>
                <w:szCs w:val="22"/>
              </w:rPr>
              <w:t>38</w:t>
            </w:r>
          </w:p>
        </w:tc>
        <w:tc>
          <w:tcPr>
            <w:tcW w:w="1276"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284"/>
              <w:jc w:val="right"/>
              <w:rPr>
                <w:rFonts w:eastAsia="Times New Roman" w:cs="Times New Roman"/>
                <w:sz w:val="22"/>
                <w:szCs w:val="22"/>
              </w:rPr>
            </w:pPr>
            <w:r w:rsidRPr="008C5C22">
              <w:rPr>
                <w:sz w:val="22"/>
                <w:szCs w:val="22"/>
              </w:rPr>
              <w:t>1.3</w:t>
            </w:r>
          </w:p>
        </w:tc>
      </w:tr>
      <w:tr w:rsidR="008C5C22" w:rsidRPr="00DA7163" w:rsidTr="008C6047">
        <w:trPr>
          <w:trHeight w:val="238"/>
        </w:trPr>
        <w:tc>
          <w:tcPr>
            <w:tcW w:w="1980" w:type="dxa"/>
            <w:tcBorders>
              <w:top w:val="nil"/>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vertAlign w:val="superscript"/>
              </w:rPr>
              <w:t>1</w:t>
            </w:r>
            <w:r w:rsidRPr="00DA7163">
              <w:rPr>
                <w:rFonts w:eastAsia="Times New Roman" w:cs="Times New Roman"/>
                <w:sz w:val="22"/>
                <w:szCs w:val="22"/>
              </w:rPr>
              <w:t>Running Costs</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1,118</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1,315</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1,368</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1,217</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1,279</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340"/>
              <w:jc w:val="right"/>
              <w:rPr>
                <w:rFonts w:eastAsia="Times New Roman" w:cs="Times New Roman"/>
                <w:color w:val="000000"/>
                <w:sz w:val="22"/>
                <w:szCs w:val="22"/>
              </w:rPr>
            </w:pPr>
            <w:r w:rsidRPr="008C5C22">
              <w:rPr>
                <w:color w:val="000000"/>
                <w:sz w:val="22"/>
                <w:szCs w:val="22"/>
              </w:rPr>
              <w:t>62</w:t>
            </w:r>
          </w:p>
        </w:tc>
        <w:tc>
          <w:tcPr>
            <w:tcW w:w="1276" w:type="dxa"/>
            <w:tcBorders>
              <w:top w:val="nil"/>
              <w:left w:val="single" w:sz="6" w:space="0" w:color="auto"/>
              <w:bottom w:val="nil"/>
              <w:right w:val="single" w:sz="6" w:space="0" w:color="auto"/>
            </w:tcBorders>
            <w:shd w:val="clear" w:color="auto" w:fill="auto"/>
            <w:vAlign w:val="center"/>
          </w:tcPr>
          <w:p w:rsidR="008C5C22" w:rsidRPr="008C5C22" w:rsidRDefault="008C5C22" w:rsidP="008C5C22">
            <w:pPr>
              <w:ind w:right="284"/>
              <w:jc w:val="right"/>
              <w:rPr>
                <w:rFonts w:eastAsia="Times New Roman" w:cs="Times New Roman"/>
                <w:sz w:val="22"/>
                <w:szCs w:val="22"/>
              </w:rPr>
            </w:pPr>
            <w:r w:rsidRPr="008C5C22">
              <w:rPr>
                <w:sz w:val="22"/>
                <w:szCs w:val="22"/>
              </w:rPr>
              <w:t>4.9</w:t>
            </w:r>
          </w:p>
        </w:tc>
      </w:tr>
      <w:tr w:rsidR="008C5C22" w:rsidRPr="00DA7163" w:rsidTr="008C6047">
        <w:trPr>
          <w:trHeight w:val="284"/>
        </w:trPr>
        <w:tc>
          <w:tcPr>
            <w:tcW w:w="1980" w:type="dxa"/>
            <w:tcBorders>
              <w:top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Capital Costs</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100</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100</w:t>
            </w:r>
          </w:p>
        </w:tc>
        <w:tc>
          <w:tcPr>
            <w:tcW w:w="1134" w:type="dxa"/>
            <w:tcBorders>
              <w:top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50</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7</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46</w:t>
            </w:r>
          </w:p>
        </w:tc>
        <w:tc>
          <w:tcPr>
            <w:tcW w:w="1134" w:type="dxa"/>
            <w:tcBorders>
              <w:top w:val="nil"/>
              <w:left w:val="single" w:sz="6" w:space="0" w:color="auto"/>
              <w:bottom w:val="single" w:sz="6" w:space="0" w:color="auto"/>
              <w:right w:val="single" w:sz="6" w:space="0" w:color="auto"/>
            </w:tcBorders>
            <w:shd w:val="clear" w:color="auto" w:fill="auto"/>
            <w:vAlign w:val="center"/>
          </w:tcPr>
          <w:p w:rsidR="008C5C22" w:rsidRPr="008C5C22" w:rsidRDefault="008C5C22" w:rsidP="008C5C22">
            <w:pPr>
              <w:ind w:right="340"/>
              <w:jc w:val="right"/>
              <w:rPr>
                <w:rFonts w:eastAsia="Times New Roman" w:cs="Times New Roman"/>
                <w:color w:val="000000"/>
                <w:sz w:val="22"/>
                <w:szCs w:val="22"/>
              </w:rPr>
            </w:pPr>
            <w:r w:rsidRPr="008C5C22">
              <w:rPr>
                <w:color w:val="000000"/>
                <w:sz w:val="22"/>
                <w:szCs w:val="22"/>
              </w:rPr>
              <w:t>39</w:t>
            </w:r>
          </w:p>
        </w:tc>
        <w:tc>
          <w:tcPr>
            <w:tcW w:w="1276" w:type="dxa"/>
            <w:tcBorders>
              <w:top w:val="nil"/>
              <w:left w:val="single" w:sz="6" w:space="0" w:color="auto"/>
              <w:bottom w:val="single" w:sz="6" w:space="0" w:color="auto"/>
              <w:right w:val="single" w:sz="6" w:space="0" w:color="auto"/>
            </w:tcBorders>
            <w:shd w:val="clear" w:color="auto" w:fill="auto"/>
            <w:vAlign w:val="center"/>
          </w:tcPr>
          <w:p w:rsidR="008C5C22" w:rsidRPr="008C5C22" w:rsidRDefault="008C5C22" w:rsidP="008C5C22">
            <w:pPr>
              <w:ind w:right="284"/>
              <w:jc w:val="right"/>
              <w:rPr>
                <w:rFonts w:eastAsia="Times New Roman" w:cs="Times New Roman"/>
                <w:sz w:val="22"/>
                <w:szCs w:val="22"/>
              </w:rPr>
            </w:pPr>
            <w:r w:rsidRPr="008C5C22">
              <w:rPr>
                <w:sz w:val="22"/>
                <w:szCs w:val="22"/>
              </w:rPr>
              <w:t>84.9</w:t>
            </w:r>
          </w:p>
        </w:tc>
      </w:tr>
      <w:tr w:rsidR="008C5C22" w:rsidRPr="00DA7163" w:rsidTr="008C6047">
        <w:trPr>
          <w:trHeight w:hRule="exact" w:val="461"/>
        </w:trPr>
        <w:tc>
          <w:tcPr>
            <w:tcW w:w="1980" w:type="dxa"/>
            <w:shd w:val="pct15" w:color="auto" w:fill="FFFFFF"/>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Total Corporate Services &amp; Accounts</w:t>
            </w:r>
          </w:p>
        </w:tc>
        <w:tc>
          <w:tcPr>
            <w:tcW w:w="1134" w:type="dxa"/>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5,463</w:t>
            </w:r>
          </w:p>
        </w:tc>
        <w:tc>
          <w:tcPr>
            <w:tcW w:w="1134" w:type="dxa"/>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5,570</w:t>
            </w:r>
          </w:p>
        </w:tc>
        <w:tc>
          <w:tcPr>
            <w:tcW w:w="1134" w:type="dxa"/>
            <w:shd w:val="clear" w:color="auto" w:fill="DDDDDD"/>
            <w:vAlign w:val="center"/>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5,413</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4,145</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278"/>
              <w:jc w:val="right"/>
              <w:rPr>
                <w:rFonts w:eastAsia="Times New Roman" w:cs="Times New Roman"/>
                <w:b/>
                <w:sz w:val="22"/>
                <w:szCs w:val="22"/>
              </w:rPr>
            </w:pPr>
            <w:r w:rsidRPr="008C5C22">
              <w:rPr>
                <w:b/>
                <w:sz w:val="22"/>
                <w:szCs w:val="22"/>
              </w:rPr>
              <w:t>4,284</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340"/>
              <w:jc w:val="right"/>
              <w:rPr>
                <w:rFonts w:eastAsia="Times New Roman" w:cs="Times New Roman"/>
                <w:b/>
                <w:sz w:val="22"/>
                <w:szCs w:val="22"/>
              </w:rPr>
            </w:pPr>
            <w:r w:rsidRPr="008C5C22">
              <w:rPr>
                <w:b/>
                <w:sz w:val="22"/>
                <w:szCs w:val="22"/>
              </w:rPr>
              <w:t>139</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284"/>
              <w:jc w:val="right"/>
              <w:rPr>
                <w:rFonts w:eastAsia="Times New Roman" w:cs="Times New Roman"/>
                <w:b/>
                <w:sz w:val="22"/>
                <w:szCs w:val="22"/>
              </w:rPr>
            </w:pPr>
            <w:r w:rsidRPr="008C5C22">
              <w:rPr>
                <w:b/>
                <w:sz w:val="22"/>
                <w:szCs w:val="22"/>
              </w:rPr>
              <w:t>3.2</w:t>
            </w:r>
          </w:p>
        </w:tc>
      </w:tr>
      <w:tr w:rsidR="008C5C22" w:rsidRPr="00DA7163" w:rsidTr="008C6047">
        <w:trPr>
          <w:trHeight w:val="453"/>
        </w:trPr>
        <w:tc>
          <w:tcPr>
            <w:tcW w:w="1980" w:type="dxa"/>
            <w:tcBorders>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Staff Costs</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3,605</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3,533</w:t>
            </w:r>
          </w:p>
        </w:tc>
        <w:tc>
          <w:tcPr>
            <w:tcW w:w="1134" w:type="dxa"/>
            <w:tcBorders>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3,513</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2,625</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2,633</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tabs>
                <w:tab w:val="left" w:pos="895"/>
              </w:tabs>
              <w:ind w:right="340"/>
              <w:jc w:val="right"/>
              <w:rPr>
                <w:rFonts w:eastAsia="Times New Roman" w:cs="Times New Roman"/>
                <w:sz w:val="22"/>
                <w:szCs w:val="22"/>
              </w:rPr>
            </w:pPr>
            <w:r w:rsidRPr="008C5C22">
              <w:rPr>
                <w:sz w:val="22"/>
                <w:szCs w:val="22"/>
              </w:rPr>
              <w:t>8</w:t>
            </w:r>
          </w:p>
        </w:tc>
        <w:tc>
          <w:tcPr>
            <w:tcW w:w="1276"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0.3</w:t>
            </w:r>
          </w:p>
        </w:tc>
      </w:tr>
      <w:tr w:rsidR="008C5C22" w:rsidRPr="00DA7163" w:rsidTr="008C6047">
        <w:trPr>
          <w:trHeight w:val="225"/>
        </w:trPr>
        <w:tc>
          <w:tcPr>
            <w:tcW w:w="1980" w:type="dxa"/>
            <w:tcBorders>
              <w:top w:val="nil"/>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Running Costs</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91</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99</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99</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62</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75</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13</w:t>
            </w:r>
          </w:p>
        </w:tc>
        <w:tc>
          <w:tcPr>
            <w:tcW w:w="1276" w:type="dxa"/>
            <w:tcBorders>
              <w:top w:val="nil"/>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17.0</w:t>
            </w:r>
          </w:p>
        </w:tc>
      </w:tr>
      <w:tr w:rsidR="008C5C22" w:rsidRPr="00DA7163" w:rsidTr="008C6047">
        <w:trPr>
          <w:trHeight w:val="225"/>
        </w:trPr>
        <w:tc>
          <w:tcPr>
            <w:tcW w:w="1980" w:type="dxa"/>
            <w:tcBorders>
              <w:top w:val="nil"/>
              <w:bottom w:val="single" w:sz="4" w:space="0" w:color="auto"/>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Capital Costs</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w:t>
            </w:r>
          </w:p>
        </w:tc>
        <w:tc>
          <w:tcPr>
            <w:tcW w:w="1276"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84"/>
              <w:jc w:val="right"/>
              <w:rPr>
                <w:rFonts w:eastAsia="Times New Roman" w:cs="Times New Roman"/>
                <w:color w:val="000000"/>
                <w:sz w:val="22"/>
                <w:szCs w:val="22"/>
              </w:rPr>
            </w:pPr>
            <w:r w:rsidRPr="008C5C22">
              <w:rPr>
                <w:sz w:val="22"/>
                <w:szCs w:val="22"/>
              </w:rPr>
              <w:t>-</w:t>
            </w:r>
          </w:p>
        </w:tc>
      </w:tr>
      <w:tr w:rsidR="008C5C22" w:rsidRPr="00DA7163" w:rsidTr="008C6047">
        <w:trPr>
          <w:trHeight w:val="397"/>
        </w:trPr>
        <w:tc>
          <w:tcPr>
            <w:tcW w:w="1980" w:type="dxa"/>
            <w:tcBorders>
              <w:bottom w:val="single" w:sz="4" w:space="0" w:color="auto"/>
            </w:tcBorders>
            <w:shd w:val="clear" w:color="auto" w:fill="D9D9D9"/>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Total Operations</w:t>
            </w:r>
          </w:p>
        </w:tc>
        <w:tc>
          <w:tcPr>
            <w:tcW w:w="1134" w:type="dxa"/>
            <w:tcBorders>
              <w:bottom w:val="single" w:sz="4" w:space="0" w:color="auto"/>
            </w:tcBorders>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3,696</w:t>
            </w:r>
          </w:p>
        </w:tc>
        <w:tc>
          <w:tcPr>
            <w:tcW w:w="1134" w:type="dxa"/>
            <w:tcBorders>
              <w:bottom w:val="single" w:sz="4" w:space="0" w:color="auto"/>
            </w:tcBorders>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3,632</w:t>
            </w:r>
          </w:p>
        </w:tc>
        <w:tc>
          <w:tcPr>
            <w:tcW w:w="1134" w:type="dxa"/>
            <w:tcBorders>
              <w:bottom w:val="single" w:sz="4" w:space="0" w:color="auto"/>
            </w:tcBorders>
            <w:shd w:val="clear" w:color="auto" w:fill="DDDDDD"/>
            <w:vAlign w:val="center"/>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3,612</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2,687</w:t>
            </w:r>
          </w:p>
        </w:tc>
        <w:tc>
          <w:tcPr>
            <w:tcW w:w="1134"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2,708</w:t>
            </w:r>
          </w:p>
        </w:tc>
        <w:tc>
          <w:tcPr>
            <w:tcW w:w="1134"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340"/>
              <w:jc w:val="right"/>
              <w:rPr>
                <w:rFonts w:eastAsia="Times New Roman" w:cs="Times New Roman"/>
                <w:b/>
                <w:sz w:val="22"/>
                <w:szCs w:val="22"/>
              </w:rPr>
            </w:pPr>
            <w:r w:rsidRPr="008C5C22">
              <w:rPr>
                <w:b/>
                <w:sz w:val="22"/>
                <w:szCs w:val="22"/>
              </w:rPr>
              <w:t>21</w:t>
            </w:r>
          </w:p>
        </w:tc>
        <w:tc>
          <w:tcPr>
            <w:tcW w:w="1276"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284"/>
              <w:jc w:val="right"/>
              <w:rPr>
                <w:rFonts w:eastAsia="Times New Roman" w:cs="Times New Roman"/>
                <w:b/>
                <w:sz w:val="22"/>
                <w:szCs w:val="22"/>
              </w:rPr>
            </w:pPr>
            <w:r w:rsidRPr="008C5C22">
              <w:rPr>
                <w:b/>
                <w:sz w:val="22"/>
                <w:szCs w:val="22"/>
              </w:rPr>
              <w:t>0.8</w:t>
            </w:r>
          </w:p>
        </w:tc>
      </w:tr>
      <w:tr w:rsidR="008C5C22" w:rsidRPr="00DA7163" w:rsidTr="008C6047">
        <w:trPr>
          <w:trHeight w:val="453"/>
        </w:trPr>
        <w:tc>
          <w:tcPr>
            <w:tcW w:w="1980" w:type="dxa"/>
            <w:tcBorders>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Staff Costs</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248</w:t>
            </w:r>
          </w:p>
        </w:tc>
        <w:tc>
          <w:tcPr>
            <w:tcW w:w="1134" w:type="dxa"/>
            <w:tcBorders>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218</w:t>
            </w:r>
          </w:p>
        </w:tc>
        <w:tc>
          <w:tcPr>
            <w:tcW w:w="1134" w:type="dxa"/>
            <w:tcBorders>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266</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190</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188</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(2)</w:t>
            </w:r>
          </w:p>
        </w:tc>
        <w:tc>
          <w:tcPr>
            <w:tcW w:w="1276"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(1.0)</w:t>
            </w:r>
          </w:p>
        </w:tc>
      </w:tr>
      <w:tr w:rsidR="008C5C22" w:rsidRPr="00DA7163" w:rsidTr="008C6047">
        <w:trPr>
          <w:trHeight w:val="225"/>
        </w:trPr>
        <w:tc>
          <w:tcPr>
            <w:tcW w:w="1980" w:type="dxa"/>
            <w:tcBorders>
              <w:top w:val="nil"/>
              <w:bottom w:val="nil"/>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Running Costs</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45</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45</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(14)</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(32)</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5</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37</w:t>
            </w:r>
          </w:p>
        </w:tc>
        <w:tc>
          <w:tcPr>
            <w:tcW w:w="1276" w:type="dxa"/>
            <w:tcBorders>
              <w:top w:val="nil"/>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34.5</w:t>
            </w:r>
          </w:p>
        </w:tc>
      </w:tr>
      <w:tr w:rsidR="008C5C22" w:rsidRPr="00DA7163" w:rsidTr="008C6047">
        <w:trPr>
          <w:trHeight w:val="225"/>
        </w:trPr>
        <w:tc>
          <w:tcPr>
            <w:tcW w:w="1980" w:type="dxa"/>
            <w:tcBorders>
              <w:top w:val="nil"/>
              <w:bottom w:val="single" w:sz="4" w:space="0" w:color="auto"/>
            </w:tcBorders>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Capital Costs</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w:t>
            </w:r>
          </w:p>
        </w:tc>
        <w:tc>
          <w:tcPr>
            <w:tcW w:w="1134" w:type="dxa"/>
            <w:tcBorders>
              <w:top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340"/>
              <w:jc w:val="right"/>
              <w:rPr>
                <w:rFonts w:eastAsia="Times New Roman" w:cs="Times New Roman"/>
                <w:sz w:val="22"/>
                <w:szCs w:val="22"/>
              </w:rPr>
            </w:pPr>
            <w:r w:rsidRPr="008C5C22">
              <w:rPr>
                <w:sz w:val="22"/>
                <w:szCs w:val="22"/>
              </w:rPr>
              <w:t>-</w:t>
            </w:r>
          </w:p>
        </w:tc>
        <w:tc>
          <w:tcPr>
            <w:tcW w:w="1276"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n/a</w:t>
            </w:r>
          </w:p>
        </w:tc>
      </w:tr>
      <w:tr w:rsidR="008C5C22" w:rsidRPr="00DA7163" w:rsidTr="008C6047">
        <w:trPr>
          <w:trHeight w:val="397"/>
        </w:trPr>
        <w:tc>
          <w:tcPr>
            <w:tcW w:w="1980" w:type="dxa"/>
            <w:tcBorders>
              <w:bottom w:val="single" w:sz="4" w:space="0" w:color="auto"/>
            </w:tcBorders>
            <w:shd w:val="clear" w:color="auto" w:fill="D9D9D9"/>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Total Legal Services</w:t>
            </w:r>
          </w:p>
        </w:tc>
        <w:tc>
          <w:tcPr>
            <w:tcW w:w="1134" w:type="dxa"/>
            <w:tcBorders>
              <w:bottom w:val="single" w:sz="4" w:space="0" w:color="auto"/>
            </w:tcBorders>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293</w:t>
            </w:r>
          </w:p>
        </w:tc>
        <w:tc>
          <w:tcPr>
            <w:tcW w:w="1134" w:type="dxa"/>
            <w:tcBorders>
              <w:bottom w:val="single" w:sz="4" w:space="0" w:color="auto"/>
            </w:tcBorders>
            <w:shd w:val="clear" w:color="auto" w:fill="D9D9D9" w:themeFill="background1" w:themeFillShade="D9"/>
            <w:vAlign w:val="center"/>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263</w:t>
            </w:r>
          </w:p>
        </w:tc>
        <w:tc>
          <w:tcPr>
            <w:tcW w:w="1134" w:type="dxa"/>
            <w:tcBorders>
              <w:bottom w:val="single" w:sz="4" w:space="0" w:color="auto"/>
            </w:tcBorders>
            <w:shd w:val="clear" w:color="auto" w:fill="DDDDDD"/>
            <w:vAlign w:val="center"/>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252</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158</w:t>
            </w:r>
          </w:p>
        </w:tc>
        <w:tc>
          <w:tcPr>
            <w:tcW w:w="1134"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278"/>
              <w:jc w:val="right"/>
              <w:rPr>
                <w:rFonts w:eastAsia="Times New Roman" w:cs="Times New Roman"/>
                <w:sz w:val="22"/>
                <w:szCs w:val="22"/>
              </w:rPr>
            </w:pPr>
            <w:r w:rsidRPr="008C5C22">
              <w:rPr>
                <w:b/>
                <w:color w:val="000000"/>
                <w:sz w:val="22"/>
                <w:szCs w:val="22"/>
              </w:rPr>
              <w:t>193</w:t>
            </w:r>
          </w:p>
        </w:tc>
        <w:tc>
          <w:tcPr>
            <w:tcW w:w="1134"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340"/>
              <w:jc w:val="right"/>
              <w:rPr>
                <w:rFonts w:eastAsia="Times New Roman" w:cs="Times New Roman"/>
                <w:b/>
                <w:sz w:val="22"/>
                <w:szCs w:val="22"/>
              </w:rPr>
            </w:pPr>
            <w:r w:rsidRPr="008C5C22">
              <w:rPr>
                <w:b/>
                <w:sz w:val="22"/>
                <w:szCs w:val="22"/>
              </w:rPr>
              <w:t>35</w:t>
            </w:r>
          </w:p>
        </w:tc>
        <w:tc>
          <w:tcPr>
            <w:tcW w:w="1276" w:type="dxa"/>
            <w:tcBorders>
              <w:top w:val="single" w:sz="6" w:space="0" w:color="auto"/>
              <w:left w:val="single" w:sz="6" w:space="0" w:color="auto"/>
              <w:bottom w:val="single" w:sz="4" w:space="0" w:color="auto"/>
              <w:right w:val="single" w:sz="6" w:space="0" w:color="auto"/>
            </w:tcBorders>
            <w:shd w:val="clear" w:color="auto" w:fill="D9D9D9"/>
            <w:vAlign w:val="center"/>
          </w:tcPr>
          <w:p w:rsidR="008C5C22" w:rsidRPr="008C5C22" w:rsidRDefault="008C5C22" w:rsidP="008C5C22">
            <w:pPr>
              <w:ind w:right="284"/>
              <w:jc w:val="right"/>
              <w:rPr>
                <w:rFonts w:eastAsia="Times New Roman" w:cs="Times New Roman"/>
                <w:b/>
                <w:sz w:val="22"/>
                <w:szCs w:val="22"/>
              </w:rPr>
            </w:pPr>
            <w:r w:rsidRPr="008C5C22">
              <w:rPr>
                <w:b/>
                <w:sz w:val="22"/>
                <w:szCs w:val="22"/>
              </w:rPr>
              <w:t>18.4</w:t>
            </w:r>
          </w:p>
        </w:tc>
      </w:tr>
      <w:tr w:rsidR="008C5C22" w:rsidRPr="00DA7163" w:rsidTr="008C6047">
        <w:trPr>
          <w:trHeight w:hRule="exact" w:val="453"/>
        </w:trPr>
        <w:tc>
          <w:tcPr>
            <w:tcW w:w="1980" w:type="dxa"/>
            <w:tcBorders>
              <w:top w:val="single" w:sz="4" w:space="0" w:color="auto"/>
              <w:left w:val="single" w:sz="4" w:space="0" w:color="auto"/>
              <w:bottom w:val="nil"/>
              <w:right w:val="single" w:sz="4" w:space="0" w:color="auto"/>
            </w:tcBorders>
            <w:vAlign w:val="bottom"/>
          </w:tcPr>
          <w:p w:rsidR="008C5C22" w:rsidRPr="00DA7163" w:rsidRDefault="008C5C22" w:rsidP="008C5C22">
            <w:pPr>
              <w:jc w:val="right"/>
              <w:rPr>
                <w:rFonts w:eastAsia="Times New Roman" w:cs="Times New Roman"/>
                <w:b/>
                <w:sz w:val="22"/>
                <w:szCs w:val="22"/>
              </w:rPr>
            </w:pPr>
            <w:r w:rsidRPr="00DA7163">
              <w:rPr>
                <w:rFonts w:eastAsia="Times New Roman" w:cs="Times New Roman"/>
                <w:b/>
                <w:sz w:val="22"/>
                <w:szCs w:val="22"/>
              </w:rPr>
              <w:t>Total Staff</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9,220</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9,005</w:t>
            </w:r>
          </w:p>
        </w:tc>
        <w:tc>
          <w:tcPr>
            <w:tcW w:w="1134" w:type="dxa"/>
            <w:tcBorders>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8,977</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6,618</w:t>
            </w:r>
          </w:p>
        </w:tc>
        <w:tc>
          <w:tcPr>
            <w:tcW w:w="1134"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b/>
                <w:color w:val="000000"/>
                <w:sz w:val="22"/>
                <w:szCs w:val="22"/>
              </w:rPr>
            </w:pPr>
            <w:r w:rsidRPr="008C5C22">
              <w:rPr>
                <w:color w:val="000000"/>
                <w:sz w:val="22"/>
                <w:szCs w:val="22"/>
              </w:rPr>
              <w:t>6,674</w:t>
            </w:r>
          </w:p>
        </w:tc>
        <w:tc>
          <w:tcPr>
            <w:tcW w:w="1134" w:type="dxa"/>
            <w:tcBorders>
              <w:top w:val="single" w:sz="6" w:space="0" w:color="auto"/>
              <w:left w:val="single" w:sz="6" w:space="0" w:color="auto"/>
              <w:bottom w:val="nil"/>
              <w:right w:val="single" w:sz="6" w:space="0" w:color="auto"/>
            </w:tcBorders>
            <w:shd w:val="clear" w:color="auto" w:fill="auto"/>
            <w:vAlign w:val="bottom"/>
          </w:tcPr>
          <w:p w:rsidR="008C5C22" w:rsidRPr="008C5C22" w:rsidRDefault="008C5C22" w:rsidP="008C5C22">
            <w:pPr>
              <w:ind w:right="340"/>
              <w:jc w:val="right"/>
              <w:rPr>
                <w:rFonts w:eastAsia="Times New Roman" w:cs="Times New Roman"/>
                <w:sz w:val="22"/>
                <w:szCs w:val="22"/>
              </w:rPr>
            </w:pPr>
            <w:r w:rsidRPr="008C5C22">
              <w:rPr>
                <w:sz w:val="22"/>
                <w:szCs w:val="22"/>
              </w:rPr>
              <w:t>56</w:t>
            </w:r>
          </w:p>
        </w:tc>
        <w:tc>
          <w:tcPr>
            <w:tcW w:w="1276" w:type="dxa"/>
            <w:tcBorders>
              <w:top w:val="single" w:sz="6" w:space="0" w:color="auto"/>
              <w:left w:val="single" w:sz="6" w:space="0" w:color="auto"/>
              <w:bottom w:val="nil"/>
              <w:right w:val="single" w:sz="6" w:space="0" w:color="auto"/>
            </w:tcBorders>
            <w:vAlign w:val="bottom"/>
          </w:tcPr>
          <w:p w:rsidR="008C5C22" w:rsidRPr="008C5C22" w:rsidRDefault="008C5C22" w:rsidP="008C5C22">
            <w:pPr>
              <w:ind w:right="284"/>
              <w:jc w:val="right"/>
              <w:rPr>
                <w:rFonts w:eastAsia="Times New Roman" w:cs="Times New Roman"/>
                <w:sz w:val="22"/>
                <w:szCs w:val="22"/>
              </w:rPr>
            </w:pPr>
            <w:r w:rsidRPr="008C5C22">
              <w:rPr>
                <w:sz w:val="22"/>
                <w:szCs w:val="22"/>
              </w:rPr>
              <w:t>(0.9)</w:t>
            </w:r>
          </w:p>
        </w:tc>
      </w:tr>
      <w:tr w:rsidR="008C5C22" w:rsidRPr="00DA7163" w:rsidTr="008C6047">
        <w:trPr>
          <w:trHeight w:hRule="exact" w:val="249"/>
        </w:trPr>
        <w:tc>
          <w:tcPr>
            <w:tcW w:w="1980" w:type="dxa"/>
            <w:tcBorders>
              <w:top w:val="nil"/>
              <w:bottom w:val="nil"/>
            </w:tcBorders>
            <w:vAlign w:val="bottom"/>
          </w:tcPr>
          <w:p w:rsidR="008C5C22" w:rsidRPr="00DA7163" w:rsidRDefault="008C5C22" w:rsidP="008C5C22">
            <w:pPr>
              <w:jc w:val="right"/>
              <w:rPr>
                <w:rFonts w:eastAsia="Times New Roman" w:cs="Times New Roman"/>
                <w:b/>
                <w:sz w:val="22"/>
                <w:szCs w:val="22"/>
              </w:rPr>
            </w:pPr>
            <w:r w:rsidRPr="00DA7163">
              <w:rPr>
                <w:rFonts w:eastAsia="Times New Roman" w:cs="Times New Roman"/>
                <w:b/>
                <w:sz w:val="22"/>
                <w:szCs w:val="22"/>
              </w:rPr>
              <w:t>Total Running</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1,285</w:t>
            </w:r>
          </w:p>
        </w:tc>
        <w:tc>
          <w:tcPr>
            <w:tcW w:w="1134" w:type="dxa"/>
            <w:tcBorders>
              <w:top w:val="nil"/>
              <w:bottom w:val="nil"/>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1,488</w:t>
            </w:r>
          </w:p>
        </w:tc>
        <w:tc>
          <w:tcPr>
            <w:tcW w:w="1134" w:type="dxa"/>
            <w:tcBorders>
              <w:top w:val="nil"/>
              <w:bottom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1,453</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1,203</w:t>
            </w:r>
          </w:p>
        </w:tc>
        <w:tc>
          <w:tcPr>
            <w:tcW w:w="1134" w:type="dxa"/>
            <w:tcBorders>
              <w:top w:val="nil"/>
              <w:left w:val="single" w:sz="6" w:space="0" w:color="auto"/>
              <w:bottom w:val="nil"/>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1,351</w:t>
            </w:r>
          </w:p>
        </w:tc>
        <w:tc>
          <w:tcPr>
            <w:tcW w:w="1134" w:type="dxa"/>
            <w:tcBorders>
              <w:top w:val="nil"/>
              <w:left w:val="single" w:sz="6" w:space="0" w:color="auto"/>
              <w:bottom w:val="nil"/>
              <w:right w:val="single" w:sz="6" w:space="0" w:color="auto"/>
            </w:tcBorders>
            <w:shd w:val="clear" w:color="auto" w:fill="auto"/>
            <w:vAlign w:val="bottom"/>
          </w:tcPr>
          <w:p w:rsidR="008C5C22" w:rsidRPr="008C5C22" w:rsidRDefault="008C5C22" w:rsidP="008C5C22">
            <w:pPr>
              <w:ind w:right="340"/>
              <w:jc w:val="right"/>
              <w:rPr>
                <w:rFonts w:eastAsia="Times New Roman" w:cs="Times New Roman"/>
                <w:sz w:val="22"/>
                <w:szCs w:val="22"/>
              </w:rPr>
            </w:pPr>
            <w:r w:rsidRPr="008C5C22">
              <w:rPr>
                <w:sz w:val="22"/>
                <w:szCs w:val="22"/>
              </w:rPr>
              <w:t xml:space="preserve">  148</w:t>
            </w:r>
          </w:p>
        </w:tc>
        <w:tc>
          <w:tcPr>
            <w:tcW w:w="1276" w:type="dxa"/>
            <w:tcBorders>
              <w:top w:val="nil"/>
              <w:left w:val="single" w:sz="6" w:space="0" w:color="auto"/>
              <w:bottom w:val="nil"/>
              <w:right w:val="single" w:sz="6" w:space="0" w:color="auto"/>
            </w:tcBorders>
            <w:vAlign w:val="center"/>
          </w:tcPr>
          <w:p w:rsidR="008C5C22" w:rsidRPr="008C5C22" w:rsidRDefault="008C5C22" w:rsidP="008C5C22">
            <w:pPr>
              <w:ind w:right="284"/>
              <w:jc w:val="right"/>
              <w:rPr>
                <w:rFonts w:eastAsia="Times New Roman" w:cs="Times New Roman"/>
                <w:sz w:val="22"/>
                <w:szCs w:val="22"/>
              </w:rPr>
            </w:pPr>
            <w:r w:rsidRPr="008C5C22">
              <w:rPr>
                <w:sz w:val="22"/>
                <w:szCs w:val="22"/>
              </w:rPr>
              <w:t>13.3</w:t>
            </w:r>
          </w:p>
        </w:tc>
      </w:tr>
      <w:tr w:rsidR="008C5C22" w:rsidRPr="00DA7163" w:rsidTr="008C6047">
        <w:trPr>
          <w:trHeight w:hRule="exact" w:val="271"/>
        </w:trPr>
        <w:tc>
          <w:tcPr>
            <w:tcW w:w="1980" w:type="dxa"/>
            <w:tcBorders>
              <w:top w:val="nil"/>
              <w:bottom w:val="single" w:sz="4" w:space="0" w:color="auto"/>
            </w:tcBorders>
            <w:vAlign w:val="bottom"/>
          </w:tcPr>
          <w:p w:rsidR="008C5C22" w:rsidRPr="00DA7163" w:rsidRDefault="008C5C22" w:rsidP="008C5C22">
            <w:pPr>
              <w:jc w:val="right"/>
              <w:rPr>
                <w:rFonts w:eastAsia="Times New Roman" w:cs="Times New Roman"/>
                <w:b/>
                <w:sz w:val="22"/>
                <w:szCs w:val="22"/>
              </w:rPr>
            </w:pPr>
            <w:r w:rsidRPr="00DA7163">
              <w:rPr>
                <w:rFonts w:eastAsia="Times New Roman" w:cs="Times New Roman"/>
                <w:b/>
                <w:sz w:val="22"/>
                <w:szCs w:val="22"/>
              </w:rPr>
              <w:t>Total Capital</w:t>
            </w:r>
          </w:p>
        </w:tc>
        <w:tc>
          <w:tcPr>
            <w:tcW w:w="1134" w:type="dxa"/>
            <w:tcBorders>
              <w:top w:val="nil"/>
              <w:bottom w:val="single" w:sz="4" w:space="0" w:color="auto"/>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100</w:t>
            </w:r>
          </w:p>
        </w:tc>
        <w:tc>
          <w:tcPr>
            <w:tcW w:w="1134" w:type="dxa"/>
            <w:tcBorders>
              <w:top w:val="nil"/>
              <w:bottom w:val="single" w:sz="4" w:space="0" w:color="auto"/>
            </w:tcBorders>
            <w:shd w:val="clear" w:color="auto" w:fill="D9D9D9" w:themeFill="background1" w:themeFillShade="D9"/>
            <w:vAlign w:val="bottom"/>
          </w:tcPr>
          <w:p w:rsidR="008C5C22" w:rsidRPr="00DA7163" w:rsidRDefault="008C5C22" w:rsidP="008C5C22">
            <w:pPr>
              <w:ind w:right="170"/>
              <w:jc w:val="right"/>
              <w:rPr>
                <w:rFonts w:eastAsia="Times New Roman" w:cs="Times New Roman"/>
                <w:b/>
                <w:color w:val="000000"/>
                <w:sz w:val="22"/>
                <w:szCs w:val="22"/>
              </w:rPr>
            </w:pPr>
            <w:r w:rsidRPr="00DA7163">
              <w:rPr>
                <w:rFonts w:eastAsia="Times New Roman" w:cs="Times New Roman"/>
                <w:b/>
                <w:color w:val="000000"/>
                <w:sz w:val="22"/>
                <w:szCs w:val="22"/>
              </w:rPr>
              <w:t>100</w:t>
            </w:r>
          </w:p>
        </w:tc>
        <w:tc>
          <w:tcPr>
            <w:tcW w:w="1134" w:type="dxa"/>
            <w:tcBorders>
              <w:top w:val="nil"/>
            </w:tcBorders>
            <w:shd w:val="clear" w:color="auto" w:fill="DDDDDD"/>
            <w:vAlign w:val="bottom"/>
          </w:tcPr>
          <w:p w:rsidR="008C5C22" w:rsidRPr="008C5C22" w:rsidRDefault="008C5C22" w:rsidP="008C5C22">
            <w:pPr>
              <w:ind w:right="170"/>
              <w:jc w:val="right"/>
              <w:rPr>
                <w:rFonts w:eastAsia="Times New Roman" w:cs="Times New Roman"/>
                <w:b/>
                <w:color w:val="000000"/>
                <w:sz w:val="22"/>
                <w:szCs w:val="22"/>
              </w:rPr>
            </w:pPr>
            <w:r w:rsidRPr="008C5C22">
              <w:rPr>
                <w:b/>
                <w:color w:val="000000"/>
                <w:sz w:val="22"/>
                <w:szCs w:val="22"/>
              </w:rPr>
              <w:t>100</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7</w:t>
            </w:r>
          </w:p>
        </w:tc>
        <w:tc>
          <w:tcPr>
            <w:tcW w:w="1134" w:type="dxa"/>
            <w:tcBorders>
              <w:top w:val="nil"/>
              <w:left w:val="single" w:sz="6" w:space="0" w:color="auto"/>
              <w:bottom w:val="single" w:sz="6" w:space="0" w:color="auto"/>
              <w:right w:val="single" w:sz="6" w:space="0" w:color="auto"/>
            </w:tcBorders>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66</w:t>
            </w:r>
          </w:p>
        </w:tc>
        <w:tc>
          <w:tcPr>
            <w:tcW w:w="1134" w:type="dxa"/>
            <w:tcBorders>
              <w:top w:val="nil"/>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340"/>
              <w:jc w:val="right"/>
              <w:rPr>
                <w:rFonts w:eastAsia="Times New Roman" w:cs="Times New Roman"/>
                <w:color w:val="000000"/>
                <w:sz w:val="22"/>
                <w:szCs w:val="22"/>
              </w:rPr>
            </w:pPr>
            <w:r w:rsidRPr="008C5C22">
              <w:rPr>
                <w:color w:val="000000"/>
                <w:sz w:val="22"/>
                <w:szCs w:val="22"/>
              </w:rPr>
              <w:t>59</w:t>
            </w:r>
          </w:p>
        </w:tc>
        <w:tc>
          <w:tcPr>
            <w:tcW w:w="1276" w:type="dxa"/>
            <w:tcBorders>
              <w:top w:val="nil"/>
              <w:left w:val="single" w:sz="6" w:space="0" w:color="auto"/>
              <w:bottom w:val="single" w:sz="6" w:space="0" w:color="auto"/>
              <w:right w:val="single" w:sz="6" w:space="0" w:color="auto"/>
            </w:tcBorders>
            <w:vAlign w:val="center"/>
          </w:tcPr>
          <w:p w:rsidR="008C5C22" w:rsidRPr="008C5C22" w:rsidRDefault="008C5C22" w:rsidP="008C5C22">
            <w:pPr>
              <w:ind w:right="284"/>
              <w:jc w:val="right"/>
              <w:rPr>
                <w:rFonts w:eastAsia="Times New Roman" w:cs="Times New Roman"/>
                <w:sz w:val="22"/>
                <w:szCs w:val="22"/>
              </w:rPr>
            </w:pPr>
            <w:r w:rsidRPr="008C5C22">
              <w:rPr>
                <w:sz w:val="22"/>
                <w:szCs w:val="22"/>
              </w:rPr>
              <w:t>107.8</w:t>
            </w:r>
          </w:p>
        </w:tc>
      </w:tr>
      <w:tr w:rsidR="008C5C22" w:rsidRPr="00DA7163" w:rsidTr="008C6047">
        <w:trPr>
          <w:trHeight w:val="454"/>
        </w:trPr>
        <w:tc>
          <w:tcPr>
            <w:tcW w:w="1980" w:type="dxa"/>
            <w:tcBorders>
              <w:top w:val="single" w:sz="4" w:space="0" w:color="auto"/>
            </w:tcBorders>
            <w:shd w:val="pct15" w:color="auto" w:fill="auto"/>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TOTAL EXCLUDING PENSIONS</w:t>
            </w:r>
          </w:p>
        </w:tc>
        <w:tc>
          <w:tcPr>
            <w:tcW w:w="1134" w:type="dxa"/>
            <w:tcBorders>
              <w:top w:val="single" w:sz="4" w:space="0" w:color="auto"/>
            </w:tcBorders>
            <w:shd w:val="clear" w:color="auto" w:fill="D9D9D9" w:themeFill="background1" w:themeFillShade="D9"/>
            <w:vAlign w:val="center"/>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10,605</w:t>
            </w:r>
          </w:p>
        </w:tc>
        <w:tc>
          <w:tcPr>
            <w:tcW w:w="1134" w:type="dxa"/>
            <w:tcBorders>
              <w:top w:val="single" w:sz="4" w:space="0" w:color="auto"/>
            </w:tcBorders>
            <w:shd w:val="clear" w:color="auto" w:fill="D9D9D9" w:themeFill="background1" w:themeFillShade="D9"/>
            <w:vAlign w:val="center"/>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10,693</w:t>
            </w:r>
          </w:p>
        </w:tc>
        <w:tc>
          <w:tcPr>
            <w:tcW w:w="1134" w:type="dxa"/>
            <w:shd w:val="clear" w:color="auto" w:fill="DDDDDD"/>
            <w:vAlign w:val="center"/>
          </w:tcPr>
          <w:p w:rsidR="008C5C22" w:rsidRPr="008C5C22" w:rsidRDefault="008C5C22" w:rsidP="008C5C22">
            <w:pPr>
              <w:ind w:left="-8" w:right="170"/>
              <w:jc w:val="right"/>
              <w:rPr>
                <w:rFonts w:eastAsia="Times New Roman" w:cs="Times New Roman"/>
                <w:b/>
                <w:color w:val="000000"/>
                <w:sz w:val="22"/>
                <w:szCs w:val="22"/>
              </w:rPr>
            </w:pPr>
            <w:r w:rsidRPr="008C5C22">
              <w:rPr>
                <w:b/>
                <w:color w:val="000000"/>
                <w:sz w:val="22"/>
                <w:szCs w:val="22"/>
              </w:rPr>
              <w:t>10,530</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7,828</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8,091</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8C5C22" w:rsidRDefault="008C5C22" w:rsidP="008C5C22">
            <w:pPr>
              <w:ind w:right="340"/>
              <w:jc w:val="right"/>
              <w:rPr>
                <w:rFonts w:eastAsia="Times New Roman" w:cs="Times New Roman"/>
                <w:b/>
                <w:sz w:val="22"/>
                <w:szCs w:val="22"/>
              </w:rPr>
            </w:pPr>
            <w:r w:rsidRPr="008C5C22">
              <w:rPr>
                <w:b/>
                <w:sz w:val="22"/>
                <w:szCs w:val="22"/>
              </w:rPr>
              <w:t>263</w:t>
            </w:r>
          </w:p>
        </w:tc>
        <w:tc>
          <w:tcPr>
            <w:tcW w:w="1276"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84"/>
              <w:jc w:val="right"/>
              <w:rPr>
                <w:rFonts w:eastAsia="Times New Roman" w:cs="Times New Roman"/>
                <w:b/>
                <w:sz w:val="22"/>
                <w:szCs w:val="22"/>
              </w:rPr>
            </w:pPr>
            <w:r w:rsidRPr="008C5C22">
              <w:rPr>
                <w:b/>
                <w:sz w:val="22"/>
                <w:szCs w:val="22"/>
              </w:rPr>
              <w:t>3.3</w:t>
            </w:r>
          </w:p>
        </w:tc>
      </w:tr>
      <w:tr w:rsidR="008C5C22" w:rsidRPr="00DA7163" w:rsidTr="008C6047">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right"/>
              <w:rPr>
                <w:rFonts w:eastAsia="Times New Roman" w:cs="Times New Roman"/>
                <w:sz w:val="22"/>
                <w:szCs w:val="22"/>
              </w:rPr>
            </w:pPr>
            <w:r w:rsidRPr="00DA7163">
              <w:rPr>
                <w:rFonts w:eastAsia="Times New Roman" w:cs="Times New Roman"/>
                <w:sz w:val="22"/>
                <w:szCs w:val="22"/>
              </w:rPr>
              <w:t xml:space="preserve"> Pension Costs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1,000</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1,000</w:t>
            </w:r>
          </w:p>
        </w:tc>
        <w:tc>
          <w:tcPr>
            <w:tcW w:w="1134" w:type="dxa"/>
            <w:tcBorders>
              <w:top w:val="single" w:sz="6" w:space="0" w:color="auto"/>
              <w:left w:val="single" w:sz="6" w:space="0" w:color="auto"/>
              <w:bottom w:val="single" w:sz="6" w:space="0" w:color="auto"/>
              <w:right w:val="single" w:sz="6" w:space="0" w:color="auto"/>
            </w:tcBorders>
            <w:shd w:val="clear" w:color="auto" w:fill="DDDDDD"/>
            <w:vAlign w:val="bottom"/>
          </w:tcPr>
          <w:p w:rsidR="008C5C22" w:rsidRPr="008C5C22" w:rsidRDefault="008C5C22" w:rsidP="008C5C22">
            <w:pPr>
              <w:ind w:left="-8" w:right="170"/>
              <w:jc w:val="right"/>
              <w:rPr>
                <w:rFonts w:eastAsia="Times New Roman" w:cs="Times New Roman"/>
                <w:b/>
                <w:color w:val="000000"/>
                <w:sz w:val="22"/>
                <w:szCs w:val="22"/>
              </w:rPr>
            </w:pPr>
            <w:r w:rsidRPr="008C5C22">
              <w:rPr>
                <w:b/>
                <w:color w:val="000000"/>
                <w:sz w:val="22"/>
                <w:szCs w:val="22"/>
              </w:rPr>
              <w:t>1,000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782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78"/>
              <w:jc w:val="right"/>
              <w:rPr>
                <w:rFonts w:eastAsia="Times New Roman" w:cs="Times New Roman"/>
                <w:color w:val="000000"/>
                <w:sz w:val="22"/>
                <w:szCs w:val="22"/>
              </w:rPr>
            </w:pPr>
            <w:r w:rsidRPr="008C5C22">
              <w:rPr>
                <w:color w:val="000000"/>
                <w:sz w:val="22"/>
                <w:szCs w:val="22"/>
              </w:rPr>
              <w:t>750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340"/>
              <w:jc w:val="right"/>
              <w:rPr>
                <w:rFonts w:eastAsia="Times New Roman" w:cs="Times New Roman"/>
                <w:sz w:val="22"/>
                <w:szCs w:val="22"/>
              </w:rPr>
            </w:pPr>
            <w:r w:rsidRPr="008C5C22">
              <w:rPr>
                <w:sz w:val="22"/>
                <w:szCs w:val="22"/>
              </w:rPr>
              <w:t>(32)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8C5C22" w:rsidRPr="008C5C22" w:rsidRDefault="008C5C22" w:rsidP="008C5C22">
            <w:pPr>
              <w:ind w:right="284"/>
              <w:jc w:val="right"/>
              <w:rPr>
                <w:rFonts w:eastAsia="Times New Roman" w:cs="Times New Roman"/>
                <w:sz w:val="22"/>
                <w:szCs w:val="22"/>
              </w:rPr>
            </w:pPr>
            <w:r w:rsidRPr="008C5C22">
              <w:rPr>
                <w:color w:val="000000"/>
                <w:sz w:val="22"/>
                <w:szCs w:val="22"/>
              </w:rPr>
              <w:t>(4.9)</w:t>
            </w:r>
          </w:p>
        </w:tc>
      </w:tr>
      <w:tr w:rsidR="008C5C22" w:rsidRPr="00DA7163" w:rsidTr="008C6047">
        <w:trPr>
          <w:trHeight w:val="454"/>
        </w:trPr>
        <w:tc>
          <w:tcPr>
            <w:tcW w:w="1980" w:type="dxa"/>
            <w:tcBorders>
              <w:top w:val="single" w:sz="4" w:space="0" w:color="auto"/>
              <w:left w:val="single" w:sz="4" w:space="0" w:color="auto"/>
              <w:bottom w:val="single" w:sz="4" w:space="0" w:color="auto"/>
              <w:right w:val="single" w:sz="4" w:space="0" w:color="auto"/>
            </w:tcBorders>
            <w:shd w:val="pct15" w:color="auto" w:fill="auto"/>
            <w:vAlign w:val="center"/>
          </w:tcPr>
          <w:p w:rsidR="008C5C22" w:rsidRPr="00DA7163" w:rsidRDefault="008C5C22" w:rsidP="008C5C22">
            <w:pPr>
              <w:rPr>
                <w:rFonts w:eastAsia="Times New Roman" w:cs="Times New Roman"/>
                <w:b/>
                <w:sz w:val="22"/>
                <w:szCs w:val="22"/>
              </w:rPr>
            </w:pPr>
            <w:r w:rsidRPr="00DA7163">
              <w:rPr>
                <w:rFonts w:eastAsia="Times New Roman" w:cs="Times New Roman"/>
                <w:b/>
                <w:sz w:val="22"/>
                <w:szCs w:val="22"/>
              </w:rPr>
              <w:t xml:space="preserve">TOTAL ADMINISTRATION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11,605</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C5C22" w:rsidRPr="00DA7163" w:rsidRDefault="008C5C22" w:rsidP="008C5C22">
            <w:pPr>
              <w:ind w:left="-8" w:right="170"/>
              <w:jc w:val="right"/>
              <w:rPr>
                <w:rFonts w:eastAsia="Times New Roman" w:cs="Times New Roman"/>
                <w:b/>
                <w:color w:val="000000"/>
                <w:sz w:val="22"/>
                <w:szCs w:val="22"/>
              </w:rPr>
            </w:pPr>
            <w:r w:rsidRPr="00DA7163">
              <w:rPr>
                <w:rFonts w:eastAsia="Times New Roman" w:cs="Times New Roman"/>
                <w:b/>
                <w:color w:val="000000"/>
                <w:sz w:val="22"/>
                <w:szCs w:val="22"/>
              </w:rPr>
              <w:t>11,593</w:t>
            </w:r>
          </w:p>
        </w:tc>
        <w:tc>
          <w:tcPr>
            <w:tcW w:w="1134" w:type="dxa"/>
            <w:tcBorders>
              <w:top w:val="single" w:sz="6" w:space="0" w:color="auto"/>
              <w:left w:val="single" w:sz="6" w:space="0" w:color="auto"/>
              <w:bottom w:val="single" w:sz="6" w:space="0" w:color="auto"/>
              <w:right w:val="single" w:sz="6" w:space="0" w:color="auto"/>
            </w:tcBorders>
            <w:shd w:val="clear" w:color="auto" w:fill="DDDDDD"/>
            <w:vAlign w:val="center"/>
          </w:tcPr>
          <w:p w:rsidR="008C5C22" w:rsidRPr="008C5C22" w:rsidRDefault="008C5C22" w:rsidP="008C5C22">
            <w:pPr>
              <w:ind w:left="-8" w:right="170"/>
              <w:jc w:val="right"/>
              <w:rPr>
                <w:rFonts w:eastAsia="Times New Roman" w:cs="Times New Roman"/>
                <w:b/>
                <w:color w:val="000000"/>
                <w:sz w:val="22"/>
                <w:szCs w:val="22"/>
              </w:rPr>
            </w:pPr>
            <w:r w:rsidRPr="008C5C22">
              <w:rPr>
                <w:b/>
                <w:color w:val="000000"/>
                <w:sz w:val="22"/>
                <w:szCs w:val="22"/>
              </w:rPr>
              <w:t>11,530</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78"/>
              <w:jc w:val="right"/>
              <w:rPr>
                <w:rFonts w:eastAsia="Times New Roman" w:cs="Times New Roman"/>
                <w:b/>
                <w:color w:val="000000"/>
                <w:sz w:val="22"/>
                <w:szCs w:val="22"/>
              </w:rPr>
            </w:pPr>
            <w:r w:rsidRPr="008C5C22">
              <w:rPr>
                <w:b/>
                <w:color w:val="000000"/>
                <w:sz w:val="22"/>
                <w:szCs w:val="22"/>
              </w:rPr>
              <w:t>8,610</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left="-67" w:right="278"/>
              <w:jc w:val="right"/>
              <w:rPr>
                <w:rFonts w:eastAsia="Times New Roman" w:cs="Times New Roman"/>
                <w:b/>
                <w:color w:val="000000"/>
                <w:sz w:val="22"/>
                <w:szCs w:val="22"/>
              </w:rPr>
            </w:pPr>
            <w:r w:rsidRPr="008C5C22">
              <w:rPr>
                <w:b/>
                <w:color w:val="000000"/>
                <w:sz w:val="22"/>
                <w:szCs w:val="22"/>
              </w:rPr>
              <w:t>8,841</w:t>
            </w:r>
          </w:p>
        </w:tc>
        <w:tc>
          <w:tcPr>
            <w:tcW w:w="1134"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340"/>
              <w:jc w:val="right"/>
              <w:rPr>
                <w:rFonts w:eastAsia="Times New Roman" w:cs="Times New Roman"/>
                <w:b/>
                <w:sz w:val="22"/>
                <w:szCs w:val="22"/>
                <w:highlight w:val="yellow"/>
              </w:rPr>
            </w:pPr>
            <w:r w:rsidRPr="008C5C22">
              <w:rPr>
                <w:b/>
                <w:sz w:val="22"/>
                <w:szCs w:val="22"/>
              </w:rPr>
              <w:t>231</w:t>
            </w:r>
          </w:p>
        </w:tc>
        <w:tc>
          <w:tcPr>
            <w:tcW w:w="1276" w:type="dxa"/>
            <w:tcBorders>
              <w:top w:val="single" w:sz="6" w:space="0" w:color="auto"/>
              <w:left w:val="single" w:sz="6" w:space="0" w:color="auto"/>
              <w:bottom w:val="single" w:sz="6" w:space="0" w:color="auto"/>
              <w:right w:val="single" w:sz="6" w:space="0" w:color="auto"/>
            </w:tcBorders>
            <w:shd w:val="pct15" w:color="auto" w:fill="FFFFFF"/>
            <w:vAlign w:val="center"/>
          </w:tcPr>
          <w:p w:rsidR="008C5C22" w:rsidRPr="008C5C22" w:rsidRDefault="008C5C22" w:rsidP="008C5C22">
            <w:pPr>
              <w:ind w:right="284"/>
              <w:jc w:val="right"/>
              <w:rPr>
                <w:rFonts w:eastAsia="Times New Roman" w:cs="Times New Roman"/>
                <w:b/>
                <w:sz w:val="22"/>
                <w:szCs w:val="22"/>
              </w:rPr>
            </w:pPr>
            <w:r w:rsidRPr="008C5C22">
              <w:rPr>
                <w:b/>
                <w:sz w:val="22"/>
                <w:szCs w:val="22"/>
              </w:rPr>
              <w:t>3.0</w:t>
            </w:r>
          </w:p>
        </w:tc>
      </w:tr>
    </w:tbl>
    <w:p w:rsidR="00255D5A" w:rsidRPr="008C5C22" w:rsidRDefault="00255D5A" w:rsidP="00255D5A">
      <w:pPr>
        <w:spacing w:before="60" w:after="60"/>
        <w:jc w:val="both"/>
        <w:rPr>
          <w:rFonts w:eastAsia="Times New Roman" w:cs="Times New Roman"/>
          <w:sz w:val="24"/>
          <w:szCs w:val="24"/>
          <w:vertAlign w:val="superscript"/>
        </w:rPr>
      </w:pPr>
      <w:r w:rsidRPr="008C5C22">
        <w:rPr>
          <w:rFonts w:eastAsia="Times New Roman" w:cs="Times New Roman"/>
          <w:sz w:val="24"/>
          <w:szCs w:val="24"/>
          <w:vertAlign w:val="superscript"/>
        </w:rPr>
        <w:t>1 Strategic Development and Corporate Services annual running costs budgets are net of £75k MAS income and £470k Thistle House sub-let income respectively.</w:t>
      </w:r>
    </w:p>
    <w:p w:rsidR="00255D5A" w:rsidRPr="00DA7163" w:rsidRDefault="008C5C22" w:rsidP="005C5E9D">
      <w:pPr>
        <w:spacing w:before="120"/>
        <w:jc w:val="both"/>
        <w:rPr>
          <w:rFonts w:eastAsia="Times New Roman" w:cs="Times New Roman"/>
          <w:sz w:val="24"/>
          <w:szCs w:val="24"/>
        </w:rPr>
      </w:pPr>
      <w:r>
        <w:rPr>
          <w:rFonts w:eastAsia="Times New Roman" w:cs="Times New Roman"/>
          <w:sz w:val="24"/>
          <w:szCs w:val="24"/>
        </w:rPr>
        <w:t>Total cash spend as at December 2018 is £8,610</w:t>
      </w:r>
      <w:r w:rsidR="00255D5A" w:rsidRPr="00DA7163">
        <w:rPr>
          <w:rFonts w:eastAsia="Times New Roman" w:cs="Times New Roman"/>
          <w:sz w:val="24"/>
          <w:szCs w:val="24"/>
        </w:rPr>
        <w:t>k against the revi</w:t>
      </w:r>
      <w:r w:rsidR="002B3460">
        <w:rPr>
          <w:rFonts w:eastAsia="Times New Roman" w:cs="Times New Roman"/>
          <w:sz w:val="24"/>
          <w:szCs w:val="24"/>
        </w:rPr>
        <w:t>sed Q2 YTD budget of £</w:t>
      </w:r>
      <w:r>
        <w:rPr>
          <w:rFonts w:eastAsia="Times New Roman" w:cs="Times New Roman"/>
          <w:sz w:val="24"/>
          <w:szCs w:val="24"/>
        </w:rPr>
        <w:t>8,841</w:t>
      </w:r>
      <w:r w:rsidR="002B3460">
        <w:rPr>
          <w:rFonts w:eastAsia="Times New Roman" w:cs="Times New Roman"/>
          <w:sz w:val="24"/>
          <w:szCs w:val="24"/>
        </w:rPr>
        <w:t xml:space="preserve">, an </w:t>
      </w:r>
      <w:r>
        <w:rPr>
          <w:rFonts w:eastAsia="Times New Roman" w:cs="Times New Roman"/>
          <w:sz w:val="24"/>
          <w:szCs w:val="24"/>
        </w:rPr>
        <w:t>underspend of £231</w:t>
      </w:r>
      <w:r w:rsidR="00255D5A" w:rsidRPr="00DA7163">
        <w:rPr>
          <w:rFonts w:eastAsia="Times New Roman" w:cs="Times New Roman"/>
          <w:sz w:val="24"/>
          <w:szCs w:val="24"/>
        </w:rPr>
        <w:t>k.</w:t>
      </w:r>
    </w:p>
    <w:p w:rsidR="009F3D0A" w:rsidRPr="00DA7163" w:rsidRDefault="009F3D0A" w:rsidP="005C5E9D">
      <w:pPr>
        <w:jc w:val="both"/>
        <w:rPr>
          <w:rFonts w:eastAsia="Times New Roman" w:cs="Times New Roman"/>
          <w:sz w:val="24"/>
          <w:szCs w:val="24"/>
        </w:rPr>
      </w:pPr>
    </w:p>
    <w:p w:rsidR="00255D5A" w:rsidRPr="00FF4C57" w:rsidRDefault="00094CB8" w:rsidP="00FF4C57">
      <w:pPr>
        <w:keepNext/>
        <w:numPr>
          <w:ilvl w:val="1"/>
          <w:numId w:val="0"/>
        </w:numPr>
        <w:tabs>
          <w:tab w:val="num" w:pos="576"/>
        </w:tabs>
        <w:spacing w:after="120"/>
        <w:ind w:left="576" w:hanging="576"/>
        <w:outlineLvl w:val="1"/>
        <w:rPr>
          <w:rFonts w:eastAsia="Times New Roman" w:cs="Times New Roman"/>
          <w:b/>
          <w:sz w:val="24"/>
          <w:szCs w:val="24"/>
        </w:rPr>
      </w:pPr>
      <w:r>
        <w:rPr>
          <w:rFonts w:eastAsia="Times New Roman" w:cs="Times New Roman"/>
          <w:b/>
          <w:sz w:val="24"/>
          <w:szCs w:val="24"/>
        </w:rPr>
        <w:t>3</w:t>
      </w:r>
      <w:r w:rsidR="004E430C" w:rsidRPr="00FF4C57">
        <w:rPr>
          <w:rFonts w:eastAsia="Times New Roman" w:cs="Times New Roman"/>
          <w:b/>
          <w:sz w:val="24"/>
          <w:szCs w:val="24"/>
        </w:rPr>
        <w:t xml:space="preserve">. </w:t>
      </w:r>
      <w:r w:rsidR="00255D5A" w:rsidRPr="00FF4C57">
        <w:rPr>
          <w:rFonts w:eastAsia="Times New Roman" w:cs="Times New Roman"/>
          <w:b/>
          <w:sz w:val="24"/>
          <w:szCs w:val="24"/>
        </w:rPr>
        <w:t>Variances to Original budget</w:t>
      </w:r>
    </w:p>
    <w:p w:rsidR="008C5C22" w:rsidRPr="008C5C22" w:rsidRDefault="008C5C22" w:rsidP="00FF4C57">
      <w:pPr>
        <w:spacing w:after="120"/>
        <w:jc w:val="both"/>
        <w:rPr>
          <w:rFonts w:eastAsia="Times New Roman" w:cs="Times New Roman"/>
          <w:sz w:val="24"/>
          <w:szCs w:val="24"/>
          <w:highlight w:val="yellow"/>
        </w:rPr>
      </w:pPr>
      <w:r w:rsidRPr="008C5C22">
        <w:rPr>
          <w:rFonts w:eastAsia="Times New Roman" w:cs="Times New Roman"/>
          <w:sz w:val="24"/>
          <w:szCs w:val="24"/>
        </w:rPr>
        <w:t xml:space="preserve">The small under spend in staff costs is down to vacancies being filled later than anticipated.  </w:t>
      </w:r>
    </w:p>
    <w:p w:rsidR="008C5C22" w:rsidRPr="008C5C22" w:rsidRDefault="008C5C22" w:rsidP="00FF4C57">
      <w:pPr>
        <w:spacing w:after="120"/>
        <w:jc w:val="both"/>
        <w:rPr>
          <w:rFonts w:ascii="Times New Roman" w:eastAsia="Times New Roman" w:hAnsi="Times New Roman" w:cs="Times New Roman"/>
          <w:sz w:val="24"/>
          <w:szCs w:val="24"/>
        </w:rPr>
      </w:pPr>
      <w:r w:rsidRPr="008C5C22">
        <w:rPr>
          <w:rFonts w:eastAsia="Times New Roman" w:cs="Times New Roman"/>
          <w:sz w:val="24"/>
          <w:szCs w:val="24"/>
        </w:rPr>
        <w:t xml:space="preserve">The variances in running costs are as follows:  Corporate services - £36k of this down to receipt of a large credit from Edinburgh Council after a successful </w:t>
      </w:r>
      <w:r w:rsidR="00D5384D">
        <w:rPr>
          <w:rFonts w:eastAsia="Times New Roman" w:cs="Times New Roman"/>
          <w:sz w:val="24"/>
          <w:szCs w:val="24"/>
        </w:rPr>
        <w:t xml:space="preserve">rates </w:t>
      </w:r>
      <w:r w:rsidRPr="008C5C22">
        <w:rPr>
          <w:rFonts w:eastAsia="Times New Roman" w:cs="Times New Roman"/>
          <w:sz w:val="24"/>
          <w:szCs w:val="24"/>
        </w:rPr>
        <w:t xml:space="preserve">appeal.  The remainder is timing of bills across Facilities and IS.  Legal Services - £31k of this is down </w:t>
      </w:r>
      <w:r w:rsidRPr="008C5C22">
        <w:rPr>
          <w:rFonts w:eastAsia="Times New Roman" w:cs="Times New Roman"/>
          <w:sz w:val="24"/>
          <w:szCs w:val="24"/>
        </w:rPr>
        <w:lastRenderedPageBreak/>
        <w:t xml:space="preserve">to receipt of Expenses awarded in favour of SLAB in a recent case.  Strategic Development </w:t>
      </w:r>
      <w:r w:rsidR="00D5384D">
        <w:rPr>
          <w:rFonts w:eastAsia="Times New Roman" w:cs="Times New Roman"/>
          <w:sz w:val="24"/>
          <w:szCs w:val="24"/>
        </w:rPr>
        <w:t>–</w:t>
      </w:r>
      <w:r w:rsidRPr="008C5C22">
        <w:rPr>
          <w:rFonts w:eastAsia="Times New Roman" w:cs="Times New Roman"/>
          <w:sz w:val="24"/>
          <w:szCs w:val="24"/>
        </w:rPr>
        <w:t xml:space="preserve"> </w:t>
      </w:r>
      <w:r w:rsidR="00094CB8">
        <w:rPr>
          <w:rFonts w:eastAsia="Times New Roman" w:cs="Times New Roman"/>
          <w:sz w:val="24"/>
          <w:szCs w:val="24"/>
        </w:rPr>
        <w:t xml:space="preserve">£36k </w:t>
      </w:r>
      <w:r w:rsidRPr="008C5C22">
        <w:rPr>
          <w:rFonts w:eastAsia="Times New Roman" w:cs="Times New Roman"/>
          <w:sz w:val="24"/>
          <w:szCs w:val="24"/>
        </w:rPr>
        <w:t>down</w:t>
      </w:r>
      <w:r w:rsidR="00D5384D">
        <w:rPr>
          <w:rFonts w:eastAsia="Times New Roman" w:cs="Times New Roman"/>
          <w:sz w:val="24"/>
          <w:szCs w:val="24"/>
        </w:rPr>
        <w:t xml:space="preserve"> due</w:t>
      </w:r>
      <w:r w:rsidRPr="008C5C22">
        <w:rPr>
          <w:rFonts w:eastAsia="Times New Roman" w:cs="Times New Roman"/>
          <w:sz w:val="24"/>
          <w:szCs w:val="24"/>
        </w:rPr>
        <w:t xml:space="preserve"> to lower than anticipated research spending.  </w:t>
      </w:r>
    </w:p>
    <w:p w:rsidR="008C5C22" w:rsidRPr="008C5C22" w:rsidRDefault="008C5C22" w:rsidP="00FF4C57">
      <w:pPr>
        <w:spacing w:after="120"/>
        <w:jc w:val="both"/>
        <w:rPr>
          <w:rFonts w:ascii="Times New Roman" w:eastAsia="Times New Roman" w:hAnsi="Times New Roman" w:cs="Times New Roman"/>
          <w:sz w:val="24"/>
          <w:szCs w:val="24"/>
          <w:highlight w:val="yellow"/>
        </w:rPr>
      </w:pPr>
      <w:r w:rsidRPr="008C5C22">
        <w:rPr>
          <w:rFonts w:eastAsia="Times New Roman" w:cs="Times New Roman"/>
          <w:sz w:val="24"/>
          <w:szCs w:val="24"/>
        </w:rPr>
        <w:t xml:space="preserve">Capital budgets for the year are fully allocated but actual spends are yet to materialise.  We have this under review and will hopefully see some bills arriving in the next few months. </w:t>
      </w:r>
    </w:p>
    <w:p w:rsidR="008C5C22" w:rsidRPr="008C5C22" w:rsidRDefault="008C5C22" w:rsidP="00FF4C57">
      <w:pPr>
        <w:spacing w:after="120"/>
        <w:jc w:val="both"/>
        <w:rPr>
          <w:rFonts w:ascii="Times New Roman" w:eastAsia="Times New Roman" w:hAnsi="Times New Roman" w:cs="Times New Roman"/>
          <w:sz w:val="24"/>
          <w:szCs w:val="24"/>
        </w:rPr>
      </w:pPr>
      <w:r w:rsidRPr="008C5C22">
        <w:rPr>
          <w:rFonts w:eastAsia="Times New Roman" w:cs="Times New Roman"/>
          <w:sz w:val="24"/>
          <w:szCs w:val="24"/>
        </w:rPr>
        <w:t xml:space="preserve">Quarter 3 budget reviews are currently underway, the paper is </w:t>
      </w:r>
      <w:r w:rsidR="00D5384D" w:rsidRPr="008C5C22">
        <w:rPr>
          <w:rFonts w:eastAsia="Times New Roman" w:cs="Times New Roman"/>
          <w:sz w:val="24"/>
          <w:szCs w:val="24"/>
        </w:rPr>
        <w:t>scheduled</w:t>
      </w:r>
      <w:r w:rsidRPr="008C5C22">
        <w:rPr>
          <w:rFonts w:eastAsia="Times New Roman" w:cs="Times New Roman"/>
          <w:sz w:val="24"/>
          <w:szCs w:val="24"/>
        </w:rPr>
        <w:t xml:space="preserve"> for the ET meeting on 14</w:t>
      </w:r>
      <w:r w:rsidRPr="008C5C22">
        <w:rPr>
          <w:rFonts w:eastAsia="Times New Roman" w:cs="Times New Roman"/>
          <w:sz w:val="24"/>
          <w:szCs w:val="24"/>
          <w:vertAlign w:val="superscript"/>
        </w:rPr>
        <w:t>th</w:t>
      </w:r>
      <w:r w:rsidRPr="008C5C22">
        <w:rPr>
          <w:rFonts w:eastAsia="Times New Roman" w:cs="Times New Roman"/>
          <w:sz w:val="24"/>
          <w:szCs w:val="24"/>
        </w:rPr>
        <w:t xml:space="preserve"> February.</w:t>
      </w:r>
    </w:p>
    <w:p w:rsidR="008C5C22" w:rsidRPr="008C5C22" w:rsidRDefault="008C5C22" w:rsidP="008C5C22">
      <w:pPr>
        <w:jc w:val="both"/>
        <w:rPr>
          <w:rFonts w:eastAsia="Times New Roman" w:cs="Times New Roman"/>
          <w:sz w:val="24"/>
          <w:szCs w:val="24"/>
        </w:rPr>
      </w:pPr>
      <w:r>
        <w:rPr>
          <w:rFonts w:eastAsia="Times New Roman" w:cs="Times New Roman"/>
          <w:sz w:val="24"/>
          <w:szCs w:val="24"/>
        </w:rPr>
        <w:t>Pension spend</w:t>
      </w:r>
      <w:r w:rsidRPr="008C5C22">
        <w:rPr>
          <w:rFonts w:eastAsia="Times New Roman" w:cs="Times New Roman"/>
          <w:sz w:val="24"/>
          <w:szCs w:val="24"/>
        </w:rPr>
        <w:t xml:space="preserve"> </w:t>
      </w:r>
      <w:r>
        <w:rPr>
          <w:rFonts w:eastAsia="Times New Roman" w:cs="Times New Roman"/>
          <w:sz w:val="24"/>
          <w:szCs w:val="24"/>
        </w:rPr>
        <w:t>for the year is</w:t>
      </w:r>
      <w:r w:rsidRPr="008C5C22">
        <w:rPr>
          <w:rFonts w:eastAsia="Times New Roman" w:cs="Times New Roman"/>
          <w:sz w:val="24"/>
          <w:szCs w:val="24"/>
        </w:rPr>
        <w:t xml:space="preserve"> forecast to be very close to the £1m budget, an adjustment will be required if there are any large lump sums awarded before the end of March but, right now it is very difficult to gauge whether or not this will happen.  We will keep the pension spend under review.</w:t>
      </w:r>
    </w:p>
    <w:p w:rsidR="00255D5A" w:rsidRPr="00DA7163" w:rsidRDefault="00255D5A" w:rsidP="00255D5A">
      <w:pPr>
        <w:jc w:val="both"/>
        <w:rPr>
          <w:rFonts w:eastAsia="Times New Roman" w:cs="Times New Roman"/>
          <w:sz w:val="24"/>
          <w:szCs w:val="24"/>
          <w:highlight w:val="yellow"/>
        </w:rPr>
      </w:pPr>
    </w:p>
    <w:p w:rsidR="00255D5A" w:rsidRPr="00FF4C57" w:rsidRDefault="004E430C" w:rsidP="00FF4C57">
      <w:pPr>
        <w:keepNext/>
        <w:numPr>
          <w:ilvl w:val="1"/>
          <w:numId w:val="0"/>
        </w:numPr>
        <w:tabs>
          <w:tab w:val="num" w:pos="576"/>
        </w:tabs>
        <w:spacing w:after="120"/>
        <w:ind w:left="576" w:hanging="576"/>
        <w:outlineLvl w:val="1"/>
        <w:rPr>
          <w:rFonts w:eastAsia="Times New Roman" w:cs="Times New Roman"/>
          <w:b/>
          <w:sz w:val="24"/>
          <w:szCs w:val="24"/>
        </w:rPr>
      </w:pPr>
      <w:r w:rsidRPr="00FF4C57">
        <w:rPr>
          <w:rFonts w:eastAsia="Times New Roman" w:cs="Times New Roman"/>
          <w:b/>
          <w:sz w:val="24"/>
          <w:szCs w:val="24"/>
        </w:rPr>
        <w:t xml:space="preserve">5. </w:t>
      </w:r>
      <w:r w:rsidR="00255D5A" w:rsidRPr="00FF4C57">
        <w:rPr>
          <w:rFonts w:eastAsia="Times New Roman" w:cs="Times New Roman"/>
          <w:b/>
          <w:sz w:val="24"/>
          <w:szCs w:val="24"/>
        </w:rPr>
        <w:t>Forecast outturn position</w:t>
      </w:r>
    </w:p>
    <w:p w:rsidR="00255D5A" w:rsidRDefault="00255D5A" w:rsidP="00255D5A">
      <w:pPr>
        <w:jc w:val="both"/>
        <w:rPr>
          <w:rFonts w:eastAsia="Times New Roman" w:cs="Times New Roman"/>
          <w:sz w:val="24"/>
          <w:szCs w:val="24"/>
        </w:rPr>
      </w:pPr>
      <w:r w:rsidRPr="00DA7163">
        <w:rPr>
          <w:rFonts w:eastAsia="Times New Roman" w:cs="Times New Roman"/>
          <w:sz w:val="24"/>
          <w:szCs w:val="24"/>
        </w:rPr>
        <w:t>The</w:t>
      </w:r>
      <w:r w:rsidR="0037522E" w:rsidRPr="00DA7163">
        <w:rPr>
          <w:rFonts w:eastAsia="Times New Roman" w:cs="Times New Roman"/>
          <w:sz w:val="24"/>
          <w:szCs w:val="24"/>
        </w:rPr>
        <w:t xml:space="preserve"> current forecast spend is £11,6</w:t>
      </w:r>
      <w:r w:rsidRPr="00DA7163">
        <w:rPr>
          <w:rFonts w:eastAsia="Times New Roman" w:cs="Times New Roman"/>
          <w:sz w:val="24"/>
          <w:szCs w:val="24"/>
        </w:rPr>
        <w:t xml:space="preserve">30k </w:t>
      </w:r>
      <w:r w:rsidR="00094CB8">
        <w:rPr>
          <w:rFonts w:eastAsia="Times New Roman" w:cs="Times New Roman"/>
          <w:sz w:val="24"/>
          <w:szCs w:val="24"/>
        </w:rPr>
        <w:t>adjusting for an additional requirement for</w:t>
      </w:r>
      <w:r w:rsidR="0037522E" w:rsidRPr="00DA7163">
        <w:rPr>
          <w:rFonts w:eastAsia="Times New Roman" w:cs="Times New Roman"/>
          <w:sz w:val="24"/>
          <w:szCs w:val="24"/>
        </w:rPr>
        <w:t xml:space="preserve"> lift</w:t>
      </w:r>
      <w:r w:rsidR="00094CB8">
        <w:rPr>
          <w:rFonts w:eastAsia="Times New Roman" w:cs="Times New Roman"/>
          <w:sz w:val="24"/>
          <w:szCs w:val="24"/>
        </w:rPr>
        <w:t xml:space="preserve"> refurbishment at a cost of circa £100k (which came to light after the quarter 2 review),</w:t>
      </w:r>
      <w:r w:rsidR="0037522E" w:rsidRPr="00DA7163">
        <w:rPr>
          <w:rFonts w:eastAsia="Times New Roman" w:cs="Times New Roman"/>
          <w:sz w:val="24"/>
          <w:szCs w:val="24"/>
        </w:rPr>
        <w:t xml:space="preserve"> </w:t>
      </w:r>
      <w:r w:rsidRPr="00DA7163">
        <w:rPr>
          <w:rFonts w:eastAsia="Times New Roman" w:cs="Times New Roman"/>
          <w:sz w:val="24"/>
          <w:szCs w:val="24"/>
        </w:rPr>
        <w:t>against in-year funding of £11,768, which res</w:t>
      </w:r>
      <w:r w:rsidR="0037522E" w:rsidRPr="00DA7163">
        <w:rPr>
          <w:rFonts w:eastAsia="Times New Roman" w:cs="Times New Roman"/>
          <w:sz w:val="24"/>
          <w:szCs w:val="24"/>
        </w:rPr>
        <w:t>ults in an in-year surplus of £1</w:t>
      </w:r>
      <w:r w:rsidRPr="00DA7163">
        <w:rPr>
          <w:rFonts w:eastAsia="Times New Roman" w:cs="Times New Roman"/>
          <w:sz w:val="24"/>
          <w:szCs w:val="24"/>
        </w:rPr>
        <w:t xml:space="preserve">38k.  Directors and Managers </w:t>
      </w:r>
      <w:r w:rsidR="0037522E" w:rsidRPr="00DA7163">
        <w:rPr>
          <w:rFonts w:eastAsia="Times New Roman" w:cs="Times New Roman"/>
          <w:sz w:val="24"/>
          <w:szCs w:val="24"/>
        </w:rPr>
        <w:t>are considering</w:t>
      </w:r>
      <w:r w:rsidRPr="00DA7163">
        <w:rPr>
          <w:rFonts w:eastAsia="Times New Roman" w:cs="Times New Roman"/>
          <w:sz w:val="24"/>
          <w:szCs w:val="24"/>
        </w:rPr>
        <w:t xml:space="preserve"> whether or not they have any further areas of spend for the current financial year</w:t>
      </w:r>
      <w:r w:rsidR="00094CB8">
        <w:rPr>
          <w:rFonts w:eastAsia="Times New Roman" w:cs="Times New Roman"/>
          <w:sz w:val="24"/>
          <w:szCs w:val="24"/>
        </w:rPr>
        <w:t>, and the aforementioned quarter 3 review will further clarify the anticipated spend on the lifts and other potential areas</w:t>
      </w:r>
      <w:r w:rsidRPr="00DA7163">
        <w:rPr>
          <w:rFonts w:eastAsia="Times New Roman" w:cs="Times New Roman"/>
          <w:sz w:val="24"/>
          <w:szCs w:val="24"/>
        </w:rPr>
        <w:t>.</w:t>
      </w:r>
    </w:p>
    <w:p w:rsidR="00D5384D" w:rsidRPr="00DA7163" w:rsidRDefault="00D5384D" w:rsidP="00255D5A">
      <w:pPr>
        <w:jc w:val="both"/>
        <w:rPr>
          <w:rFonts w:eastAsia="Times New Roman" w:cs="Times New Roman"/>
          <w:sz w:val="24"/>
          <w:szCs w:val="24"/>
        </w:rPr>
      </w:pPr>
    </w:p>
    <w:p w:rsidR="00255D5A" w:rsidRPr="00FF4C57" w:rsidRDefault="008C5C22" w:rsidP="00FF4C57">
      <w:pPr>
        <w:keepNext/>
        <w:numPr>
          <w:ilvl w:val="1"/>
          <w:numId w:val="0"/>
        </w:numPr>
        <w:tabs>
          <w:tab w:val="num" w:pos="576"/>
        </w:tabs>
        <w:spacing w:after="120"/>
        <w:ind w:left="576" w:hanging="576"/>
        <w:outlineLvl w:val="1"/>
        <w:rPr>
          <w:rFonts w:eastAsia="Times New Roman" w:cs="Times New Roman"/>
          <w:b/>
          <w:sz w:val="24"/>
          <w:szCs w:val="24"/>
        </w:rPr>
      </w:pPr>
      <w:r w:rsidRPr="00FF4C57">
        <w:rPr>
          <w:rFonts w:eastAsia="Times New Roman" w:cs="Times New Roman"/>
          <w:b/>
          <w:sz w:val="24"/>
          <w:szCs w:val="24"/>
        </w:rPr>
        <w:t>6</w:t>
      </w:r>
      <w:r w:rsidR="004E430C" w:rsidRPr="00FF4C57">
        <w:rPr>
          <w:rFonts w:eastAsia="Times New Roman" w:cs="Times New Roman"/>
          <w:b/>
          <w:sz w:val="24"/>
          <w:szCs w:val="24"/>
        </w:rPr>
        <w:t xml:space="preserve">. </w:t>
      </w:r>
      <w:r w:rsidR="00D5384D" w:rsidRPr="00FF4C57">
        <w:rPr>
          <w:rFonts w:eastAsia="Times New Roman" w:cs="Times New Roman"/>
          <w:b/>
          <w:sz w:val="24"/>
          <w:szCs w:val="24"/>
        </w:rPr>
        <w:t xml:space="preserve">Invoice Turnaround Times </w:t>
      </w:r>
    </w:p>
    <w:p w:rsidR="00255D5A" w:rsidRPr="00DA7163" w:rsidRDefault="00255D5A" w:rsidP="00255D5A">
      <w:pPr>
        <w:spacing w:after="120"/>
        <w:jc w:val="both"/>
        <w:rPr>
          <w:rFonts w:eastAsia="Times New Roman" w:cs="Times New Roman"/>
          <w:sz w:val="24"/>
          <w:szCs w:val="24"/>
          <w:lang w:val="en-US"/>
        </w:rPr>
      </w:pPr>
      <w:r w:rsidRPr="00DA7163">
        <w:rPr>
          <w:rFonts w:eastAsia="Times New Roman" w:cs="Times New Roman"/>
          <w:sz w:val="24"/>
          <w:szCs w:val="24"/>
        </w:rPr>
        <w:t>The table below shows invoice paym</w:t>
      </w:r>
      <w:r w:rsidR="00B16CF6" w:rsidRPr="00DA7163">
        <w:rPr>
          <w:rFonts w:eastAsia="Times New Roman" w:cs="Times New Roman"/>
          <w:sz w:val="24"/>
          <w:szCs w:val="24"/>
        </w:rPr>
        <w:t xml:space="preserve">ent performance for </w:t>
      </w:r>
      <w:r w:rsidR="008C5C22">
        <w:rPr>
          <w:rFonts w:eastAsia="Times New Roman" w:cs="Times New Roman"/>
          <w:sz w:val="24"/>
          <w:szCs w:val="24"/>
        </w:rPr>
        <w:t>December</w:t>
      </w:r>
      <w:r w:rsidRPr="00DA7163">
        <w:rPr>
          <w:rFonts w:eastAsia="Times New Roman" w:cs="Times New Roman"/>
          <w:sz w:val="24"/>
          <w:szCs w:val="24"/>
        </w:rPr>
        <w:t xml:space="preserve"> year to date (YTD).  This is reported for both 10 and 30 days, the latter being our normal contractual payment term</w:t>
      </w:r>
      <w:r w:rsidR="00EC3E01" w:rsidRPr="00DA7163">
        <w:rPr>
          <w:rFonts w:eastAsia="Times New Roman" w:cs="Times New Roman"/>
          <w:sz w:val="24"/>
          <w:szCs w:val="24"/>
        </w:rPr>
        <w:t>s</w:t>
      </w:r>
      <w:r w:rsidRPr="00DA7163">
        <w:rPr>
          <w:rFonts w:eastAsia="Times New Roman" w:cs="Times New Roman"/>
          <w:sz w:val="24"/>
          <w:szCs w:val="24"/>
        </w:rPr>
        <w:t xml:space="preserve">. </w:t>
      </w:r>
    </w:p>
    <w:tbl>
      <w:tblPr>
        <w:tblStyle w:val="TableGrid1"/>
        <w:tblW w:w="8647" w:type="dxa"/>
        <w:tblInd w:w="-5" w:type="dxa"/>
        <w:tblLook w:val="04A0" w:firstRow="1" w:lastRow="0" w:firstColumn="1" w:lastColumn="0" w:noHBand="0" w:noVBand="1"/>
      </w:tblPr>
      <w:tblGrid>
        <w:gridCol w:w="1878"/>
        <w:gridCol w:w="1666"/>
        <w:gridCol w:w="1701"/>
        <w:gridCol w:w="1701"/>
        <w:gridCol w:w="1701"/>
      </w:tblGrid>
      <w:tr w:rsidR="00255D5A" w:rsidRPr="00DA7163" w:rsidTr="002C7D14">
        <w:trPr>
          <w:trHeight w:val="295"/>
        </w:trPr>
        <w:tc>
          <w:tcPr>
            <w:tcW w:w="8647" w:type="dxa"/>
            <w:gridSpan w:val="5"/>
            <w:shd w:val="clear" w:color="auto" w:fill="BFBFBF" w:themeFill="background1" w:themeFillShade="BF"/>
            <w:vAlign w:val="bottom"/>
          </w:tcPr>
          <w:p w:rsidR="00255D5A" w:rsidRPr="00DA7163" w:rsidRDefault="00255D5A" w:rsidP="00255D5A">
            <w:pPr>
              <w:jc w:val="center"/>
              <w:rPr>
                <w:rFonts w:ascii="Trebuchet MS" w:hAnsi="Trebuchet MS"/>
                <w:b/>
                <w:sz w:val="22"/>
                <w:szCs w:val="22"/>
              </w:rPr>
            </w:pPr>
            <w:r w:rsidRPr="00DA7163">
              <w:rPr>
                <w:rFonts w:ascii="Trebuchet MS" w:hAnsi="Trebuchet MS"/>
                <w:b/>
                <w:sz w:val="22"/>
                <w:szCs w:val="22"/>
              </w:rPr>
              <w:t xml:space="preserve">            For the Period 01/04/2018 to 31/10/2018</w:t>
            </w:r>
          </w:p>
        </w:tc>
      </w:tr>
      <w:tr w:rsidR="00255D5A" w:rsidRPr="00DA7163" w:rsidTr="002C7D14">
        <w:trPr>
          <w:trHeight w:val="295"/>
        </w:trPr>
        <w:tc>
          <w:tcPr>
            <w:tcW w:w="1878" w:type="dxa"/>
            <w:vMerge w:val="restart"/>
            <w:vAlign w:val="bottom"/>
          </w:tcPr>
          <w:p w:rsidR="00255D5A" w:rsidRPr="00DA7163" w:rsidRDefault="00255D5A" w:rsidP="00255D5A">
            <w:pPr>
              <w:jc w:val="both"/>
              <w:rPr>
                <w:rFonts w:ascii="Trebuchet MS" w:hAnsi="Trebuchet MS"/>
                <w:sz w:val="22"/>
                <w:szCs w:val="22"/>
              </w:rPr>
            </w:pPr>
            <w:r w:rsidRPr="00DA7163">
              <w:rPr>
                <w:rFonts w:ascii="Trebuchet MS" w:hAnsi="Trebuchet MS"/>
                <w:b/>
                <w:sz w:val="22"/>
                <w:szCs w:val="22"/>
              </w:rPr>
              <w:t>Group</w:t>
            </w:r>
          </w:p>
        </w:tc>
        <w:tc>
          <w:tcPr>
            <w:tcW w:w="3367" w:type="dxa"/>
            <w:gridSpan w:val="2"/>
            <w:vAlign w:val="bottom"/>
          </w:tcPr>
          <w:p w:rsidR="00255D5A" w:rsidRPr="00DA7163" w:rsidRDefault="00255D5A" w:rsidP="00255D5A">
            <w:pPr>
              <w:jc w:val="center"/>
              <w:rPr>
                <w:rFonts w:ascii="Trebuchet MS" w:hAnsi="Trebuchet MS"/>
                <w:b/>
                <w:sz w:val="22"/>
                <w:szCs w:val="22"/>
              </w:rPr>
            </w:pPr>
            <w:r w:rsidRPr="00DA7163">
              <w:rPr>
                <w:rFonts w:ascii="Trebuchet MS" w:hAnsi="Trebuchet MS"/>
                <w:b/>
                <w:sz w:val="22"/>
                <w:szCs w:val="22"/>
              </w:rPr>
              <w:t>YTD % Paid within 10 days*</w:t>
            </w:r>
          </w:p>
        </w:tc>
        <w:tc>
          <w:tcPr>
            <w:tcW w:w="3402" w:type="dxa"/>
            <w:gridSpan w:val="2"/>
            <w:vAlign w:val="bottom"/>
          </w:tcPr>
          <w:p w:rsidR="00255D5A" w:rsidRPr="00DA7163" w:rsidRDefault="00255D5A" w:rsidP="00255D5A">
            <w:pPr>
              <w:jc w:val="center"/>
              <w:rPr>
                <w:rFonts w:ascii="Trebuchet MS" w:hAnsi="Trebuchet MS"/>
                <w:b/>
                <w:sz w:val="22"/>
                <w:szCs w:val="22"/>
              </w:rPr>
            </w:pPr>
            <w:r w:rsidRPr="00DA7163">
              <w:rPr>
                <w:rFonts w:ascii="Trebuchet MS" w:hAnsi="Trebuchet MS"/>
                <w:b/>
                <w:sz w:val="22"/>
                <w:szCs w:val="22"/>
              </w:rPr>
              <w:t>YTD % Paid within 30 days</w:t>
            </w:r>
          </w:p>
        </w:tc>
      </w:tr>
      <w:tr w:rsidR="008C5C22" w:rsidRPr="00DA7163" w:rsidTr="002C7D14">
        <w:trPr>
          <w:trHeight w:val="334"/>
        </w:trPr>
        <w:tc>
          <w:tcPr>
            <w:tcW w:w="1878" w:type="dxa"/>
            <w:vMerge/>
          </w:tcPr>
          <w:p w:rsidR="008C5C22" w:rsidRPr="00DA7163" w:rsidRDefault="008C5C22" w:rsidP="008C5C22">
            <w:pPr>
              <w:jc w:val="both"/>
              <w:rPr>
                <w:rFonts w:ascii="Trebuchet MS" w:hAnsi="Trebuchet MS"/>
                <w:sz w:val="22"/>
                <w:szCs w:val="22"/>
              </w:rPr>
            </w:pPr>
          </w:p>
        </w:tc>
        <w:tc>
          <w:tcPr>
            <w:tcW w:w="1666" w:type="dxa"/>
            <w:vAlign w:val="bottom"/>
          </w:tcPr>
          <w:p w:rsidR="008C5C22" w:rsidRPr="00DA7163" w:rsidRDefault="008C5C22" w:rsidP="008C5C22">
            <w:pPr>
              <w:jc w:val="center"/>
              <w:rPr>
                <w:rFonts w:ascii="Trebuchet MS" w:hAnsi="Trebuchet MS"/>
                <w:b/>
                <w:sz w:val="22"/>
                <w:szCs w:val="22"/>
              </w:rPr>
            </w:pPr>
            <w:r w:rsidRPr="00664D4E">
              <w:rPr>
                <w:rFonts w:ascii="Trebuchet MS" w:hAnsi="Trebuchet MS"/>
                <w:b/>
              </w:rPr>
              <w:t>2018-19</w:t>
            </w:r>
          </w:p>
        </w:tc>
        <w:tc>
          <w:tcPr>
            <w:tcW w:w="1701" w:type="dxa"/>
            <w:vAlign w:val="bottom"/>
          </w:tcPr>
          <w:p w:rsidR="008C5C22" w:rsidRPr="00DA7163" w:rsidRDefault="008C5C22" w:rsidP="008C5C22">
            <w:pPr>
              <w:jc w:val="center"/>
              <w:rPr>
                <w:rFonts w:ascii="Trebuchet MS" w:hAnsi="Trebuchet MS"/>
                <w:b/>
                <w:sz w:val="22"/>
                <w:szCs w:val="22"/>
              </w:rPr>
            </w:pPr>
            <w:r w:rsidRPr="00664D4E">
              <w:rPr>
                <w:rFonts w:ascii="Trebuchet MS" w:hAnsi="Trebuchet MS"/>
                <w:b/>
              </w:rPr>
              <w:t>2017-18</w:t>
            </w:r>
            <w:r>
              <w:rPr>
                <w:rFonts w:ascii="Trebuchet MS" w:hAnsi="Trebuchet MS"/>
                <w:b/>
              </w:rPr>
              <w:t>*</w:t>
            </w:r>
          </w:p>
        </w:tc>
        <w:tc>
          <w:tcPr>
            <w:tcW w:w="1701" w:type="dxa"/>
            <w:vAlign w:val="bottom"/>
          </w:tcPr>
          <w:p w:rsidR="008C5C22" w:rsidRPr="00DA7163" w:rsidRDefault="008C5C22" w:rsidP="008C5C22">
            <w:pPr>
              <w:jc w:val="center"/>
              <w:rPr>
                <w:rFonts w:ascii="Trebuchet MS" w:hAnsi="Trebuchet MS"/>
                <w:b/>
                <w:sz w:val="22"/>
                <w:szCs w:val="22"/>
              </w:rPr>
            </w:pPr>
            <w:r w:rsidRPr="00664D4E">
              <w:rPr>
                <w:rFonts w:ascii="Trebuchet MS" w:hAnsi="Trebuchet MS"/>
                <w:b/>
              </w:rPr>
              <w:t>2018-19</w:t>
            </w:r>
          </w:p>
        </w:tc>
        <w:tc>
          <w:tcPr>
            <w:tcW w:w="1701" w:type="dxa"/>
            <w:vAlign w:val="bottom"/>
          </w:tcPr>
          <w:p w:rsidR="008C5C22" w:rsidRPr="00DA7163" w:rsidRDefault="008C5C22" w:rsidP="008C5C22">
            <w:pPr>
              <w:jc w:val="center"/>
              <w:rPr>
                <w:rFonts w:ascii="Trebuchet MS" w:hAnsi="Trebuchet MS"/>
                <w:b/>
                <w:sz w:val="22"/>
                <w:szCs w:val="22"/>
              </w:rPr>
            </w:pPr>
            <w:r w:rsidRPr="00664D4E">
              <w:rPr>
                <w:rFonts w:ascii="Trebuchet MS" w:hAnsi="Trebuchet MS"/>
                <w:b/>
              </w:rPr>
              <w:t>2017-18</w:t>
            </w:r>
            <w:r>
              <w:rPr>
                <w:rFonts w:ascii="Trebuchet MS" w:hAnsi="Trebuchet MS"/>
                <w:b/>
              </w:rPr>
              <w:t>*</w:t>
            </w:r>
          </w:p>
        </w:tc>
      </w:tr>
      <w:tr w:rsidR="008C5C22" w:rsidRPr="00DA7163" w:rsidTr="002C7D14">
        <w:trPr>
          <w:trHeight w:val="354"/>
        </w:trPr>
        <w:tc>
          <w:tcPr>
            <w:tcW w:w="1878" w:type="dxa"/>
            <w:vAlign w:val="bottom"/>
          </w:tcPr>
          <w:p w:rsidR="008C5C22" w:rsidRPr="00DA7163" w:rsidRDefault="008C5C22" w:rsidP="008C5C22">
            <w:pPr>
              <w:jc w:val="both"/>
              <w:rPr>
                <w:rFonts w:ascii="Trebuchet MS" w:hAnsi="Trebuchet MS"/>
                <w:b/>
                <w:sz w:val="22"/>
                <w:szCs w:val="22"/>
              </w:rPr>
            </w:pPr>
            <w:r w:rsidRPr="00DA7163">
              <w:rPr>
                <w:rFonts w:ascii="Trebuchet MS" w:hAnsi="Trebuchet MS"/>
                <w:b/>
                <w:sz w:val="22"/>
                <w:szCs w:val="22"/>
              </w:rPr>
              <w:t>ADMIN</w:t>
            </w:r>
          </w:p>
        </w:tc>
        <w:tc>
          <w:tcPr>
            <w:tcW w:w="1666" w:type="dxa"/>
            <w:tcBorders>
              <w:top w:val="single" w:sz="4" w:space="0" w:color="auto"/>
              <w:left w:val="nil"/>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664D4E">
              <w:rPr>
                <w:rFonts w:ascii="Trebuchet MS" w:hAnsi="Trebuchet MS" w:cs="Calibri"/>
                <w:color w:val="00000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100%</w:t>
            </w:r>
          </w:p>
        </w:tc>
      </w:tr>
      <w:tr w:rsidR="008C5C22" w:rsidRPr="00DA7163" w:rsidTr="002C7D14">
        <w:trPr>
          <w:trHeight w:val="354"/>
        </w:trPr>
        <w:tc>
          <w:tcPr>
            <w:tcW w:w="1878" w:type="dxa"/>
            <w:vAlign w:val="bottom"/>
          </w:tcPr>
          <w:p w:rsidR="008C5C22" w:rsidRPr="00DA7163" w:rsidRDefault="008C5C22" w:rsidP="008C5C22">
            <w:pPr>
              <w:jc w:val="both"/>
              <w:rPr>
                <w:rFonts w:ascii="Trebuchet MS" w:hAnsi="Trebuchet MS"/>
                <w:b/>
                <w:sz w:val="22"/>
                <w:szCs w:val="22"/>
              </w:rPr>
            </w:pPr>
            <w:r w:rsidRPr="00DA7163">
              <w:rPr>
                <w:rFonts w:ascii="Trebuchet MS" w:hAnsi="Trebuchet MS"/>
                <w:b/>
                <w:sz w:val="22"/>
                <w:szCs w:val="22"/>
              </w:rPr>
              <w:t>CLAO</w:t>
            </w:r>
          </w:p>
        </w:tc>
        <w:tc>
          <w:tcPr>
            <w:tcW w:w="1666" w:type="dxa"/>
            <w:tcBorders>
              <w:top w:val="single" w:sz="4" w:space="0" w:color="auto"/>
              <w:left w:val="nil"/>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664D4E">
              <w:rPr>
                <w:rFonts w:ascii="Trebuchet MS" w:hAnsi="Trebuchet MS" w:cs="Calibri"/>
                <w:color w:val="00000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100%</w:t>
            </w:r>
          </w:p>
        </w:tc>
      </w:tr>
      <w:tr w:rsidR="008C5C22" w:rsidRPr="00DA7163" w:rsidTr="002C7D14">
        <w:trPr>
          <w:trHeight w:val="354"/>
        </w:trPr>
        <w:tc>
          <w:tcPr>
            <w:tcW w:w="1878" w:type="dxa"/>
            <w:vAlign w:val="bottom"/>
          </w:tcPr>
          <w:p w:rsidR="008C5C22" w:rsidRPr="00DA7163" w:rsidRDefault="008C5C22" w:rsidP="008C5C22">
            <w:pPr>
              <w:jc w:val="both"/>
              <w:rPr>
                <w:rFonts w:ascii="Trebuchet MS" w:hAnsi="Trebuchet MS"/>
                <w:b/>
                <w:sz w:val="22"/>
                <w:szCs w:val="22"/>
              </w:rPr>
            </w:pPr>
            <w:r w:rsidRPr="00DA7163">
              <w:rPr>
                <w:rFonts w:ascii="Trebuchet MS" w:hAnsi="Trebuchet MS"/>
                <w:b/>
                <w:sz w:val="22"/>
                <w:szCs w:val="22"/>
              </w:rPr>
              <w:t>PDSO</w:t>
            </w:r>
          </w:p>
        </w:tc>
        <w:tc>
          <w:tcPr>
            <w:tcW w:w="1666" w:type="dxa"/>
            <w:tcBorders>
              <w:top w:val="single" w:sz="4" w:space="0" w:color="auto"/>
              <w:left w:val="nil"/>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664D4E">
              <w:rPr>
                <w:rFonts w:ascii="Trebuchet MS" w:hAnsi="Trebuchet MS" w:cs="Calibri"/>
                <w:color w:val="00000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100%</w:t>
            </w:r>
          </w:p>
        </w:tc>
      </w:tr>
      <w:tr w:rsidR="008C5C22" w:rsidRPr="00DA7163" w:rsidTr="002C7D14">
        <w:trPr>
          <w:trHeight w:val="354"/>
        </w:trPr>
        <w:tc>
          <w:tcPr>
            <w:tcW w:w="1878" w:type="dxa"/>
            <w:vAlign w:val="bottom"/>
          </w:tcPr>
          <w:p w:rsidR="008C5C22" w:rsidRPr="00DA7163" w:rsidRDefault="008C5C22" w:rsidP="008C5C22">
            <w:pPr>
              <w:jc w:val="both"/>
              <w:rPr>
                <w:rFonts w:ascii="Trebuchet MS" w:hAnsi="Trebuchet MS" w:cstheme="minorHAnsi"/>
                <w:b/>
                <w:sz w:val="22"/>
                <w:szCs w:val="22"/>
              </w:rPr>
            </w:pPr>
            <w:r w:rsidRPr="00DA7163">
              <w:rPr>
                <w:rFonts w:ascii="Trebuchet MS" w:hAnsi="Trebuchet MS" w:cstheme="minorHAnsi"/>
                <w:b/>
                <w:sz w:val="22"/>
                <w:szCs w:val="22"/>
              </w:rPr>
              <w:t>TOTAL</w:t>
            </w:r>
          </w:p>
        </w:tc>
        <w:tc>
          <w:tcPr>
            <w:tcW w:w="1666" w:type="dxa"/>
            <w:tcBorders>
              <w:top w:val="single" w:sz="4" w:space="0" w:color="auto"/>
              <w:left w:val="nil"/>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664D4E">
              <w:rPr>
                <w:rFonts w:ascii="Trebuchet MS" w:hAnsi="Trebuchet MS" w:cs="Calibri"/>
                <w:color w:val="00000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C5C22" w:rsidRPr="00DA7163" w:rsidRDefault="008C5C22" w:rsidP="008C5C22">
            <w:pPr>
              <w:jc w:val="center"/>
              <w:rPr>
                <w:rFonts w:ascii="Trebuchet MS" w:hAnsi="Trebuchet MS" w:cs="Calibri"/>
                <w:color w:val="000000"/>
                <w:sz w:val="22"/>
                <w:szCs w:val="22"/>
              </w:rPr>
            </w:pPr>
            <w:r w:rsidRPr="007B33B6">
              <w:rPr>
                <w:rFonts w:ascii="Trebuchet MS" w:hAnsi="Trebuchet MS" w:cs="Calibri"/>
                <w:color w:val="000000"/>
              </w:rPr>
              <w:t>100%</w:t>
            </w:r>
          </w:p>
        </w:tc>
      </w:tr>
    </w:tbl>
    <w:p w:rsidR="008C5C22" w:rsidRPr="008C5C22" w:rsidRDefault="008C5C22" w:rsidP="008C5C22">
      <w:pPr>
        <w:spacing w:before="120"/>
        <w:jc w:val="both"/>
        <w:rPr>
          <w:rFonts w:eastAsia="Times New Roman" w:cs="Times New Roman"/>
          <w:sz w:val="16"/>
          <w:szCs w:val="16"/>
        </w:rPr>
      </w:pPr>
      <w:r w:rsidRPr="008C5C22">
        <w:rPr>
          <w:rFonts w:eastAsia="Times New Roman" w:cs="Times New Roman"/>
          <w:sz w:val="16"/>
          <w:szCs w:val="16"/>
        </w:rPr>
        <w:t>*Comparatives for 2017-18 are to November 2017.  December figures were not available due to the new finance system going live in that month.</w:t>
      </w:r>
    </w:p>
    <w:p w:rsidR="00852226" w:rsidRDefault="00255D5A" w:rsidP="00255D5A">
      <w:pPr>
        <w:spacing w:before="120"/>
        <w:jc w:val="both"/>
        <w:rPr>
          <w:rFonts w:eastAsia="Times New Roman" w:cs="Times New Roman"/>
          <w:sz w:val="24"/>
          <w:szCs w:val="24"/>
        </w:rPr>
      </w:pPr>
      <w:r w:rsidRPr="00DA7163">
        <w:rPr>
          <w:rFonts w:eastAsia="Times New Roman" w:cs="Times New Roman"/>
          <w:sz w:val="24"/>
          <w:szCs w:val="24"/>
        </w:rPr>
        <w:t xml:space="preserve">The overall performance for the year to date is, in total, lower than last year due to the ongoing process of integrating the new Oracle cloud system.  </w:t>
      </w:r>
      <w:r w:rsidR="00B16CF6" w:rsidRPr="00DA7163">
        <w:rPr>
          <w:rFonts w:eastAsia="Times New Roman" w:cs="Times New Roman"/>
          <w:sz w:val="24"/>
          <w:szCs w:val="24"/>
        </w:rPr>
        <w:t>However, p</w:t>
      </w:r>
      <w:r w:rsidR="00852226" w:rsidRPr="00DA7163">
        <w:rPr>
          <w:rFonts w:eastAsia="Times New Roman" w:cs="Times New Roman"/>
          <w:sz w:val="24"/>
          <w:szCs w:val="24"/>
        </w:rPr>
        <w:t>erformance continues to improve month by month.</w:t>
      </w:r>
    </w:p>
    <w:p w:rsidR="00094CB8" w:rsidRDefault="00094CB8" w:rsidP="00255D5A">
      <w:pPr>
        <w:spacing w:before="120"/>
        <w:jc w:val="both"/>
        <w:rPr>
          <w:rFonts w:eastAsia="Times New Roman" w:cs="Times New Roman"/>
          <w:sz w:val="24"/>
          <w:szCs w:val="24"/>
        </w:rPr>
      </w:pPr>
    </w:p>
    <w:p w:rsidR="00094CB8" w:rsidRDefault="00094CB8" w:rsidP="00255D5A">
      <w:pPr>
        <w:spacing w:before="120"/>
        <w:jc w:val="both"/>
        <w:rPr>
          <w:rFonts w:eastAsia="Times New Roman" w:cs="Times New Roman"/>
          <w:sz w:val="24"/>
          <w:szCs w:val="24"/>
        </w:rPr>
      </w:pPr>
    </w:p>
    <w:p w:rsidR="00094CB8" w:rsidRDefault="00094CB8" w:rsidP="00255D5A">
      <w:pPr>
        <w:spacing w:before="120"/>
        <w:jc w:val="both"/>
        <w:rPr>
          <w:rFonts w:eastAsia="Times New Roman" w:cs="Times New Roman"/>
          <w:sz w:val="24"/>
          <w:szCs w:val="24"/>
        </w:rPr>
      </w:pPr>
    </w:p>
    <w:p w:rsidR="003E6C49" w:rsidRDefault="003E6C49" w:rsidP="004C5E2C">
      <w:pPr>
        <w:keepNext/>
        <w:outlineLvl w:val="0"/>
        <w:rPr>
          <w:rFonts w:eastAsia="Times New Roman" w:cs="Times New Roman"/>
          <w:sz w:val="24"/>
          <w:szCs w:val="24"/>
        </w:rPr>
      </w:pPr>
    </w:p>
    <w:p w:rsidR="004F4E59" w:rsidRDefault="004F4E59" w:rsidP="004C5E2C">
      <w:pPr>
        <w:keepNext/>
        <w:outlineLvl w:val="0"/>
        <w:rPr>
          <w:rFonts w:eastAsia="Times New Roman" w:cs="Times New Roman"/>
          <w:sz w:val="24"/>
          <w:szCs w:val="24"/>
        </w:rPr>
      </w:pPr>
    </w:p>
    <w:p w:rsidR="004F4E59" w:rsidRDefault="004F4E59" w:rsidP="004C5E2C">
      <w:pPr>
        <w:keepNext/>
        <w:outlineLvl w:val="0"/>
        <w:rPr>
          <w:rFonts w:eastAsia="Times New Roman" w:cs="Times New Roman"/>
          <w:sz w:val="24"/>
          <w:szCs w:val="24"/>
        </w:rPr>
      </w:pPr>
    </w:p>
    <w:p w:rsidR="004C5E2C" w:rsidRPr="003053A9" w:rsidRDefault="004C5E2C" w:rsidP="004C5E2C">
      <w:pPr>
        <w:keepNext/>
        <w:outlineLvl w:val="0"/>
        <w:rPr>
          <w:rFonts w:eastAsia="Times New Roman" w:cstheme="minorHAnsi"/>
          <w:b/>
          <w:bCs/>
          <w:caps/>
          <w:sz w:val="24"/>
          <w:szCs w:val="24"/>
        </w:rPr>
      </w:pPr>
      <w:r w:rsidRPr="003053A9">
        <w:rPr>
          <w:rFonts w:eastAsia="Times New Roman" w:cstheme="minorHAnsi"/>
          <w:b/>
          <w:bCs/>
          <w:caps/>
          <w:sz w:val="24"/>
          <w:szCs w:val="24"/>
        </w:rPr>
        <w:t xml:space="preserve">Human resources </w:t>
      </w:r>
    </w:p>
    <w:p w:rsidR="004C5E2C" w:rsidRPr="003053A9" w:rsidRDefault="004C5E2C" w:rsidP="004C5E2C">
      <w:pPr>
        <w:rPr>
          <w:rFonts w:eastAsia="Times New Roman" w:cs="Times New Roman"/>
          <w:sz w:val="24"/>
          <w:szCs w:val="24"/>
        </w:rPr>
      </w:pPr>
    </w:p>
    <w:p w:rsidR="004C5E2C" w:rsidRPr="00FF4C57" w:rsidRDefault="008C5C22" w:rsidP="00FF4C57">
      <w:pPr>
        <w:keepNext/>
        <w:numPr>
          <w:ilvl w:val="1"/>
          <w:numId w:val="0"/>
        </w:numPr>
        <w:tabs>
          <w:tab w:val="num" w:pos="576"/>
        </w:tabs>
        <w:spacing w:after="120"/>
        <w:ind w:left="576" w:hanging="576"/>
        <w:outlineLvl w:val="1"/>
        <w:rPr>
          <w:rFonts w:eastAsia="Times New Roman" w:cs="Times New Roman"/>
          <w:b/>
          <w:sz w:val="24"/>
          <w:szCs w:val="24"/>
        </w:rPr>
      </w:pPr>
      <w:r w:rsidRPr="00FF4C57">
        <w:rPr>
          <w:rFonts w:eastAsia="Times New Roman" w:cs="Times New Roman"/>
          <w:b/>
          <w:sz w:val="24"/>
          <w:szCs w:val="24"/>
        </w:rPr>
        <w:t>7</w:t>
      </w:r>
      <w:r w:rsidR="004E430C" w:rsidRPr="00FF4C57">
        <w:rPr>
          <w:rFonts w:eastAsia="Times New Roman" w:cs="Times New Roman"/>
          <w:b/>
          <w:sz w:val="24"/>
          <w:szCs w:val="24"/>
        </w:rPr>
        <w:t xml:space="preserve">. </w:t>
      </w:r>
      <w:r w:rsidR="004C5E2C" w:rsidRPr="00FF4C57">
        <w:rPr>
          <w:rFonts w:eastAsia="Times New Roman" w:cs="Times New Roman"/>
          <w:b/>
          <w:sz w:val="24"/>
          <w:szCs w:val="24"/>
        </w:rPr>
        <w:t xml:space="preserve">Sickness Absence </w:t>
      </w:r>
    </w:p>
    <w:p w:rsidR="004C5E2C" w:rsidRPr="003053A9" w:rsidRDefault="004C5E2C" w:rsidP="004C5E2C">
      <w:pPr>
        <w:spacing w:after="120"/>
        <w:jc w:val="both"/>
        <w:rPr>
          <w:rFonts w:eastAsia="Times New Roman" w:cs="Times New Roman"/>
          <w:sz w:val="24"/>
          <w:szCs w:val="24"/>
        </w:rPr>
      </w:pPr>
      <w:r w:rsidRPr="003053A9">
        <w:rPr>
          <w:rFonts w:eastAsia="Times New Roman" w:cs="Times New Roman"/>
          <w:sz w:val="24"/>
          <w:szCs w:val="24"/>
        </w:rPr>
        <w:t xml:space="preserve">The table below provides information relating to employee sickness absence for </w:t>
      </w:r>
      <w:r w:rsidR="003053A9" w:rsidRPr="003053A9">
        <w:rPr>
          <w:rFonts w:eastAsia="Times New Roman" w:cs="Times New Roman"/>
          <w:sz w:val="24"/>
          <w:szCs w:val="24"/>
        </w:rPr>
        <w:t>the period 1 April to 31 December</w:t>
      </w:r>
      <w:r w:rsidRPr="003053A9">
        <w:rPr>
          <w:rFonts w:eastAsia="Times New Roman" w:cs="Times New Roman"/>
          <w:sz w:val="24"/>
          <w:szCs w:val="24"/>
        </w:rPr>
        <w:t xml:space="preserve"> 2018:</w:t>
      </w:r>
    </w:p>
    <w:tbl>
      <w:tblPr>
        <w:tblW w:w="98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1417"/>
        <w:gridCol w:w="1418"/>
        <w:gridCol w:w="1417"/>
        <w:gridCol w:w="1559"/>
        <w:gridCol w:w="1134"/>
      </w:tblGrid>
      <w:tr w:rsidR="004C5E2C" w:rsidRPr="003053A9" w:rsidTr="00DC54E1">
        <w:trPr>
          <w:trHeight w:val="314"/>
        </w:trPr>
        <w:tc>
          <w:tcPr>
            <w:tcW w:w="2858" w:type="dxa"/>
            <w:vMerge w:val="restart"/>
            <w:shd w:val="clear" w:color="auto" w:fill="CCFFFF"/>
          </w:tcPr>
          <w:p w:rsidR="004C5E2C" w:rsidRPr="003053A9" w:rsidRDefault="004C5E2C" w:rsidP="00DC54E1">
            <w:pPr>
              <w:rPr>
                <w:rFonts w:eastAsia="Times New Roman" w:cs="Times New Roman"/>
                <w:color w:val="000000" w:themeColor="text1"/>
                <w:sz w:val="22"/>
                <w:szCs w:val="22"/>
              </w:rPr>
            </w:pPr>
          </w:p>
          <w:p w:rsidR="004C5E2C" w:rsidRPr="003053A9" w:rsidRDefault="004C5E2C" w:rsidP="00DC54E1">
            <w:pPr>
              <w:rPr>
                <w:rFonts w:eastAsia="Times New Roman" w:cs="Times New Roman"/>
                <w:color w:val="000000" w:themeColor="text1"/>
                <w:sz w:val="22"/>
                <w:szCs w:val="22"/>
              </w:rPr>
            </w:pPr>
            <w:r w:rsidRPr="003053A9">
              <w:rPr>
                <w:rFonts w:eastAsia="Times New Roman" w:cs="Times New Roman"/>
                <w:color w:val="000000" w:themeColor="text1"/>
                <w:sz w:val="22"/>
                <w:szCs w:val="22"/>
              </w:rPr>
              <w:t>Cumulative Summary</w:t>
            </w:r>
          </w:p>
        </w:tc>
        <w:tc>
          <w:tcPr>
            <w:tcW w:w="6945" w:type="dxa"/>
            <w:gridSpan w:val="5"/>
            <w:shd w:val="clear" w:color="auto" w:fill="CCFFFF"/>
            <w:vAlign w:val="center"/>
          </w:tcPr>
          <w:p w:rsidR="004C5E2C" w:rsidRPr="003053A9" w:rsidRDefault="004C5E2C" w:rsidP="00DC54E1">
            <w:pPr>
              <w:ind w:left="540"/>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Days  per Whole Time Equivalent (</w:t>
            </w:r>
            <w:proofErr w:type="spellStart"/>
            <w:r w:rsidRPr="003053A9">
              <w:rPr>
                <w:rFonts w:eastAsia="Times New Roman" w:cs="Times New Roman"/>
                <w:color w:val="000000" w:themeColor="text1"/>
                <w:sz w:val="22"/>
                <w:szCs w:val="22"/>
              </w:rPr>
              <w:t>wte</w:t>
            </w:r>
            <w:proofErr w:type="spellEnd"/>
            <w:r w:rsidRPr="003053A9">
              <w:rPr>
                <w:rFonts w:eastAsia="Times New Roman" w:cs="Times New Roman"/>
                <w:color w:val="000000" w:themeColor="text1"/>
                <w:sz w:val="22"/>
                <w:szCs w:val="22"/>
              </w:rPr>
              <w:t>)</w:t>
            </w:r>
          </w:p>
        </w:tc>
      </w:tr>
      <w:tr w:rsidR="004C5E2C" w:rsidRPr="003053A9" w:rsidTr="00DC54E1">
        <w:trPr>
          <w:trHeight w:val="501"/>
        </w:trPr>
        <w:tc>
          <w:tcPr>
            <w:tcW w:w="2858" w:type="dxa"/>
            <w:vMerge/>
            <w:shd w:val="clear" w:color="auto" w:fill="CCFFFF"/>
          </w:tcPr>
          <w:p w:rsidR="004C5E2C" w:rsidRPr="003053A9" w:rsidRDefault="004C5E2C" w:rsidP="00DC54E1">
            <w:pPr>
              <w:rPr>
                <w:rFonts w:eastAsia="Times New Roman" w:cs="Times New Roman"/>
                <w:color w:val="000000" w:themeColor="text1"/>
                <w:sz w:val="22"/>
                <w:szCs w:val="22"/>
              </w:rPr>
            </w:pPr>
          </w:p>
        </w:tc>
        <w:tc>
          <w:tcPr>
            <w:tcW w:w="1417" w:type="dxa"/>
            <w:shd w:val="clear" w:color="auto" w:fill="CCFFFF"/>
          </w:tcPr>
          <w:p w:rsidR="004C5E2C" w:rsidRPr="003053A9" w:rsidRDefault="004C5E2C" w:rsidP="00DC54E1">
            <w:pPr>
              <w:jc w:val="center"/>
              <w:rPr>
                <w:rFonts w:eastAsia="Times New Roman" w:cs="Times New Roman"/>
                <w:bCs/>
                <w:color w:val="000000" w:themeColor="text1"/>
                <w:sz w:val="22"/>
                <w:szCs w:val="22"/>
              </w:rPr>
            </w:pPr>
            <w:r w:rsidRPr="003053A9">
              <w:rPr>
                <w:rFonts w:eastAsia="Times New Roman" w:cs="Times New Roman"/>
                <w:bCs/>
                <w:color w:val="000000" w:themeColor="text1"/>
                <w:sz w:val="22"/>
                <w:szCs w:val="22"/>
              </w:rPr>
              <w:t xml:space="preserve">Actual to </w:t>
            </w:r>
          </w:p>
          <w:p w:rsidR="004C5E2C" w:rsidRPr="003053A9" w:rsidRDefault="003053A9" w:rsidP="00DC54E1">
            <w:pPr>
              <w:jc w:val="center"/>
              <w:rPr>
                <w:rFonts w:eastAsia="Times New Roman" w:cs="Times New Roman"/>
                <w:bCs/>
                <w:color w:val="000000" w:themeColor="text1"/>
                <w:sz w:val="22"/>
                <w:szCs w:val="22"/>
              </w:rPr>
            </w:pPr>
            <w:r w:rsidRPr="003053A9">
              <w:rPr>
                <w:rFonts w:eastAsia="Times New Roman" w:cs="Times New Roman"/>
                <w:bCs/>
                <w:color w:val="000000" w:themeColor="text1"/>
                <w:sz w:val="22"/>
                <w:szCs w:val="22"/>
              </w:rPr>
              <w:t>31 Dec</w:t>
            </w:r>
            <w:r w:rsidR="004C5E2C" w:rsidRPr="003053A9">
              <w:rPr>
                <w:rFonts w:eastAsia="Times New Roman" w:cs="Times New Roman"/>
                <w:bCs/>
                <w:color w:val="000000" w:themeColor="text1"/>
                <w:sz w:val="22"/>
                <w:szCs w:val="22"/>
              </w:rPr>
              <w:t xml:space="preserve"> 2018</w:t>
            </w:r>
          </w:p>
        </w:tc>
        <w:tc>
          <w:tcPr>
            <w:tcW w:w="1418" w:type="dxa"/>
            <w:shd w:val="clear" w:color="auto" w:fill="CCFFFF"/>
          </w:tcPr>
          <w:p w:rsidR="004C5E2C" w:rsidRPr="003053A9" w:rsidRDefault="004C5E2C" w:rsidP="004C5E2C">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Target to 3</w:t>
            </w:r>
            <w:r w:rsidR="00DC54E1" w:rsidRPr="003053A9">
              <w:rPr>
                <w:rFonts w:eastAsia="Times New Roman" w:cs="Times New Roman"/>
                <w:color w:val="000000" w:themeColor="text1"/>
                <w:sz w:val="22"/>
                <w:szCs w:val="22"/>
              </w:rPr>
              <w:t>1</w:t>
            </w:r>
            <w:r w:rsidRPr="003053A9">
              <w:rPr>
                <w:rFonts w:eastAsia="Times New Roman" w:cs="Times New Roman"/>
                <w:color w:val="000000" w:themeColor="text1"/>
                <w:sz w:val="22"/>
                <w:szCs w:val="22"/>
              </w:rPr>
              <w:t xml:space="preserve"> </w:t>
            </w:r>
            <w:r w:rsidR="003053A9" w:rsidRPr="003053A9">
              <w:rPr>
                <w:rFonts w:eastAsia="Times New Roman" w:cs="Times New Roman"/>
                <w:color w:val="000000" w:themeColor="text1"/>
                <w:sz w:val="22"/>
                <w:szCs w:val="22"/>
              </w:rPr>
              <w:t>Dec</w:t>
            </w:r>
            <w:r w:rsidRPr="003053A9">
              <w:rPr>
                <w:rFonts w:eastAsia="Times New Roman" w:cs="Times New Roman"/>
                <w:color w:val="000000" w:themeColor="text1"/>
                <w:sz w:val="22"/>
                <w:szCs w:val="22"/>
              </w:rPr>
              <w:t xml:space="preserve">   2018</w:t>
            </w:r>
          </w:p>
        </w:tc>
        <w:tc>
          <w:tcPr>
            <w:tcW w:w="1417" w:type="dxa"/>
            <w:shd w:val="clear" w:color="auto" w:fill="CCFFFF"/>
          </w:tcPr>
          <w:p w:rsidR="004C5E2C" w:rsidRPr="003053A9" w:rsidRDefault="004C5E2C" w:rsidP="00DC54E1">
            <w:pPr>
              <w:ind w:left="24"/>
              <w:jc w:val="center"/>
              <w:rPr>
                <w:rFonts w:eastAsia="Times New Roman" w:cs="Times New Roman"/>
                <w:color w:val="000000" w:themeColor="text1"/>
                <w:sz w:val="22"/>
                <w:szCs w:val="22"/>
              </w:rPr>
            </w:pPr>
          </w:p>
          <w:p w:rsidR="004C5E2C" w:rsidRPr="003053A9" w:rsidRDefault="004C5E2C" w:rsidP="00DC54E1">
            <w:pPr>
              <w:ind w:left="24"/>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 xml:space="preserve">Variance </w:t>
            </w:r>
          </w:p>
        </w:tc>
        <w:tc>
          <w:tcPr>
            <w:tcW w:w="1559" w:type="dxa"/>
            <w:shd w:val="clear" w:color="auto" w:fill="CCFFFF"/>
          </w:tcPr>
          <w:p w:rsidR="004C5E2C" w:rsidRPr="003053A9" w:rsidRDefault="004C5E2C"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 xml:space="preserve">L.Y. actual to </w:t>
            </w:r>
          </w:p>
          <w:p w:rsidR="004C5E2C" w:rsidRPr="003053A9" w:rsidRDefault="004C5E2C"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3</w:t>
            </w:r>
            <w:r w:rsidR="00DC54E1" w:rsidRPr="003053A9">
              <w:rPr>
                <w:rFonts w:eastAsia="Times New Roman" w:cs="Times New Roman"/>
                <w:color w:val="000000" w:themeColor="text1"/>
                <w:sz w:val="22"/>
                <w:szCs w:val="22"/>
              </w:rPr>
              <w:t>1</w:t>
            </w:r>
            <w:r w:rsidRPr="003053A9">
              <w:rPr>
                <w:rFonts w:eastAsia="Times New Roman" w:cs="Times New Roman"/>
                <w:color w:val="000000" w:themeColor="text1"/>
                <w:sz w:val="22"/>
                <w:szCs w:val="22"/>
              </w:rPr>
              <w:t xml:space="preserve"> </w:t>
            </w:r>
            <w:r w:rsidR="003053A9" w:rsidRPr="003053A9">
              <w:rPr>
                <w:rFonts w:eastAsia="Times New Roman" w:cs="Times New Roman"/>
                <w:color w:val="000000" w:themeColor="text1"/>
                <w:sz w:val="22"/>
                <w:szCs w:val="22"/>
              </w:rPr>
              <w:t>Dec</w:t>
            </w:r>
            <w:r w:rsidRPr="003053A9">
              <w:rPr>
                <w:rFonts w:eastAsia="Times New Roman" w:cs="Times New Roman"/>
                <w:color w:val="000000" w:themeColor="text1"/>
                <w:sz w:val="22"/>
                <w:szCs w:val="22"/>
              </w:rPr>
              <w:t xml:space="preserve"> 201</w:t>
            </w:r>
            <w:r w:rsidR="00DC54E1" w:rsidRPr="003053A9">
              <w:rPr>
                <w:rFonts w:eastAsia="Times New Roman" w:cs="Times New Roman"/>
                <w:color w:val="000000" w:themeColor="text1"/>
                <w:sz w:val="22"/>
                <w:szCs w:val="22"/>
              </w:rPr>
              <w:t>7</w:t>
            </w:r>
          </w:p>
        </w:tc>
        <w:tc>
          <w:tcPr>
            <w:tcW w:w="1134" w:type="dxa"/>
            <w:shd w:val="clear" w:color="auto" w:fill="CCFFFF"/>
          </w:tcPr>
          <w:p w:rsidR="004C5E2C" w:rsidRPr="003053A9" w:rsidRDefault="004C5E2C" w:rsidP="00DC54E1">
            <w:pPr>
              <w:ind w:left="540"/>
              <w:jc w:val="center"/>
              <w:rPr>
                <w:rFonts w:eastAsia="Times New Roman" w:cs="Times New Roman"/>
                <w:color w:val="000000" w:themeColor="text1"/>
                <w:sz w:val="22"/>
                <w:szCs w:val="22"/>
              </w:rPr>
            </w:pPr>
          </w:p>
          <w:p w:rsidR="004C5E2C" w:rsidRPr="003053A9" w:rsidRDefault="004C5E2C" w:rsidP="00DC54E1">
            <w:pPr>
              <w:rPr>
                <w:rFonts w:eastAsia="Times New Roman" w:cs="Times New Roman"/>
                <w:color w:val="000000" w:themeColor="text1"/>
                <w:sz w:val="22"/>
                <w:szCs w:val="22"/>
              </w:rPr>
            </w:pPr>
            <w:r w:rsidRPr="003053A9">
              <w:rPr>
                <w:rFonts w:eastAsia="Times New Roman" w:cs="Times New Roman"/>
                <w:color w:val="000000" w:themeColor="text1"/>
                <w:sz w:val="22"/>
                <w:szCs w:val="22"/>
              </w:rPr>
              <w:t xml:space="preserve">  Variance</w:t>
            </w:r>
          </w:p>
        </w:tc>
      </w:tr>
      <w:tr w:rsidR="004C5E2C" w:rsidRPr="003053A9" w:rsidTr="00DC54E1">
        <w:trPr>
          <w:trHeight w:val="284"/>
        </w:trPr>
        <w:tc>
          <w:tcPr>
            <w:tcW w:w="2858" w:type="dxa"/>
            <w:shd w:val="clear" w:color="auto" w:fill="CCFFFF"/>
            <w:vAlign w:val="bottom"/>
          </w:tcPr>
          <w:p w:rsidR="004C5E2C" w:rsidRPr="003053A9" w:rsidRDefault="004C5E2C" w:rsidP="00DC54E1">
            <w:pPr>
              <w:rPr>
                <w:rFonts w:eastAsia="Times New Roman" w:cs="Times New Roman"/>
                <w:color w:val="000000" w:themeColor="text1"/>
                <w:sz w:val="22"/>
                <w:szCs w:val="22"/>
              </w:rPr>
            </w:pPr>
            <w:r w:rsidRPr="003053A9">
              <w:rPr>
                <w:rFonts w:eastAsia="Times New Roman" w:cs="Times New Roman"/>
                <w:color w:val="000000" w:themeColor="text1"/>
                <w:sz w:val="22"/>
                <w:szCs w:val="22"/>
              </w:rPr>
              <w:t>Self-Certified</w:t>
            </w:r>
          </w:p>
        </w:tc>
        <w:tc>
          <w:tcPr>
            <w:tcW w:w="1417" w:type="dxa"/>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b/>
                <w:bCs/>
                <w:color w:val="000000" w:themeColor="text1"/>
                <w:sz w:val="22"/>
                <w:szCs w:val="22"/>
              </w:rPr>
              <w:t>1.9</w:t>
            </w:r>
          </w:p>
        </w:tc>
        <w:tc>
          <w:tcPr>
            <w:tcW w:w="1418" w:type="dxa"/>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2.2</w:t>
            </w:r>
          </w:p>
        </w:tc>
        <w:tc>
          <w:tcPr>
            <w:tcW w:w="1417" w:type="dxa"/>
            <w:shd w:val="clear" w:color="auto" w:fill="FFFFFF"/>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0.3</w:t>
            </w:r>
          </w:p>
        </w:tc>
        <w:tc>
          <w:tcPr>
            <w:tcW w:w="1559" w:type="dxa"/>
            <w:tcBorders>
              <w:bottom w:val="nil"/>
            </w:tcBorders>
          </w:tcPr>
          <w:p w:rsidR="004C5E2C" w:rsidRPr="003053A9" w:rsidRDefault="003053A9" w:rsidP="00DC54E1">
            <w:pPr>
              <w:jc w:val="center"/>
              <w:rPr>
                <w:rFonts w:eastAsia="Times New Roman" w:cs="Raavi"/>
                <w:color w:val="000000" w:themeColor="text1"/>
                <w:sz w:val="22"/>
                <w:szCs w:val="22"/>
              </w:rPr>
            </w:pPr>
            <w:r w:rsidRPr="003053A9">
              <w:rPr>
                <w:rFonts w:eastAsia="Times New Roman" w:cs="Raavi"/>
                <w:color w:val="000000" w:themeColor="text1"/>
                <w:sz w:val="22"/>
                <w:szCs w:val="22"/>
              </w:rPr>
              <w:t>2.0</w:t>
            </w:r>
          </w:p>
        </w:tc>
        <w:tc>
          <w:tcPr>
            <w:tcW w:w="1134" w:type="dxa"/>
            <w:shd w:val="clear" w:color="auto" w:fill="auto"/>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0.1</w:t>
            </w:r>
          </w:p>
        </w:tc>
      </w:tr>
      <w:tr w:rsidR="004C5E2C" w:rsidRPr="003053A9" w:rsidTr="00DC54E1">
        <w:trPr>
          <w:trHeight w:val="284"/>
        </w:trPr>
        <w:tc>
          <w:tcPr>
            <w:tcW w:w="2858" w:type="dxa"/>
            <w:shd w:val="clear" w:color="auto" w:fill="CCFFFF"/>
            <w:vAlign w:val="bottom"/>
          </w:tcPr>
          <w:p w:rsidR="004C5E2C" w:rsidRPr="003053A9" w:rsidRDefault="004C5E2C" w:rsidP="00DC54E1">
            <w:pPr>
              <w:rPr>
                <w:rFonts w:eastAsia="Times New Roman" w:cs="Times New Roman"/>
                <w:color w:val="000000" w:themeColor="text1"/>
                <w:sz w:val="22"/>
                <w:szCs w:val="22"/>
              </w:rPr>
            </w:pPr>
            <w:r w:rsidRPr="003053A9">
              <w:rPr>
                <w:rFonts w:eastAsia="Times New Roman" w:cs="Times New Roman"/>
                <w:color w:val="000000" w:themeColor="text1"/>
                <w:sz w:val="22"/>
                <w:szCs w:val="22"/>
              </w:rPr>
              <w:t>Certified</w:t>
            </w:r>
          </w:p>
        </w:tc>
        <w:tc>
          <w:tcPr>
            <w:tcW w:w="1417" w:type="dxa"/>
            <w:shd w:val="clear" w:color="auto" w:fill="auto"/>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b/>
                <w:bCs/>
                <w:color w:val="000000" w:themeColor="text1"/>
                <w:sz w:val="22"/>
                <w:szCs w:val="22"/>
              </w:rPr>
              <w:t>3.4</w:t>
            </w:r>
          </w:p>
        </w:tc>
        <w:tc>
          <w:tcPr>
            <w:tcW w:w="1418" w:type="dxa"/>
            <w:shd w:val="clear" w:color="auto" w:fill="CCFFFF"/>
            <w:vAlign w:val="bottom"/>
          </w:tcPr>
          <w:p w:rsidR="004C5E2C" w:rsidRPr="003053A9" w:rsidRDefault="004C5E2C" w:rsidP="00DC54E1">
            <w:pPr>
              <w:jc w:val="center"/>
              <w:rPr>
                <w:rFonts w:eastAsia="Times New Roman" w:cs="Times New Roman"/>
                <w:color w:val="000000" w:themeColor="text1"/>
                <w:sz w:val="22"/>
                <w:szCs w:val="22"/>
              </w:rPr>
            </w:pPr>
          </w:p>
        </w:tc>
        <w:tc>
          <w:tcPr>
            <w:tcW w:w="1417" w:type="dxa"/>
            <w:shd w:val="clear" w:color="auto" w:fill="CCFFFF"/>
            <w:vAlign w:val="bottom"/>
          </w:tcPr>
          <w:p w:rsidR="004C5E2C" w:rsidRPr="003053A9" w:rsidRDefault="004C5E2C" w:rsidP="00DC54E1">
            <w:pPr>
              <w:jc w:val="center"/>
              <w:rPr>
                <w:rFonts w:eastAsia="Times New Roman" w:cs="Times New Roman"/>
                <w:color w:val="000000" w:themeColor="text1"/>
                <w:sz w:val="22"/>
                <w:szCs w:val="22"/>
              </w:rPr>
            </w:pPr>
          </w:p>
        </w:tc>
        <w:tc>
          <w:tcPr>
            <w:tcW w:w="1559" w:type="dxa"/>
            <w:tcBorders>
              <w:bottom w:val="nil"/>
            </w:tcBorders>
          </w:tcPr>
          <w:p w:rsidR="004C5E2C" w:rsidRPr="003053A9" w:rsidRDefault="003053A9" w:rsidP="00DC54E1">
            <w:pPr>
              <w:jc w:val="center"/>
              <w:rPr>
                <w:rFonts w:eastAsia="Times New Roman" w:cs="Raavi"/>
                <w:color w:val="000000" w:themeColor="text1"/>
                <w:sz w:val="22"/>
                <w:szCs w:val="22"/>
              </w:rPr>
            </w:pPr>
            <w:r w:rsidRPr="003053A9">
              <w:rPr>
                <w:rFonts w:eastAsia="Times New Roman" w:cs="Raavi"/>
                <w:color w:val="000000" w:themeColor="text1"/>
                <w:sz w:val="22"/>
                <w:szCs w:val="22"/>
              </w:rPr>
              <w:t>4.5</w:t>
            </w:r>
          </w:p>
        </w:tc>
        <w:tc>
          <w:tcPr>
            <w:tcW w:w="1134" w:type="dxa"/>
            <w:shd w:val="clear" w:color="auto" w:fill="auto"/>
            <w:vAlign w:val="bottom"/>
          </w:tcPr>
          <w:p w:rsidR="004C5E2C" w:rsidRPr="003053A9" w:rsidRDefault="003053A9" w:rsidP="00DC54E1">
            <w:pPr>
              <w:jc w:val="center"/>
              <w:rPr>
                <w:rFonts w:eastAsia="Times New Roman" w:cs="Times New Roman"/>
                <w:color w:val="000000" w:themeColor="text1"/>
                <w:sz w:val="22"/>
                <w:szCs w:val="22"/>
              </w:rPr>
            </w:pPr>
            <w:r w:rsidRPr="003053A9">
              <w:rPr>
                <w:rFonts w:eastAsia="Times New Roman" w:cs="Times New Roman"/>
                <w:color w:val="000000" w:themeColor="text1"/>
                <w:sz w:val="22"/>
                <w:szCs w:val="22"/>
              </w:rPr>
              <w:t>1.1</w:t>
            </w:r>
          </w:p>
        </w:tc>
      </w:tr>
      <w:tr w:rsidR="004C5E2C" w:rsidRPr="008C5C22" w:rsidTr="00DC54E1">
        <w:trPr>
          <w:trHeight w:val="261"/>
        </w:trPr>
        <w:tc>
          <w:tcPr>
            <w:tcW w:w="2858" w:type="dxa"/>
            <w:shd w:val="clear" w:color="auto" w:fill="CCFFFF"/>
            <w:vAlign w:val="bottom"/>
          </w:tcPr>
          <w:p w:rsidR="004C5E2C" w:rsidRPr="003053A9" w:rsidRDefault="004C5E2C" w:rsidP="00DC54E1">
            <w:pPr>
              <w:rPr>
                <w:rFonts w:eastAsia="Times New Roman" w:cs="Times New Roman"/>
                <w:bCs/>
                <w:color w:val="000000" w:themeColor="text1"/>
                <w:sz w:val="22"/>
                <w:szCs w:val="22"/>
              </w:rPr>
            </w:pPr>
            <w:r w:rsidRPr="003053A9">
              <w:rPr>
                <w:rFonts w:eastAsia="Times New Roman" w:cs="Times New Roman"/>
                <w:bCs/>
                <w:color w:val="000000" w:themeColor="text1"/>
                <w:sz w:val="22"/>
                <w:szCs w:val="22"/>
              </w:rPr>
              <w:t>TOTAL</w:t>
            </w:r>
          </w:p>
        </w:tc>
        <w:tc>
          <w:tcPr>
            <w:tcW w:w="1417" w:type="dxa"/>
            <w:shd w:val="clear" w:color="auto" w:fill="auto"/>
            <w:vAlign w:val="bottom"/>
          </w:tcPr>
          <w:p w:rsidR="004C5E2C" w:rsidRPr="003053A9" w:rsidRDefault="003053A9" w:rsidP="00DC54E1">
            <w:pPr>
              <w:jc w:val="center"/>
              <w:rPr>
                <w:rFonts w:eastAsia="Times New Roman" w:cs="Times New Roman"/>
                <w:bCs/>
                <w:color w:val="000000" w:themeColor="text1"/>
                <w:sz w:val="22"/>
                <w:szCs w:val="22"/>
              </w:rPr>
            </w:pPr>
            <w:r w:rsidRPr="003053A9">
              <w:rPr>
                <w:rFonts w:eastAsia="Times New Roman" w:cs="Times New Roman"/>
                <w:b/>
                <w:bCs/>
                <w:color w:val="000000" w:themeColor="text1"/>
                <w:sz w:val="22"/>
                <w:szCs w:val="22"/>
              </w:rPr>
              <w:t>5.3</w:t>
            </w:r>
          </w:p>
        </w:tc>
        <w:tc>
          <w:tcPr>
            <w:tcW w:w="1418" w:type="dxa"/>
            <w:shd w:val="clear" w:color="auto" w:fill="CCFFFF"/>
            <w:vAlign w:val="bottom"/>
          </w:tcPr>
          <w:p w:rsidR="004C5E2C" w:rsidRPr="003053A9" w:rsidRDefault="004C5E2C" w:rsidP="00DC54E1">
            <w:pPr>
              <w:jc w:val="center"/>
              <w:rPr>
                <w:rFonts w:eastAsia="Times New Roman" w:cs="Times New Roman"/>
                <w:bCs/>
                <w:color w:val="000000" w:themeColor="text1"/>
                <w:sz w:val="22"/>
                <w:szCs w:val="22"/>
              </w:rPr>
            </w:pPr>
          </w:p>
        </w:tc>
        <w:tc>
          <w:tcPr>
            <w:tcW w:w="1417" w:type="dxa"/>
            <w:shd w:val="clear" w:color="auto" w:fill="CCFFFF"/>
            <w:vAlign w:val="bottom"/>
          </w:tcPr>
          <w:p w:rsidR="004C5E2C" w:rsidRPr="003053A9" w:rsidRDefault="004C5E2C" w:rsidP="00DC54E1">
            <w:pPr>
              <w:jc w:val="center"/>
              <w:rPr>
                <w:rFonts w:eastAsia="Times New Roman" w:cs="Times New Roman"/>
                <w:bCs/>
                <w:color w:val="000000" w:themeColor="text1"/>
                <w:sz w:val="22"/>
                <w:szCs w:val="22"/>
              </w:rPr>
            </w:pPr>
          </w:p>
        </w:tc>
        <w:tc>
          <w:tcPr>
            <w:tcW w:w="1559" w:type="dxa"/>
            <w:tcBorders>
              <w:bottom w:val="single" w:sz="4" w:space="0" w:color="auto"/>
            </w:tcBorders>
            <w:shd w:val="clear" w:color="auto" w:fill="auto"/>
          </w:tcPr>
          <w:p w:rsidR="004C5E2C" w:rsidRPr="003053A9" w:rsidRDefault="003053A9" w:rsidP="00DC54E1">
            <w:pPr>
              <w:jc w:val="center"/>
              <w:rPr>
                <w:rFonts w:eastAsia="Times New Roman" w:cs="Raavi"/>
                <w:color w:val="000000" w:themeColor="text1"/>
                <w:sz w:val="22"/>
                <w:szCs w:val="22"/>
              </w:rPr>
            </w:pPr>
            <w:r w:rsidRPr="003053A9">
              <w:rPr>
                <w:rFonts w:eastAsia="Times New Roman" w:cs="Raavi"/>
                <w:color w:val="000000" w:themeColor="text1"/>
                <w:sz w:val="22"/>
                <w:szCs w:val="22"/>
              </w:rPr>
              <w:t>6.5</w:t>
            </w:r>
          </w:p>
        </w:tc>
        <w:tc>
          <w:tcPr>
            <w:tcW w:w="1134" w:type="dxa"/>
            <w:shd w:val="clear" w:color="auto" w:fill="auto"/>
            <w:vAlign w:val="bottom"/>
          </w:tcPr>
          <w:p w:rsidR="004C5E2C" w:rsidRPr="003053A9" w:rsidRDefault="003053A9" w:rsidP="00DC54E1">
            <w:pPr>
              <w:jc w:val="center"/>
              <w:rPr>
                <w:rFonts w:eastAsia="Times New Roman" w:cs="Times New Roman"/>
                <w:bCs/>
                <w:color w:val="000000" w:themeColor="text1"/>
                <w:sz w:val="22"/>
                <w:szCs w:val="22"/>
              </w:rPr>
            </w:pPr>
            <w:r w:rsidRPr="003053A9">
              <w:rPr>
                <w:rFonts w:eastAsia="Times New Roman" w:cs="Times New Roman"/>
                <w:bCs/>
                <w:color w:val="000000" w:themeColor="text1"/>
                <w:sz w:val="22"/>
                <w:szCs w:val="22"/>
              </w:rPr>
              <w:t>1.2</w:t>
            </w:r>
          </w:p>
        </w:tc>
      </w:tr>
    </w:tbl>
    <w:p w:rsidR="003053A9" w:rsidRPr="003053A9" w:rsidRDefault="003053A9" w:rsidP="003053A9">
      <w:pPr>
        <w:jc w:val="both"/>
        <w:rPr>
          <w:rFonts w:eastAsia="Times New Roman" w:cs="Raavi"/>
          <w:sz w:val="24"/>
          <w:szCs w:val="24"/>
          <w:highlight w:val="yellow"/>
        </w:rPr>
      </w:pPr>
      <w:r w:rsidRPr="003053A9">
        <w:rPr>
          <w:rFonts w:eastAsia="Times New Roman" w:cs="Raavi"/>
          <w:sz w:val="24"/>
          <w:szCs w:val="24"/>
        </w:rPr>
        <w:t>Since 2016-17, the Executive Team has agreed a target for Self-Certified absence only. In previous years, these reports were produced every two months. Therefore comparisons with last year to the end of December can only be based on a mid-point estimate between the 30 November and 31 January figures as quoted above.</w:t>
      </w:r>
    </w:p>
    <w:p w:rsidR="003053A9" w:rsidRPr="003053A9" w:rsidRDefault="003053A9" w:rsidP="003053A9">
      <w:pPr>
        <w:jc w:val="both"/>
        <w:rPr>
          <w:rFonts w:eastAsia="Times New Roman" w:cs="Raavi"/>
          <w:color w:val="FF0000"/>
          <w:sz w:val="24"/>
          <w:szCs w:val="24"/>
          <w:highlight w:val="yellow"/>
        </w:rPr>
      </w:pPr>
    </w:p>
    <w:p w:rsidR="003053A9" w:rsidRPr="00E67239" w:rsidRDefault="003053A9" w:rsidP="003053A9">
      <w:pPr>
        <w:jc w:val="both"/>
        <w:rPr>
          <w:rFonts w:eastAsia="Times New Roman" w:cs="Times New Roman"/>
          <w:color w:val="FF0000"/>
          <w:sz w:val="24"/>
          <w:szCs w:val="24"/>
        </w:rPr>
      </w:pPr>
      <w:r w:rsidRPr="00E67239">
        <w:rPr>
          <w:rFonts w:eastAsia="Times New Roman" w:cs="Raavi"/>
          <w:sz w:val="24"/>
          <w:szCs w:val="24"/>
        </w:rPr>
        <w:t>On this basis, it is encouraging to see that self-certified, certified and total absence performance are better than target and last year.</w:t>
      </w:r>
      <w:r w:rsidRPr="00E67239">
        <w:rPr>
          <w:rFonts w:eastAsia="Times New Roman" w:cs="Times New Roman"/>
          <w:color w:val="FF0000"/>
          <w:sz w:val="24"/>
          <w:szCs w:val="24"/>
        </w:rPr>
        <w:t xml:space="preserve"> </w:t>
      </w:r>
    </w:p>
    <w:p w:rsidR="002A5379" w:rsidRPr="00E67239" w:rsidRDefault="002A5379" w:rsidP="003053A9">
      <w:pPr>
        <w:jc w:val="both"/>
        <w:rPr>
          <w:rFonts w:eastAsia="Times New Roman" w:cs="Times New Roman"/>
          <w:sz w:val="24"/>
          <w:szCs w:val="24"/>
        </w:rPr>
      </w:pPr>
    </w:p>
    <w:p w:rsidR="002A5379" w:rsidRPr="00E67239" w:rsidRDefault="002A5379" w:rsidP="003053A9">
      <w:pPr>
        <w:jc w:val="both"/>
        <w:rPr>
          <w:rFonts w:eastAsia="Times New Roman" w:cs="Times New Roman"/>
          <w:sz w:val="24"/>
          <w:szCs w:val="24"/>
        </w:rPr>
      </w:pPr>
      <w:r w:rsidRPr="00E67239">
        <w:rPr>
          <w:rFonts w:eastAsia="Times New Roman" w:cs="Times New Roman"/>
          <w:sz w:val="24"/>
          <w:szCs w:val="24"/>
        </w:rPr>
        <w:t>As a comparison with Scottish Government, who reported at the end of September 2018</w:t>
      </w:r>
      <w:r w:rsidR="007F78F1" w:rsidRPr="00E67239">
        <w:rPr>
          <w:rFonts w:eastAsia="Times New Roman" w:cs="Times New Roman"/>
          <w:sz w:val="24"/>
          <w:szCs w:val="24"/>
        </w:rPr>
        <w:t xml:space="preserve"> for a 12 month period</w:t>
      </w:r>
      <w:r w:rsidRPr="00E67239">
        <w:rPr>
          <w:rFonts w:eastAsia="Times New Roman" w:cs="Times New Roman"/>
          <w:sz w:val="24"/>
          <w:szCs w:val="24"/>
        </w:rPr>
        <w:t>, short term absence (less than 20 days) was 4.0 days per WTE, SLAB is an equivalent 3.0 days per WTE at December 2018. For long term absence (greater than 20 days) Scottish Government reported 3.8 days per WTE compared to SLAB which was an equivalent 4.0 days per WTE at December 2018.  Overall Scottish Government reported 7.8 days per WTE and SLAB’s equivalent is 7.0 days per WTE.</w:t>
      </w:r>
      <w:r w:rsidR="007F78F1" w:rsidRPr="00E67239">
        <w:rPr>
          <w:rFonts w:eastAsia="Times New Roman" w:cs="Times New Roman"/>
          <w:sz w:val="24"/>
          <w:szCs w:val="24"/>
        </w:rPr>
        <w:t xml:space="preserve"> For information, SLAB had 20 staff during the 9 months that were on or over 20 days absence. </w:t>
      </w:r>
    </w:p>
    <w:p w:rsidR="002A5379" w:rsidRPr="00E67239" w:rsidRDefault="002A5379" w:rsidP="003053A9">
      <w:pPr>
        <w:jc w:val="both"/>
        <w:rPr>
          <w:rFonts w:eastAsia="Times New Roman" w:cs="Times New Roman"/>
          <w:sz w:val="24"/>
          <w:szCs w:val="24"/>
        </w:rPr>
      </w:pPr>
    </w:p>
    <w:p w:rsidR="002A5379" w:rsidRPr="00E67239" w:rsidRDefault="002A5379" w:rsidP="003053A9">
      <w:pPr>
        <w:jc w:val="both"/>
        <w:rPr>
          <w:rFonts w:eastAsia="Times New Roman" w:cs="Times New Roman"/>
          <w:sz w:val="24"/>
          <w:szCs w:val="24"/>
        </w:rPr>
      </w:pPr>
      <w:r w:rsidRPr="00E67239">
        <w:rPr>
          <w:rFonts w:eastAsia="Times New Roman" w:cs="Times New Roman"/>
          <w:sz w:val="24"/>
          <w:szCs w:val="24"/>
        </w:rPr>
        <w:t>We plan to change our absence reporting next financial year for easier comparison to Scottish Government</w:t>
      </w:r>
      <w:r w:rsidR="00E67239" w:rsidRPr="00E67239">
        <w:rPr>
          <w:rFonts w:eastAsia="Times New Roman" w:cs="Times New Roman"/>
          <w:sz w:val="24"/>
          <w:szCs w:val="24"/>
        </w:rPr>
        <w:t xml:space="preserve"> and other public bodies</w:t>
      </w:r>
      <w:r w:rsidRPr="00E67239">
        <w:rPr>
          <w:rFonts w:eastAsia="Times New Roman" w:cs="Times New Roman"/>
          <w:sz w:val="24"/>
          <w:szCs w:val="24"/>
        </w:rPr>
        <w:t xml:space="preserve">. </w:t>
      </w:r>
    </w:p>
    <w:p w:rsidR="004C5E2C" w:rsidRPr="008C5C22" w:rsidRDefault="004C5E2C" w:rsidP="004C5E2C">
      <w:pPr>
        <w:jc w:val="both"/>
        <w:rPr>
          <w:rFonts w:eastAsia="Times New Roman" w:cs="Times New Roman"/>
          <w:sz w:val="24"/>
          <w:szCs w:val="24"/>
          <w:highlight w:val="yellow"/>
        </w:rPr>
      </w:pPr>
      <w:r w:rsidRPr="008C5C22">
        <w:rPr>
          <w:rFonts w:eastAsia="Times New Roman" w:cs="Times New Roman"/>
          <w:sz w:val="24"/>
          <w:szCs w:val="24"/>
          <w:highlight w:val="yellow"/>
        </w:rPr>
        <w:t xml:space="preserve"> </w:t>
      </w:r>
    </w:p>
    <w:p w:rsidR="004C5E2C" w:rsidRPr="003053A9" w:rsidRDefault="003053A9" w:rsidP="004C5E2C">
      <w:pPr>
        <w:keepNext/>
        <w:numPr>
          <w:ilvl w:val="1"/>
          <w:numId w:val="0"/>
        </w:numPr>
        <w:tabs>
          <w:tab w:val="left" w:pos="0"/>
        </w:tabs>
        <w:spacing w:after="120"/>
        <w:ind w:left="576" w:hanging="576"/>
        <w:outlineLvl w:val="1"/>
        <w:rPr>
          <w:rFonts w:eastAsia="Times New Roman" w:cs="Arial"/>
          <w:b/>
          <w:bCs/>
          <w:iCs/>
          <w:noProof/>
          <w:snapToGrid w:val="0"/>
          <w:sz w:val="24"/>
          <w:szCs w:val="24"/>
          <w:lang w:val="en-US"/>
        </w:rPr>
      </w:pPr>
      <w:r w:rsidRPr="003053A9">
        <w:rPr>
          <w:rFonts w:eastAsia="Times New Roman" w:cs="Arial"/>
          <w:b/>
          <w:bCs/>
          <w:iCs/>
          <w:noProof/>
          <w:snapToGrid w:val="0"/>
          <w:sz w:val="24"/>
          <w:szCs w:val="24"/>
          <w:lang w:val="en-US"/>
        </w:rPr>
        <w:t xml:space="preserve">8. </w:t>
      </w:r>
      <w:r w:rsidR="004C5E2C" w:rsidRPr="003053A9">
        <w:rPr>
          <w:rFonts w:eastAsia="Times New Roman" w:cs="Arial"/>
          <w:b/>
          <w:bCs/>
          <w:iCs/>
          <w:noProof/>
          <w:snapToGrid w:val="0"/>
          <w:sz w:val="24"/>
          <w:szCs w:val="24"/>
          <w:lang w:val="en-US"/>
        </w:rPr>
        <w:t>Leavers</w:t>
      </w:r>
    </w:p>
    <w:p w:rsidR="003053A9" w:rsidRPr="003053A9" w:rsidRDefault="003053A9" w:rsidP="003053A9">
      <w:pPr>
        <w:jc w:val="both"/>
        <w:rPr>
          <w:rFonts w:eastAsia="Times New Roman" w:cs="Times New Roman"/>
          <w:sz w:val="24"/>
          <w:szCs w:val="24"/>
          <w:highlight w:val="yellow"/>
        </w:rPr>
      </w:pPr>
      <w:r w:rsidRPr="003053A9">
        <w:rPr>
          <w:rFonts w:eastAsia="Times New Roman" w:cs="Times New Roman"/>
          <w:sz w:val="24"/>
          <w:szCs w:val="24"/>
          <w:lang w:val="en-US"/>
        </w:rPr>
        <w:t>The total number of leavers, including PDSO, CLAO, seasonal staff, or staff with contracts of less than 12 months, employed between 1 April and 31 December 2018 was 21 (5.9% of the average total number of staff)</w:t>
      </w:r>
      <w:r w:rsidRPr="003053A9">
        <w:rPr>
          <w:rFonts w:eastAsia="Times New Roman" w:cs="Times New Roman"/>
          <w:sz w:val="24"/>
          <w:szCs w:val="24"/>
        </w:rPr>
        <w:t xml:space="preserve">. </w:t>
      </w:r>
    </w:p>
    <w:p w:rsidR="003053A9" w:rsidRPr="003053A9" w:rsidRDefault="003053A9" w:rsidP="003053A9">
      <w:pPr>
        <w:jc w:val="both"/>
        <w:rPr>
          <w:rFonts w:eastAsia="Times New Roman" w:cs="Times New Roman"/>
          <w:sz w:val="24"/>
          <w:szCs w:val="24"/>
          <w:highlight w:val="yellow"/>
        </w:rPr>
      </w:pPr>
    </w:p>
    <w:p w:rsidR="003053A9" w:rsidRPr="003053A9" w:rsidRDefault="003053A9" w:rsidP="003053A9">
      <w:pPr>
        <w:jc w:val="both"/>
        <w:rPr>
          <w:rFonts w:eastAsia="Times New Roman" w:cs="Times New Roman"/>
          <w:sz w:val="24"/>
          <w:szCs w:val="24"/>
        </w:rPr>
      </w:pPr>
      <w:r w:rsidRPr="003053A9">
        <w:rPr>
          <w:rFonts w:eastAsia="Times New Roman" w:cs="Times New Roman"/>
          <w:sz w:val="24"/>
          <w:szCs w:val="24"/>
          <w:lang w:val="en-US"/>
        </w:rPr>
        <w:t>Twelve leavers were from SLAB; three were from CLAO; five from PDSO; and one from SCL. All but one leaver left</w:t>
      </w:r>
      <w:r w:rsidRPr="003053A9">
        <w:rPr>
          <w:rFonts w:eastAsia="Times New Roman" w:cs="Times New Roman"/>
          <w:sz w:val="24"/>
          <w:szCs w:val="24"/>
        </w:rPr>
        <w:t xml:space="preserve"> voluntarily, i.e. an overall staff turnover figure of 5.65% voluntary and 0.28% non-voluntary compared to 3.1% and 1.1% respectively in last year’s figures</w:t>
      </w:r>
      <w:r>
        <w:rPr>
          <w:rFonts w:eastAsia="Times New Roman" w:cs="Times New Roman"/>
          <w:sz w:val="24"/>
          <w:szCs w:val="24"/>
        </w:rPr>
        <w:t>.</w:t>
      </w:r>
      <w:r w:rsidRPr="003053A9">
        <w:rPr>
          <w:rFonts w:eastAsia="Times New Roman" w:cs="Times New Roman"/>
          <w:sz w:val="24"/>
          <w:szCs w:val="24"/>
          <w:lang w:val="en-US"/>
        </w:rPr>
        <w:t xml:space="preserve"> </w:t>
      </w:r>
    </w:p>
    <w:p w:rsidR="00F41C80" w:rsidRPr="008C5C22" w:rsidRDefault="00F41C80" w:rsidP="00F41C80">
      <w:pPr>
        <w:ind w:left="142"/>
        <w:rPr>
          <w:sz w:val="24"/>
          <w:szCs w:val="24"/>
          <w:highlight w:val="yellow"/>
        </w:rPr>
      </w:pPr>
    </w:p>
    <w:p w:rsidR="002A5379" w:rsidRPr="002A5379" w:rsidRDefault="002A5379" w:rsidP="006B73ED">
      <w:pPr>
        <w:rPr>
          <w:sz w:val="24"/>
          <w:szCs w:val="24"/>
        </w:rPr>
        <w:sectPr w:rsidR="002A5379" w:rsidRPr="002A5379" w:rsidSect="00D42BF5">
          <w:headerReference w:type="default" r:id="rId9"/>
          <w:footerReference w:type="default" r:id="rId10"/>
          <w:headerReference w:type="first" r:id="rId11"/>
          <w:footerReference w:type="first" r:id="rId12"/>
          <w:pgSz w:w="11906" w:h="16838"/>
          <w:pgMar w:top="1843" w:right="1440" w:bottom="1276" w:left="1134" w:header="680" w:footer="624" w:gutter="0"/>
          <w:cols w:sep="1" w:space="720"/>
          <w:titlePg/>
          <w:docGrid w:linePitch="360"/>
        </w:sectPr>
      </w:pPr>
      <w:r w:rsidRPr="002A5379">
        <w:rPr>
          <w:sz w:val="24"/>
          <w:szCs w:val="24"/>
        </w:rPr>
        <w:t xml:space="preserve">We are satisfied that </w:t>
      </w:r>
      <w:r>
        <w:rPr>
          <w:sz w:val="24"/>
          <w:szCs w:val="24"/>
        </w:rPr>
        <w:t xml:space="preserve">there is </w:t>
      </w:r>
      <w:r w:rsidRPr="002A5379">
        <w:rPr>
          <w:sz w:val="24"/>
          <w:szCs w:val="24"/>
        </w:rPr>
        <w:t>nothing problematic</w:t>
      </w:r>
      <w:r>
        <w:rPr>
          <w:sz w:val="24"/>
          <w:szCs w:val="24"/>
        </w:rPr>
        <w:t xml:space="preserve"> or unmanageable with this level of leavers, and the figures are within the bands of business unit expectation.</w:t>
      </w:r>
      <w:r w:rsidRPr="002A5379">
        <w:rPr>
          <w:sz w:val="24"/>
          <w:szCs w:val="24"/>
        </w:rPr>
        <w:t xml:space="preserve"> </w:t>
      </w:r>
      <w:r>
        <w:rPr>
          <w:sz w:val="24"/>
          <w:szCs w:val="24"/>
        </w:rPr>
        <w:t xml:space="preserve"> </w:t>
      </w:r>
    </w:p>
    <w:p w:rsidR="00B26F64" w:rsidRPr="009F30A4" w:rsidRDefault="00B26F64" w:rsidP="00B26F64">
      <w:pPr>
        <w:rPr>
          <w:sz w:val="24"/>
          <w:szCs w:val="24"/>
        </w:rPr>
      </w:pPr>
    </w:p>
    <w:tbl>
      <w:tblPr>
        <w:tblStyle w:val="TableGrid"/>
        <w:tblW w:w="9493" w:type="dxa"/>
        <w:tblLook w:val="04A0" w:firstRow="1" w:lastRow="0" w:firstColumn="1" w:lastColumn="0" w:noHBand="0" w:noVBand="1"/>
      </w:tblPr>
      <w:tblGrid>
        <w:gridCol w:w="846"/>
        <w:gridCol w:w="8647"/>
      </w:tblGrid>
      <w:tr w:rsidR="00B26F64" w:rsidRPr="00DE249E" w:rsidTr="00B86375">
        <w:tc>
          <w:tcPr>
            <w:tcW w:w="846" w:type="dxa"/>
            <w:shd w:val="clear" w:color="auto" w:fill="D9D9D9" w:themeFill="background1" w:themeFillShade="D9"/>
          </w:tcPr>
          <w:p w:rsidR="00B26F64" w:rsidRPr="009F30A4" w:rsidRDefault="00B26F64" w:rsidP="00B86375">
            <w:pPr>
              <w:rPr>
                <w:b/>
                <w:sz w:val="24"/>
                <w:szCs w:val="24"/>
              </w:rPr>
            </w:pPr>
          </w:p>
        </w:tc>
        <w:tc>
          <w:tcPr>
            <w:tcW w:w="8647" w:type="dxa"/>
            <w:shd w:val="clear" w:color="auto" w:fill="D9D9D9" w:themeFill="background1" w:themeFillShade="D9"/>
          </w:tcPr>
          <w:p w:rsidR="00B26F64" w:rsidRPr="009F30A4" w:rsidRDefault="002265D6" w:rsidP="00DA7163">
            <w:pPr>
              <w:rPr>
                <w:b/>
                <w:sz w:val="24"/>
                <w:szCs w:val="24"/>
              </w:rPr>
            </w:pPr>
            <w:r w:rsidRPr="009F30A4">
              <w:rPr>
                <w:b/>
                <w:sz w:val="24"/>
                <w:szCs w:val="24"/>
              </w:rPr>
              <w:t xml:space="preserve">Governance Links </w:t>
            </w:r>
          </w:p>
        </w:tc>
      </w:tr>
      <w:tr w:rsidR="00B26F64" w:rsidRPr="00DE249E" w:rsidTr="00B86375">
        <w:tc>
          <w:tcPr>
            <w:tcW w:w="846" w:type="dxa"/>
          </w:tcPr>
          <w:p w:rsidR="00B26F64" w:rsidRPr="00340D8F" w:rsidRDefault="00B26F64" w:rsidP="0076103C">
            <w:pPr>
              <w:spacing w:before="120"/>
              <w:rPr>
                <w:sz w:val="24"/>
                <w:szCs w:val="24"/>
              </w:rPr>
            </w:pPr>
            <w:r w:rsidRPr="00340D8F">
              <w:rPr>
                <w:sz w:val="24"/>
                <w:szCs w:val="24"/>
              </w:rPr>
              <w:t>1</w:t>
            </w:r>
          </w:p>
        </w:tc>
        <w:tc>
          <w:tcPr>
            <w:tcW w:w="8647" w:type="dxa"/>
          </w:tcPr>
          <w:p w:rsidR="0076103C" w:rsidRPr="00067EF5" w:rsidRDefault="0098730C" w:rsidP="0076103C">
            <w:pPr>
              <w:spacing w:before="120" w:after="120"/>
              <w:rPr>
                <w:b/>
                <w:sz w:val="24"/>
                <w:szCs w:val="24"/>
              </w:rPr>
            </w:pPr>
            <w:r w:rsidRPr="00067EF5">
              <w:rPr>
                <w:b/>
                <w:sz w:val="24"/>
                <w:szCs w:val="24"/>
              </w:rPr>
              <w:t>Finance and Resources</w:t>
            </w:r>
          </w:p>
          <w:p w:rsidR="001B6D84" w:rsidRPr="00340D8F" w:rsidRDefault="00340D8F" w:rsidP="00B86375">
            <w:pPr>
              <w:rPr>
                <w:sz w:val="24"/>
                <w:szCs w:val="24"/>
              </w:rPr>
            </w:pPr>
            <w:r w:rsidRPr="00340D8F">
              <w:rPr>
                <w:sz w:val="24"/>
                <w:szCs w:val="24"/>
              </w:rPr>
              <w:t>As above</w:t>
            </w:r>
          </w:p>
          <w:p w:rsidR="00B26F64" w:rsidRPr="00340D8F" w:rsidRDefault="00B26F64" w:rsidP="00777096">
            <w:pPr>
              <w:rPr>
                <w:sz w:val="24"/>
                <w:szCs w:val="24"/>
              </w:rPr>
            </w:pPr>
          </w:p>
        </w:tc>
      </w:tr>
      <w:tr w:rsidR="0098730C" w:rsidRPr="00DE249E" w:rsidTr="00B86375">
        <w:tc>
          <w:tcPr>
            <w:tcW w:w="846" w:type="dxa"/>
          </w:tcPr>
          <w:p w:rsidR="0098730C" w:rsidRPr="00340D8F" w:rsidRDefault="0098730C" w:rsidP="0076103C">
            <w:pPr>
              <w:spacing w:before="120"/>
              <w:rPr>
                <w:sz w:val="24"/>
                <w:szCs w:val="24"/>
              </w:rPr>
            </w:pPr>
            <w:r w:rsidRPr="00340D8F">
              <w:rPr>
                <w:sz w:val="24"/>
                <w:szCs w:val="24"/>
              </w:rPr>
              <w:t>2</w:t>
            </w:r>
          </w:p>
        </w:tc>
        <w:tc>
          <w:tcPr>
            <w:tcW w:w="8647" w:type="dxa"/>
          </w:tcPr>
          <w:p w:rsidR="0076103C" w:rsidRPr="006B73ED" w:rsidRDefault="0098730C" w:rsidP="0076103C">
            <w:pPr>
              <w:spacing w:before="120" w:after="120"/>
              <w:rPr>
                <w:b/>
                <w:sz w:val="24"/>
                <w:szCs w:val="24"/>
              </w:rPr>
            </w:pPr>
            <w:r w:rsidRPr="006B73ED">
              <w:rPr>
                <w:b/>
                <w:sz w:val="24"/>
                <w:szCs w:val="24"/>
              </w:rPr>
              <w:t xml:space="preserve">Risk </w:t>
            </w:r>
          </w:p>
          <w:p w:rsidR="009D1D56" w:rsidRPr="009D1D56" w:rsidRDefault="009D1D56" w:rsidP="009D1D56">
            <w:pPr>
              <w:rPr>
                <w:sz w:val="24"/>
                <w:szCs w:val="24"/>
              </w:rPr>
            </w:pPr>
            <w:r w:rsidRPr="009D1D56">
              <w:rPr>
                <w:sz w:val="24"/>
                <w:szCs w:val="24"/>
              </w:rPr>
              <w:t xml:space="preserve">Our work to monitor and respond to the position on administrative expenditure directly enables </w:t>
            </w:r>
            <w:r w:rsidR="00555C33">
              <w:rPr>
                <w:sz w:val="24"/>
                <w:szCs w:val="24"/>
              </w:rPr>
              <w:t xml:space="preserve">us </w:t>
            </w:r>
            <w:r w:rsidRPr="009D1D56">
              <w:rPr>
                <w:sz w:val="24"/>
                <w:szCs w:val="24"/>
              </w:rPr>
              <w:t>to mitigate our corporate risk:</w:t>
            </w:r>
          </w:p>
          <w:p w:rsidR="009D1D56" w:rsidRPr="009D1D56" w:rsidRDefault="009D1D56" w:rsidP="009D1D56">
            <w:pPr>
              <w:rPr>
                <w:sz w:val="24"/>
                <w:szCs w:val="24"/>
              </w:rPr>
            </w:pPr>
          </w:p>
          <w:p w:rsidR="009D1D56" w:rsidRPr="009D1D56" w:rsidRDefault="009D1D56" w:rsidP="009D1D56">
            <w:pPr>
              <w:rPr>
                <w:sz w:val="24"/>
                <w:szCs w:val="24"/>
              </w:rPr>
            </w:pPr>
            <w:r w:rsidRPr="009D1D56">
              <w:rPr>
                <w:sz w:val="24"/>
                <w:szCs w:val="24"/>
              </w:rPr>
              <w:t>Risk 8: Pressure on the administration budget and being unable to manage within the budget.</w:t>
            </w:r>
          </w:p>
          <w:p w:rsidR="0098730C" w:rsidRPr="006B73ED" w:rsidRDefault="0098730C" w:rsidP="009D1D56">
            <w:pPr>
              <w:rPr>
                <w:sz w:val="24"/>
                <w:szCs w:val="24"/>
              </w:rPr>
            </w:pPr>
          </w:p>
        </w:tc>
      </w:tr>
      <w:tr w:rsidR="00B26F64" w:rsidRPr="00DE249E" w:rsidTr="00B86375">
        <w:tc>
          <w:tcPr>
            <w:tcW w:w="846" w:type="dxa"/>
          </w:tcPr>
          <w:p w:rsidR="00B26F64" w:rsidRPr="00067EF5" w:rsidRDefault="0098730C" w:rsidP="0076103C">
            <w:pPr>
              <w:spacing w:before="120"/>
              <w:rPr>
                <w:sz w:val="24"/>
                <w:szCs w:val="24"/>
              </w:rPr>
            </w:pPr>
            <w:r w:rsidRPr="00067EF5">
              <w:rPr>
                <w:sz w:val="24"/>
                <w:szCs w:val="24"/>
              </w:rPr>
              <w:t>3</w:t>
            </w:r>
          </w:p>
          <w:p w:rsidR="00B26F64" w:rsidRPr="00067EF5" w:rsidRDefault="00B26F64" w:rsidP="00B86375">
            <w:pPr>
              <w:rPr>
                <w:sz w:val="24"/>
                <w:szCs w:val="24"/>
              </w:rPr>
            </w:pPr>
          </w:p>
        </w:tc>
        <w:tc>
          <w:tcPr>
            <w:tcW w:w="8647" w:type="dxa"/>
          </w:tcPr>
          <w:p w:rsidR="009962F8" w:rsidRPr="00331BF0" w:rsidRDefault="00B26F64" w:rsidP="0076103C">
            <w:pPr>
              <w:spacing w:before="120" w:after="120"/>
              <w:rPr>
                <w:b/>
                <w:sz w:val="24"/>
                <w:szCs w:val="24"/>
              </w:rPr>
            </w:pPr>
            <w:r w:rsidRPr="00331BF0">
              <w:rPr>
                <w:b/>
                <w:sz w:val="24"/>
                <w:szCs w:val="24"/>
              </w:rPr>
              <w:t>Legal</w:t>
            </w:r>
            <w:r w:rsidR="0098730C" w:rsidRPr="00331BF0">
              <w:rPr>
                <w:b/>
                <w:sz w:val="24"/>
                <w:szCs w:val="24"/>
              </w:rPr>
              <w:t xml:space="preserve"> and Compliance</w:t>
            </w:r>
          </w:p>
          <w:p w:rsidR="002C77DC" w:rsidRPr="00331BF0" w:rsidRDefault="002C77DC" w:rsidP="00B86375">
            <w:pPr>
              <w:rPr>
                <w:sz w:val="24"/>
                <w:szCs w:val="24"/>
              </w:rPr>
            </w:pPr>
            <w:r w:rsidRPr="00331BF0">
              <w:rPr>
                <w:sz w:val="24"/>
                <w:szCs w:val="24"/>
              </w:rPr>
              <w:t>N/A</w:t>
            </w:r>
          </w:p>
          <w:p w:rsidR="001B6D84" w:rsidRPr="00331BF0" w:rsidRDefault="001B6D84" w:rsidP="00777096">
            <w:pPr>
              <w:rPr>
                <w:sz w:val="24"/>
                <w:szCs w:val="24"/>
                <w:highlight w:val="yellow"/>
              </w:rPr>
            </w:pPr>
          </w:p>
        </w:tc>
      </w:tr>
      <w:tr w:rsidR="0098730C" w:rsidRPr="00DE249E" w:rsidTr="00B86375">
        <w:tc>
          <w:tcPr>
            <w:tcW w:w="846" w:type="dxa"/>
          </w:tcPr>
          <w:p w:rsidR="0098730C" w:rsidRPr="00067EF5" w:rsidRDefault="0098730C" w:rsidP="0076103C">
            <w:pPr>
              <w:spacing w:before="120"/>
              <w:rPr>
                <w:sz w:val="24"/>
                <w:szCs w:val="24"/>
              </w:rPr>
            </w:pPr>
            <w:r w:rsidRPr="00067EF5">
              <w:rPr>
                <w:sz w:val="24"/>
                <w:szCs w:val="24"/>
              </w:rPr>
              <w:t>4</w:t>
            </w:r>
          </w:p>
        </w:tc>
        <w:tc>
          <w:tcPr>
            <w:tcW w:w="8647" w:type="dxa"/>
          </w:tcPr>
          <w:p w:rsidR="0098730C" w:rsidRPr="00331BF0" w:rsidRDefault="0098730C" w:rsidP="0076103C">
            <w:pPr>
              <w:spacing w:before="120" w:after="120"/>
              <w:rPr>
                <w:b/>
                <w:sz w:val="24"/>
                <w:szCs w:val="24"/>
              </w:rPr>
            </w:pPr>
            <w:r w:rsidRPr="00331BF0">
              <w:rPr>
                <w:b/>
                <w:sz w:val="24"/>
                <w:szCs w:val="24"/>
              </w:rPr>
              <w:t>Performance</w:t>
            </w:r>
          </w:p>
          <w:p w:rsidR="001B6D84" w:rsidRPr="00331BF0" w:rsidRDefault="002C77DC" w:rsidP="00BD7A3C">
            <w:pPr>
              <w:rPr>
                <w:sz w:val="24"/>
                <w:szCs w:val="24"/>
              </w:rPr>
            </w:pPr>
            <w:r w:rsidRPr="00331BF0">
              <w:rPr>
                <w:sz w:val="24"/>
                <w:szCs w:val="24"/>
              </w:rPr>
              <w:t>N/A</w:t>
            </w:r>
          </w:p>
          <w:p w:rsidR="002C77DC" w:rsidRPr="00331BF0" w:rsidRDefault="002C77D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5</w:t>
            </w:r>
          </w:p>
        </w:tc>
        <w:tc>
          <w:tcPr>
            <w:tcW w:w="8647" w:type="dxa"/>
          </w:tcPr>
          <w:p w:rsidR="0098730C" w:rsidRPr="00331BF0" w:rsidRDefault="0098730C" w:rsidP="0076103C">
            <w:pPr>
              <w:spacing w:before="120" w:after="120"/>
              <w:rPr>
                <w:b/>
                <w:sz w:val="24"/>
                <w:szCs w:val="24"/>
              </w:rPr>
            </w:pPr>
            <w:r w:rsidRPr="00331BF0">
              <w:rPr>
                <w:b/>
                <w:sz w:val="24"/>
                <w:szCs w:val="24"/>
              </w:rPr>
              <w:t>Equalities</w:t>
            </w:r>
            <w:r w:rsidR="009962F8" w:rsidRPr="00331BF0">
              <w:rPr>
                <w:b/>
                <w:sz w:val="24"/>
                <w:szCs w:val="24"/>
              </w:rPr>
              <w:t xml:space="preserve"> Impact</w:t>
            </w:r>
          </w:p>
          <w:p w:rsidR="007453A1" w:rsidRPr="00331BF0" w:rsidRDefault="00D42BF5" w:rsidP="00BD7A3C">
            <w:pPr>
              <w:rPr>
                <w:sz w:val="24"/>
                <w:szCs w:val="24"/>
              </w:rPr>
            </w:pPr>
            <w:r>
              <w:rPr>
                <w:sz w:val="24"/>
                <w:szCs w:val="24"/>
              </w:rPr>
              <w:t>An Equality Impact Assessment is not required for this paper.</w:t>
            </w:r>
          </w:p>
          <w:p w:rsidR="0076103C" w:rsidRPr="00331BF0" w:rsidRDefault="0076103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6</w:t>
            </w:r>
          </w:p>
        </w:tc>
        <w:tc>
          <w:tcPr>
            <w:tcW w:w="8647" w:type="dxa"/>
          </w:tcPr>
          <w:p w:rsidR="0098730C" w:rsidRPr="00331BF0" w:rsidRDefault="0098730C" w:rsidP="0076103C">
            <w:pPr>
              <w:spacing w:before="120" w:after="120"/>
              <w:rPr>
                <w:b/>
                <w:sz w:val="24"/>
                <w:szCs w:val="24"/>
              </w:rPr>
            </w:pPr>
            <w:r w:rsidRPr="00331BF0">
              <w:rPr>
                <w:b/>
                <w:sz w:val="24"/>
                <w:szCs w:val="24"/>
              </w:rPr>
              <w:t>Privacy Impact and Data Protection</w:t>
            </w:r>
          </w:p>
          <w:p w:rsidR="00F14B91" w:rsidRPr="00331BF0" w:rsidRDefault="00331BF0" w:rsidP="000100DD">
            <w:pPr>
              <w:rPr>
                <w:sz w:val="24"/>
                <w:szCs w:val="24"/>
              </w:rPr>
            </w:pPr>
            <w:r w:rsidRPr="00331BF0">
              <w:rPr>
                <w:sz w:val="24"/>
                <w:szCs w:val="24"/>
              </w:rPr>
              <w:t>No</w:t>
            </w:r>
            <w:r w:rsidR="002C77DC" w:rsidRPr="00331BF0">
              <w:rPr>
                <w:sz w:val="24"/>
                <w:szCs w:val="24"/>
              </w:rPr>
              <w:t xml:space="preserve"> privacy or data protection issues identified.</w:t>
            </w:r>
          </w:p>
          <w:p w:rsidR="0076103C" w:rsidRPr="00331BF0" w:rsidRDefault="0076103C" w:rsidP="000100DD">
            <w:pPr>
              <w:rPr>
                <w:sz w:val="24"/>
                <w:szCs w:val="24"/>
              </w:rPr>
            </w:pPr>
          </w:p>
        </w:tc>
      </w:tr>
      <w:tr w:rsidR="0098730C" w:rsidTr="00B86375">
        <w:tc>
          <w:tcPr>
            <w:tcW w:w="846" w:type="dxa"/>
          </w:tcPr>
          <w:p w:rsidR="0098730C" w:rsidRPr="0076103C" w:rsidRDefault="0098730C" w:rsidP="0076103C">
            <w:pPr>
              <w:spacing w:before="120"/>
              <w:rPr>
                <w:sz w:val="24"/>
                <w:szCs w:val="24"/>
              </w:rPr>
            </w:pPr>
            <w:r w:rsidRPr="0076103C">
              <w:rPr>
                <w:sz w:val="24"/>
                <w:szCs w:val="24"/>
              </w:rPr>
              <w:t>7</w:t>
            </w:r>
          </w:p>
        </w:tc>
        <w:tc>
          <w:tcPr>
            <w:tcW w:w="8647" w:type="dxa"/>
          </w:tcPr>
          <w:p w:rsidR="0098730C" w:rsidRPr="00331BF0" w:rsidRDefault="0098730C" w:rsidP="0076103C">
            <w:pPr>
              <w:spacing w:before="120" w:after="120"/>
              <w:rPr>
                <w:b/>
                <w:sz w:val="24"/>
                <w:szCs w:val="24"/>
              </w:rPr>
            </w:pPr>
            <w:r w:rsidRPr="00331BF0">
              <w:rPr>
                <w:b/>
                <w:sz w:val="24"/>
                <w:szCs w:val="24"/>
              </w:rPr>
              <w:t>Communications and Engagement</w:t>
            </w:r>
          </w:p>
          <w:p w:rsidR="002C77DC" w:rsidRPr="00331BF0" w:rsidRDefault="00331BF0" w:rsidP="002C77DC">
            <w:pPr>
              <w:rPr>
                <w:sz w:val="24"/>
                <w:szCs w:val="24"/>
              </w:rPr>
            </w:pPr>
            <w:r w:rsidRPr="00331BF0">
              <w:rPr>
                <w:sz w:val="24"/>
                <w:szCs w:val="24"/>
              </w:rPr>
              <w:t xml:space="preserve">It has previously been agreed that </w:t>
            </w:r>
            <w:r w:rsidR="002C77DC" w:rsidRPr="00331BF0">
              <w:rPr>
                <w:sz w:val="24"/>
                <w:szCs w:val="24"/>
              </w:rPr>
              <w:t xml:space="preserve">his paper </w:t>
            </w:r>
            <w:r w:rsidR="003E6C49">
              <w:rPr>
                <w:sz w:val="24"/>
                <w:szCs w:val="24"/>
              </w:rPr>
              <w:t xml:space="preserve">should </w:t>
            </w:r>
            <w:r w:rsidR="0076103C" w:rsidRPr="00331BF0">
              <w:rPr>
                <w:sz w:val="24"/>
                <w:szCs w:val="24"/>
              </w:rPr>
              <w:t>be published</w:t>
            </w:r>
            <w:r w:rsidR="003E6C49">
              <w:rPr>
                <w:sz w:val="24"/>
                <w:szCs w:val="24"/>
              </w:rPr>
              <w:t xml:space="preserve"> as a matter of routine</w:t>
            </w:r>
            <w:r w:rsidR="002C77DC" w:rsidRPr="00331BF0">
              <w:rPr>
                <w:sz w:val="24"/>
                <w:szCs w:val="24"/>
              </w:rPr>
              <w:t>.</w:t>
            </w:r>
            <w:r w:rsidR="00340D8F" w:rsidRPr="00331BF0">
              <w:rPr>
                <w:sz w:val="24"/>
                <w:szCs w:val="24"/>
              </w:rPr>
              <w:t xml:space="preserve"> </w:t>
            </w:r>
          </w:p>
          <w:p w:rsidR="007453A1" w:rsidRPr="00331BF0" w:rsidRDefault="007453A1" w:rsidP="0098730C">
            <w:pPr>
              <w:rPr>
                <w:sz w:val="24"/>
                <w:szCs w:val="24"/>
              </w:rPr>
            </w:pPr>
          </w:p>
        </w:tc>
      </w:tr>
    </w:tbl>
    <w:p w:rsidR="00390110" w:rsidRDefault="00390110" w:rsidP="00B26F64">
      <w:pPr>
        <w:rPr>
          <w:b/>
          <w:sz w:val="24"/>
          <w:szCs w:val="24"/>
        </w:rPr>
      </w:pPr>
    </w:p>
    <w:tbl>
      <w:tblPr>
        <w:tblStyle w:val="TableGrid"/>
        <w:tblpPr w:leftFromText="180" w:rightFromText="180" w:vertAnchor="page" w:horzAnchor="margin" w:tblpY="11266"/>
        <w:tblW w:w="9493" w:type="dxa"/>
        <w:tblLook w:val="04A0" w:firstRow="1" w:lastRow="0" w:firstColumn="1" w:lastColumn="0" w:noHBand="0" w:noVBand="1"/>
      </w:tblPr>
      <w:tblGrid>
        <w:gridCol w:w="9493"/>
      </w:tblGrid>
      <w:tr w:rsidR="00DA7163" w:rsidRPr="0098730C" w:rsidTr="00DA7163">
        <w:tc>
          <w:tcPr>
            <w:tcW w:w="9493" w:type="dxa"/>
            <w:shd w:val="clear" w:color="auto" w:fill="D9D9D9" w:themeFill="background1" w:themeFillShade="D9"/>
          </w:tcPr>
          <w:p w:rsidR="00DA7163" w:rsidRPr="0098730C" w:rsidRDefault="00DA7163" w:rsidP="00DA7163">
            <w:pPr>
              <w:rPr>
                <w:b/>
                <w:sz w:val="24"/>
                <w:szCs w:val="24"/>
              </w:rPr>
            </w:pPr>
            <w:r w:rsidRPr="0098730C">
              <w:rPr>
                <w:b/>
                <w:sz w:val="24"/>
                <w:szCs w:val="24"/>
              </w:rPr>
              <w:t>Conclusion and next steps</w:t>
            </w:r>
          </w:p>
        </w:tc>
      </w:tr>
      <w:tr w:rsidR="00DA7163" w:rsidRPr="0098730C" w:rsidTr="00DA7163">
        <w:tc>
          <w:tcPr>
            <w:tcW w:w="9493" w:type="dxa"/>
            <w:shd w:val="clear" w:color="auto" w:fill="FFFFFF" w:themeFill="background1"/>
          </w:tcPr>
          <w:p w:rsidR="00DA7163" w:rsidRDefault="00DA7163" w:rsidP="00DA7163">
            <w:pPr>
              <w:rPr>
                <w:sz w:val="24"/>
                <w:szCs w:val="24"/>
              </w:rPr>
            </w:pPr>
            <w:r>
              <w:rPr>
                <w:sz w:val="24"/>
                <w:szCs w:val="24"/>
              </w:rPr>
              <w:t>N/A</w:t>
            </w:r>
          </w:p>
          <w:p w:rsidR="00DA7163" w:rsidRPr="0098730C" w:rsidRDefault="00DA7163" w:rsidP="00DA7163">
            <w:pPr>
              <w:rPr>
                <w:b/>
                <w:sz w:val="24"/>
                <w:szCs w:val="24"/>
              </w:rPr>
            </w:pPr>
          </w:p>
        </w:tc>
      </w:tr>
    </w:tbl>
    <w:tbl>
      <w:tblPr>
        <w:tblStyle w:val="TableGrid"/>
        <w:tblW w:w="9493" w:type="dxa"/>
        <w:tblLook w:val="04A0" w:firstRow="1" w:lastRow="0" w:firstColumn="1" w:lastColumn="0" w:noHBand="0" w:noVBand="1"/>
      </w:tblPr>
      <w:tblGrid>
        <w:gridCol w:w="9493"/>
      </w:tblGrid>
      <w:tr w:rsidR="00204CF6" w:rsidTr="002A1837">
        <w:tc>
          <w:tcPr>
            <w:tcW w:w="9493" w:type="dxa"/>
            <w:shd w:val="clear" w:color="auto" w:fill="D9D9D9" w:themeFill="background1" w:themeFillShade="D9"/>
          </w:tcPr>
          <w:p w:rsidR="00204CF6" w:rsidRPr="0098730C" w:rsidRDefault="00204CF6" w:rsidP="002A1837">
            <w:pPr>
              <w:rPr>
                <w:b/>
                <w:sz w:val="24"/>
                <w:szCs w:val="24"/>
              </w:rPr>
            </w:pPr>
            <w:r w:rsidRPr="0098730C">
              <w:rPr>
                <w:b/>
                <w:sz w:val="24"/>
                <w:szCs w:val="24"/>
              </w:rPr>
              <w:t>Appendices/Further Reading</w:t>
            </w:r>
          </w:p>
        </w:tc>
      </w:tr>
      <w:tr w:rsidR="00204CF6" w:rsidTr="002A1837">
        <w:tc>
          <w:tcPr>
            <w:tcW w:w="9493" w:type="dxa"/>
            <w:tcBorders>
              <w:right w:val="single" w:sz="4" w:space="0" w:color="auto"/>
            </w:tcBorders>
          </w:tcPr>
          <w:p w:rsidR="00204CF6" w:rsidRDefault="00340D8F" w:rsidP="00340D8F">
            <w:pPr>
              <w:spacing w:before="120" w:after="120"/>
              <w:rPr>
                <w:sz w:val="24"/>
                <w:szCs w:val="24"/>
              </w:rPr>
            </w:pPr>
            <w:r>
              <w:rPr>
                <w:sz w:val="24"/>
                <w:szCs w:val="24"/>
              </w:rPr>
              <w:t>N/A</w:t>
            </w:r>
          </w:p>
        </w:tc>
      </w:tr>
    </w:tbl>
    <w:p w:rsidR="00204CF6" w:rsidRDefault="00204CF6" w:rsidP="003E6C49"/>
    <w:sectPr w:rsidR="00204CF6" w:rsidSect="00F9377F">
      <w:headerReference w:type="first" r:id="rId13"/>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A2" w:rsidRDefault="006518A2" w:rsidP="00EB61A3">
      <w:r>
        <w:separator/>
      </w:r>
    </w:p>
  </w:endnote>
  <w:endnote w:type="continuationSeparator" w:id="0">
    <w:p w:rsidR="006518A2" w:rsidRDefault="006518A2" w:rsidP="00EB61A3">
      <w:r>
        <w:continuationSeparator/>
      </w:r>
    </w:p>
  </w:endnote>
  <w:endnote w:type="continuationNotice" w:id="1">
    <w:p w:rsidR="006518A2" w:rsidRDefault="00651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79" w:rsidRPr="00101A53" w:rsidRDefault="002A5379"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71AAA">
      <w:rPr>
        <w:b/>
        <w:noProof/>
        <w:color w:val="003978"/>
      </w:rPr>
      <w:t>5</w:t>
    </w:r>
    <w:r w:rsidRPr="00101A53">
      <w:rPr>
        <w:b/>
        <w:noProof/>
        <w:color w:val="003978"/>
      </w:rPr>
      <w:fldChar w:fldCharType="end"/>
    </w:r>
  </w:p>
  <w:p w:rsidR="002A5379" w:rsidRDefault="002A5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79" w:rsidRPr="00101A53" w:rsidRDefault="002A5379"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E71AAA">
      <w:rPr>
        <w:b/>
        <w:noProof/>
        <w:color w:val="003978"/>
      </w:rPr>
      <w:t>1</w:t>
    </w:r>
    <w:r w:rsidRPr="00101A53">
      <w:rPr>
        <w:b/>
        <w:noProof/>
        <w:color w:val="003978"/>
      </w:rPr>
      <w:fldChar w:fldCharType="end"/>
    </w:r>
  </w:p>
  <w:p w:rsidR="002A5379" w:rsidRDefault="002A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A2" w:rsidRDefault="006518A2" w:rsidP="00EB61A3">
      <w:r>
        <w:separator/>
      </w:r>
    </w:p>
  </w:footnote>
  <w:footnote w:type="continuationSeparator" w:id="0">
    <w:p w:rsidR="006518A2" w:rsidRDefault="006518A2" w:rsidP="00EB61A3">
      <w:r>
        <w:continuationSeparator/>
      </w:r>
    </w:p>
  </w:footnote>
  <w:footnote w:type="continuationNotice" w:id="1">
    <w:p w:rsidR="006518A2" w:rsidRDefault="006518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79" w:rsidRDefault="002A5379" w:rsidP="00AA6E92">
    <w:pPr>
      <w:pStyle w:val="Header"/>
    </w:pPr>
    <w:r>
      <w:rPr>
        <w:noProof/>
        <w:lang w:eastAsia="en-GB"/>
      </w:rPr>
      <w:drawing>
        <wp:anchor distT="0" distB="0" distL="114300" distR="114300" simplePos="0" relativeHeight="251664384" behindDoc="1" locked="0" layoutInCell="1" allowOverlap="1" wp14:anchorId="63A0C73B" wp14:editId="2A080557">
          <wp:simplePos x="0" y="0"/>
          <wp:positionH relativeFrom="page">
            <wp:posOffset>6282906</wp:posOffset>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0C1AB75" wp14:editId="70DB5A9A">
          <wp:simplePos x="0" y="0"/>
          <wp:positionH relativeFrom="page">
            <wp:posOffset>9229725</wp:posOffset>
          </wp:positionH>
          <wp:positionV relativeFrom="page">
            <wp:posOffset>0</wp:posOffset>
          </wp:positionV>
          <wp:extent cx="1466850" cy="1551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79" w:rsidRDefault="002A5379">
    <w:pPr>
      <w:pStyle w:val="Header"/>
    </w:pPr>
    <w:r>
      <w:rPr>
        <w:noProof/>
        <w:lang w:eastAsia="en-GB"/>
      </w:rPr>
      <w:drawing>
        <wp:anchor distT="0" distB="0" distL="114300" distR="114300" simplePos="0" relativeHeight="251667456" behindDoc="1" locked="0" layoutInCell="1" allowOverlap="1" wp14:anchorId="2A2FC181" wp14:editId="051F3993">
          <wp:simplePos x="0" y="0"/>
          <wp:positionH relativeFrom="page">
            <wp:posOffset>6014689</wp:posOffset>
          </wp:positionH>
          <wp:positionV relativeFrom="page">
            <wp:posOffset>62462</wp:posOffset>
          </wp:positionV>
          <wp:extent cx="1466850" cy="15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19F0695D" wp14:editId="3706C7AA">
          <wp:simplePos x="0" y="0"/>
          <wp:positionH relativeFrom="column">
            <wp:posOffset>-173668</wp:posOffset>
          </wp:positionH>
          <wp:positionV relativeFrom="paragraph">
            <wp:posOffset>-260350</wp:posOffset>
          </wp:positionV>
          <wp:extent cx="772160" cy="100838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79" w:rsidRDefault="002A5379">
    <w:pPr>
      <w:pStyle w:val="Header"/>
    </w:pPr>
    <w:r>
      <w:rPr>
        <w:noProof/>
        <w:lang w:eastAsia="en-GB"/>
      </w:rPr>
      <w:drawing>
        <wp:anchor distT="0" distB="0" distL="114300" distR="114300" simplePos="0" relativeHeight="251671552" behindDoc="1" locked="0" layoutInCell="1" allowOverlap="1" wp14:anchorId="1A26850D" wp14:editId="52CAF15A">
          <wp:simplePos x="0" y="0"/>
          <wp:positionH relativeFrom="page">
            <wp:posOffset>6033962</wp:posOffset>
          </wp:positionH>
          <wp:positionV relativeFrom="page">
            <wp:posOffset>42977</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D6D08"/>
    <w:multiLevelType w:val="multilevel"/>
    <w:tmpl w:val="37D688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35C05"/>
    <w:multiLevelType w:val="hybridMultilevel"/>
    <w:tmpl w:val="A8CAFB54"/>
    <w:lvl w:ilvl="0" w:tplc="6B24B0B6">
      <w:start w:val="1"/>
      <w:numFmt w:val="decimal"/>
      <w:lvlText w:val="%1."/>
      <w:lvlJc w:val="left"/>
      <w:pPr>
        <w:ind w:left="786" w:hanging="360"/>
      </w:pPr>
      <w:rPr>
        <w:rFonts w:ascii="Trebuchet MS" w:hAnsi="Trebuchet MS" w:cs="Times New Roman" w:hint="default"/>
        <w:color w:val="auto"/>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5"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4"/>
  </w:num>
  <w:num w:numId="4">
    <w:abstractNumId w:val="23"/>
  </w:num>
  <w:num w:numId="5">
    <w:abstractNumId w:val="27"/>
  </w:num>
  <w:num w:numId="6">
    <w:abstractNumId w:val="3"/>
  </w:num>
  <w:num w:numId="7">
    <w:abstractNumId w:val="20"/>
  </w:num>
  <w:num w:numId="8">
    <w:abstractNumId w:val="1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7"/>
  </w:num>
  <w:num w:numId="13">
    <w:abstractNumId w:val="8"/>
  </w:num>
  <w:num w:numId="14">
    <w:abstractNumId w:val="0"/>
  </w:num>
  <w:num w:numId="15">
    <w:abstractNumId w:val="33"/>
  </w:num>
  <w:num w:numId="16">
    <w:abstractNumId w:val="6"/>
  </w:num>
  <w:num w:numId="17">
    <w:abstractNumId w:val="39"/>
  </w:num>
  <w:num w:numId="18">
    <w:abstractNumId w:val="2"/>
  </w:num>
  <w:num w:numId="19">
    <w:abstractNumId w:val="11"/>
  </w:num>
  <w:num w:numId="20">
    <w:abstractNumId w:val="29"/>
  </w:num>
  <w:num w:numId="21">
    <w:abstractNumId w:val="18"/>
  </w:num>
  <w:num w:numId="22">
    <w:abstractNumId w:val="32"/>
  </w:num>
  <w:num w:numId="23">
    <w:abstractNumId w:val="38"/>
  </w:num>
  <w:num w:numId="24">
    <w:abstractNumId w:val="21"/>
  </w:num>
  <w:num w:numId="25">
    <w:abstractNumId w:val="35"/>
  </w:num>
  <w:num w:numId="26">
    <w:abstractNumId w:val="40"/>
  </w:num>
  <w:num w:numId="27">
    <w:abstractNumId w:val="19"/>
  </w:num>
  <w:num w:numId="28">
    <w:abstractNumId w:val="14"/>
  </w:num>
  <w:num w:numId="29">
    <w:abstractNumId w:val="30"/>
  </w:num>
  <w:num w:numId="30">
    <w:abstractNumId w:val="9"/>
  </w:num>
  <w:num w:numId="31">
    <w:abstractNumId w:val="37"/>
  </w:num>
  <w:num w:numId="32">
    <w:abstractNumId w:val="5"/>
  </w:num>
  <w:num w:numId="33">
    <w:abstractNumId w:val="7"/>
  </w:num>
  <w:num w:numId="34">
    <w:abstractNumId w:val="25"/>
  </w:num>
  <w:num w:numId="35">
    <w:abstractNumId w:val="10"/>
  </w:num>
  <w:num w:numId="36">
    <w:abstractNumId w:val="22"/>
  </w:num>
  <w:num w:numId="37">
    <w:abstractNumId w:val="36"/>
  </w:num>
  <w:num w:numId="38">
    <w:abstractNumId w:val="31"/>
  </w:num>
  <w:num w:numId="39">
    <w:abstractNumId w:val="16"/>
  </w:num>
  <w:num w:numId="40">
    <w:abstractNumId w:val="12"/>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6211"/>
    <w:rsid w:val="00024D0A"/>
    <w:rsid w:val="0002748C"/>
    <w:rsid w:val="00033D05"/>
    <w:rsid w:val="000345B0"/>
    <w:rsid w:val="00042E2C"/>
    <w:rsid w:val="000470D4"/>
    <w:rsid w:val="00050C19"/>
    <w:rsid w:val="00061F2B"/>
    <w:rsid w:val="00062336"/>
    <w:rsid w:val="00067EF5"/>
    <w:rsid w:val="00074279"/>
    <w:rsid w:val="00084CDD"/>
    <w:rsid w:val="00086215"/>
    <w:rsid w:val="00090CA4"/>
    <w:rsid w:val="000919A9"/>
    <w:rsid w:val="00094CB8"/>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7A82"/>
    <w:rsid w:val="00101A53"/>
    <w:rsid w:val="001022B1"/>
    <w:rsid w:val="00102FC6"/>
    <w:rsid w:val="00103C07"/>
    <w:rsid w:val="00106F16"/>
    <w:rsid w:val="0010701D"/>
    <w:rsid w:val="00111FF3"/>
    <w:rsid w:val="001162B9"/>
    <w:rsid w:val="00117C91"/>
    <w:rsid w:val="00122BE7"/>
    <w:rsid w:val="00126ADB"/>
    <w:rsid w:val="00127B2F"/>
    <w:rsid w:val="00130654"/>
    <w:rsid w:val="001313ED"/>
    <w:rsid w:val="00132CEF"/>
    <w:rsid w:val="001341C3"/>
    <w:rsid w:val="00136C9F"/>
    <w:rsid w:val="00144FFE"/>
    <w:rsid w:val="00152C88"/>
    <w:rsid w:val="00154704"/>
    <w:rsid w:val="00154B8A"/>
    <w:rsid w:val="001566AC"/>
    <w:rsid w:val="00160698"/>
    <w:rsid w:val="00161856"/>
    <w:rsid w:val="00161E76"/>
    <w:rsid w:val="001626D3"/>
    <w:rsid w:val="001655F5"/>
    <w:rsid w:val="00165D87"/>
    <w:rsid w:val="00173523"/>
    <w:rsid w:val="00174A5C"/>
    <w:rsid w:val="00175255"/>
    <w:rsid w:val="00182FA7"/>
    <w:rsid w:val="00183523"/>
    <w:rsid w:val="0018575F"/>
    <w:rsid w:val="00190C39"/>
    <w:rsid w:val="00191EC1"/>
    <w:rsid w:val="00195F8C"/>
    <w:rsid w:val="001A4218"/>
    <w:rsid w:val="001A4E7F"/>
    <w:rsid w:val="001A5F3C"/>
    <w:rsid w:val="001A6B79"/>
    <w:rsid w:val="001A7087"/>
    <w:rsid w:val="001B490B"/>
    <w:rsid w:val="001B626A"/>
    <w:rsid w:val="001B6D84"/>
    <w:rsid w:val="001B71D3"/>
    <w:rsid w:val="001B74E0"/>
    <w:rsid w:val="001C676D"/>
    <w:rsid w:val="001C76FD"/>
    <w:rsid w:val="001D44A5"/>
    <w:rsid w:val="001D4BF1"/>
    <w:rsid w:val="001D5819"/>
    <w:rsid w:val="001E0D45"/>
    <w:rsid w:val="001E49E5"/>
    <w:rsid w:val="001E6FB0"/>
    <w:rsid w:val="00203CA2"/>
    <w:rsid w:val="00204CF6"/>
    <w:rsid w:val="00205332"/>
    <w:rsid w:val="002055CC"/>
    <w:rsid w:val="0021150B"/>
    <w:rsid w:val="00211C22"/>
    <w:rsid w:val="0022184D"/>
    <w:rsid w:val="00221C3E"/>
    <w:rsid w:val="002222A9"/>
    <w:rsid w:val="00222859"/>
    <w:rsid w:val="0022291C"/>
    <w:rsid w:val="002265D6"/>
    <w:rsid w:val="00226617"/>
    <w:rsid w:val="0023453A"/>
    <w:rsid w:val="00234CAF"/>
    <w:rsid w:val="0023662B"/>
    <w:rsid w:val="00237C13"/>
    <w:rsid w:val="00240407"/>
    <w:rsid w:val="002448BD"/>
    <w:rsid w:val="00246439"/>
    <w:rsid w:val="00247C38"/>
    <w:rsid w:val="00255050"/>
    <w:rsid w:val="002550C8"/>
    <w:rsid w:val="00255D5A"/>
    <w:rsid w:val="002564C5"/>
    <w:rsid w:val="002565BE"/>
    <w:rsid w:val="00266032"/>
    <w:rsid w:val="00266444"/>
    <w:rsid w:val="00266B05"/>
    <w:rsid w:val="00277303"/>
    <w:rsid w:val="002811A7"/>
    <w:rsid w:val="00281B98"/>
    <w:rsid w:val="002839A7"/>
    <w:rsid w:val="00283E81"/>
    <w:rsid w:val="00294066"/>
    <w:rsid w:val="00297CFB"/>
    <w:rsid w:val="00297DE2"/>
    <w:rsid w:val="002A1837"/>
    <w:rsid w:val="002A39C5"/>
    <w:rsid w:val="002A4C34"/>
    <w:rsid w:val="002A5379"/>
    <w:rsid w:val="002A63A8"/>
    <w:rsid w:val="002A7954"/>
    <w:rsid w:val="002B33C9"/>
    <w:rsid w:val="002B3460"/>
    <w:rsid w:val="002B7D14"/>
    <w:rsid w:val="002C16D3"/>
    <w:rsid w:val="002C1BC9"/>
    <w:rsid w:val="002C20F1"/>
    <w:rsid w:val="002C598A"/>
    <w:rsid w:val="002C77DC"/>
    <w:rsid w:val="002C7D14"/>
    <w:rsid w:val="002D0165"/>
    <w:rsid w:val="002D318B"/>
    <w:rsid w:val="002D55AC"/>
    <w:rsid w:val="002D5D04"/>
    <w:rsid w:val="002D7A2A"/>
    <w:rsid w:val="002F0C6E"/>
    <w:rsid w:val="002F163A"/>
    <w:rsid w:val="00300F9C"/>
    <w:rsid w:val="003038AC"/>
    <w:rsid w:val="003049B5"/>
    <w:rsid w:val="003053A9"/>
    <w:rsid w:val="003133C3"/>
    <w:rsid w:val="00322814"/>
    <w:rsid w:val="00330F5E"/>
    <w:rsid w:val="003317BC"/>
    <w:rsid w:val="00331BF0"/>
    <w:rsid w:val="00333C9D"/>
    <w:rsid w:val="00334D54"/>
    <w:rsid w:val="0034002C"/>
    <w:rsid w:val="00340424"/>
    <w:rsid w:val="00340D8F"/>
    <w:rsid w:val="00341FBA"/>
    <w:rsid w:val="00341FEB"/>
    <w:rsid w:val="00345D75"/>
    <w:rsid w:val="003473D9"/>
    <w:rsid w:val="00350998"/>
    <w:rsid w:val="00357B77"/>
    <w:rsid w:val="00361BC3"/>
    <w:rsid w:val="00362113"/>
    <w:rsid w:val="00363035"/>
    <w:rsid w:val="00364D93"/>
    <w:rsid w:val="00365930"/>
    <w:rsid w:val="00365B58"/>
    <w:rsid w:val="00366020"/>
    <w:rsid w:val="00374684"/>
    <w:rsid w:val="0037522E"/>
    <w:rsid w:val="00384603"/>
    <w:rsid w:val="00386430"/>
    <w:rsid w:val="00390110"/>
    <w:rsid w:val="00394456"/>
    <w:rsid w:val="003A0869"/>
    <w:rsid w:val="003A1007"/>
    <w:rsid w:val="003A614B"/>
    <w:rsid w:val="003B13DB"/>
    <w:rsid w:val="003B55B1"/>
    <w:rsid w:val="003B5E92"/>
    <w:rsid w:val="003B606E"/>
    <w:rsid w:val="003C02C2"/>
    <w:rsid w:val="003C512E"/>
    <w:rsid w:val="003C5DEA"/>
    <w:rsid w:val="003C7DDC"/>
    <w:rsid w:val="003D02D0"/>
    <w:rsid w:val="003D1779"/>
    <w:rsid w:val="003E2074"/>
    <w:rsid w:val="003E2234"/>
    <w:rsid w:val="003E2D72"/>
    <w:rsid w:val="003E3EA8"/>
    <w:rsid w:val="003E6C49"/>
    <w:rsid w:val="003E774C"/>
    <w:rsid w:val="003F1F59"/>
    <w:rsid w:val="003F5315"/>
    <w:rsid w:val="003F5786"/>
    <w:rsid w:val="0040009A"/>
    <w:rsid w:val="00403612"/>
    <w:rsid w:val="00405190"/>
    <w:rsid w:val="00412194"/>
    <w:rsid w:val="00416A7D"/>
    <w:rsid w:val="00422193"/>
    <w:rsid w:val="00430263"/>
    <w:rsid w:val="004304B7"/>
    <w:rsid w:val="00431065"/>
    <w:rsid w:val="004335B4"/>
    <w:rsid w:val="004342D9"/>
    <w:rsid w:val="00434C6D"/>
    <w:rsid w:val="0043658D"/>
    <w:rsid w:val="00436BD9"/>
    <w:rsid w:val="0044621F"/>
    <w:rsid w:val="00447CA5"/>
    <w:rsid w:val="00450D20"/>
    <w:rsid w:val="004574C7"/>
    <w:rsid w:val="00461CEB"/>
    <w:rsid w:val="004620C3"/>
    <w:rsid w:val="00467E85"/>
    <w:rsid w:val="00470B61"/>
    <w:rsid w:val="00471E89"/>
    <w:rsid w:val="00473104"/>
    <w:rsid w:val="004744C4"/>
    <w:rsid w:val="004747D6"/>
    <w:rsid w:val="00476F49"/>
    <w:rsid w:val="0048147D"/>
    <w:rsid w:val="0048716C"/>
    <w:rsid w:val="00493A10"/>
    <w:rsid w:val="00496AB0"/>
    <w:rsid w:val="004A11C7"/>
    <w:rsid w:val="004A1216"/>
    <w:rsid w:val="004A7606"/>
    <w:rsid w:val="004B140A"/>
    <w:rsid w:val="004C0D36"/>
    <w:rsid w:val="004C16E8"/>
    <w:rsid w:val="004C364B"/>
    <w:rsid w:val="004C4D2A"/>
    <w:rsid w:val="004C5352"/>
    <w:rsid w:val="004C5E2C"/>
    <w:rsid w:val="004D03ED"/>
    <w:rsid w:val="004D7C06"/>
    <w:rsid w:val="004E430C"/>
    <w:rsid w:val="004E5B3A"/>
    <w:rsid w:val="004E6B6E"/>
    <w:rsid w:val="004F4E59"/>
    <w:rsid w:val="004F4F6E"/>
    <w:rsid w:val="004F57D3"/>
    <w:rsid w:val="004F7F36"/>
    <w:rsid w:val="00505947"/>
    <w:rsid w:val="00506B5E"/>
    <w:rsid w:val="00507349"/>
    <w:rsid w:val="005126E6"/>
    <w:rsid w:val="00520987"/>
    <w:rsid w:val="0052151B"/>
    <w:rsid w:val="00526C99"/>
    <w:rsid w:val="0052757E"/>
    <w:rsid w:val="005304E7"/>
    <w:rsid w:val="0053321A"/>
    <w:rsid w:val="00534214"/>
    <w:rsid w:val="0053573C"/>
    <w:rsid w:val="00543F04"/>
    <w:rsid w:val="00551907"/>
    <w:rsid w:val="00552D5B"/>
    <w:rsid w:val="00555C33"/>
    <w:rsid w:val="00557748"/>
    <w:rsid w:val="00557DCF"/>
    <w:rsid w:val="005602C4"/>
    <w:rsid w:val="005623A9"/>
    <w:rsid w:val="00565885"/>
    <w:rsid w:val="00567BAA"/>
    <w:rsid w:val="00576202"/>
    <w:rsid w:val="005801C2"/>
    <w:rsid w:val="00581429"/>
    <w:rsid w:val="00583998"/>
    <w:rsid w:val="00586B70"/>
    <w:rsid w:val="00595939"/>
    <w:rsid w:val="005972E4"/>
    <w:rsid w:val="005A2C69"/>
    <w:rsid w:val="005A5B12"/>
    <w:rsid w:val="005B082A"/>
    <w:rsid w:val="005B1355"/>
    <w:rsid w:val="005B7399"/>
    <w:rsid w:val="005B73BF"/>
    <w:rsid w:val="005C2B9C"/>
    <w:rsid w:val="005C4FF3"/>
    <w:rsid w:val="005C5E9D"/>
    <w:rsid w:val="005C696F"/>
    <w:rsid w:val="005D021C"/>
    <w:rsid w:val="005D38FA"/>
    <w:rsid w:val="005D6D9B"/>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7EDF"/>
    <w:rsid w:val="006507D0"/>
    <w:rsid w:val="006518A2"/>
    <w:rsid w:val="00651FFD"/>
    <w:rsid w:val="00652BEF"/>
    <w:rsid w:val="00652C18"/>
    <w:rsid w:val="00671914"/>
    <w:rsid w:val="00672DED"/>
    <w:rsid w:val="00675A05"/>
    <w:rsid w:val="00675C31"/>
    <w:rsid w:val="0068348E"/>
    <w:rsid w:val="006846DE"/>
    <w:rsid w:val="0068578D"/>
    <w:rsid w:val="0069215B"/>
    <w:rsid w:val="00693833"/>
    <w:rsid w:val="006A1845"/>
    <w:rsid w:val="006B0F32"/>
    <w:rsid w:val="006B73ED"/>
    <w:rsid w:val="006C3F98"/>
    <w:rsid w:val="006C4CC1"/>
    <w:rsid w:val="006D31A6"/>
    <w:rsid w:val="006D4FBF"/>
    <w:rsid w:val="006E0AEE"/>
    <w:rsid w:val="006E1FDC"/>
    <w:rsid w:val="006E432C"/>
    <w:rsid w:val="006E5262"/>
    <w:rsid w:val="006E5CCC"/>
    <w:rsid w:val="006F0E58"/>
    <w:rsid w:val="006F1AD4"/>
    <w:rsid w:val="006F263E"/>
    <w:rsid w:val="006F2761"/>
    <w:rsid w:val="006F2C6D"/>
    <w:rsid w:val="006F367B"/>
    <w:rsid w:val="006F53CA"/>
    <w:rsid w:val="006F7622"/>
    <w:rsid w:val="006F7ABF"/>
    <w:rsid w:val="00700467"/>
    <w:rsid w:val="007006AA"/>
    <w:rsid w:val="00701F92"/>
    <w:rsid w:val="00702770"/>
    <w:rsid w:val="00704223"/>
    <w:rsid w:val="00713BD0"/>
    <w:rsid w:val="00714597"/>
    <w:rsid w:val="0071592F"/>
    <w:rsid w:val="00716413"/>
    <w:rsid w:val="00722786"/>
    <w:rsid w:val="00725EB9"/>
    <w:rsid w:val="0072707E"/>
    <w:rsid w:val="0073110C"/>
    <w:rsid w:val="00731944"/>
    <w:rsid w:val="00735215"/>
    <w:rsid w:val="007352C3"/>
    <w:rsid w:val="00736091"/>
    <w:rsid w:val="00737155"/>
    <w:rsid w:val="00740ED1"/>
    <w:rsid w:val="00741AC1"/>
    <w:rsid w:val="007449FF"/>
    <w:rsid w:val="007453A1"/>
    <w:rsid w:val="00751312"/>
    <w:rsid w:val="00760333"/>
    <w:rsid w:val="0076103C"/>
    <w:rsid w:val="007611D5"/>
    <w:rsid w:val="0076292A"/>
    <w:rsid w:val="00763BCD"/>
    <w:rsid w:val="00767B93"/>
    <w:rsid w:val="007745CF"/>
    <w:rsid w:val="00777096"/>
    <w:rsid w:val="00783D4C"/>
    <w:rsid w:val="007917D4"/>
    <w:rsid w:val="00791FFD"/>
    <w:rsid w:val="00793DC9"/>
    <w:rsid w:val="00795903"/>
    <w:rsid w:val="007963FF"/>
    <w:rsid w:val="007A2E31"/>
    <w:rsid w:val="007A5197"/>
    <w:rsid w:val="007C69C5"/>
    <w:rsid w:val="007D4DF4"/>
    <w:rsid w:val="007E654D"/>
    <w:rsid w:val="007F2F1A"/>
    <w:rsid w:val="007F44C3"/>
    <w:rsid w:val="007F78F1"/>
    <w:rsid w:val="00800166"/>
    <w:rsid w:val="008108FA"/>
    <w:rsid w:val="00810B28"/>
    <w:rsid w:val="00813FCF"/>
    <w:rsid w:val="00821D57"/>
    <w:rsid w:val="0082227E"/>
    <w:rsid w:val="00823889"/>
    <w:rsid w:val="00827700"/>
    <w:rsid w:val="00831F57"/>
    <w:rsid w:val="00835827"/>
    <w:rsid w:val="008445DF"/>
    <w:rsid w:val="00844CF8"/>
    <w:rsid w:val="00844F42"/>
    <w:rsid w:val="00845B83"/>
    <w:rsid w:val="00845BA4"/>
    <w:rsid w:val="0084702A"/>
    <w:rsid w:val="0085089D"/>
    <w:rsid w:val="00852226"/>
    <w:rsid w:val="00856355"/>
    <w:rsid w:val="00861BE0"/>
    <w:rsid w:val="00862395"/>
    <w:rsid w:val="008648A4"/>
    <w:rsid w:val="00864A16"/>
    <w:rsid w:val="0087074A"/>
    <w:rsid w:val="008717C0"/>
    <w:rsid w:val="00874B41"/>
    <w:rsid w:val="008766CB"/>
    <w:rsid w:val="0088652B"/>
    <w:rsid w:val="00887D01"/>
    <w:rsid w:val="00890A0F"/>
    <w:rsid w:val="00893DA6"/>
    <w:rsid w:val="008947C4"/>
    <w:rsid w:val="008A23F6"/>
    <w:rsid w:val="008A2FFC"/>
    <w:rsid w:val="008A42FA"/>
    <w:rsid w:val="008B00A4"/>
    <w:rsid w:val="008B08DB"/>
    <w:rsid w:val="008B11CC"/>
    <w:rsid w:val="008B42E7"/>
    <w:rsid w:val="008B54C1"/>
    <w:rsid w:val="008C0393"/>
    <w:rsid w:val="008C231F"/>
    <w:rsid w:val="008C576B"/>
    <w:rsid w:val="008C5C22"/>
    <w:rsid w:val="008C6047"/>
    <w:rsid w:val="008C73AA"/>
    <w:rsid w:val="008D1A3B"/>
    <w:rsid w:val="008D21E8"/>
    <w:rsid w:val="008D2E72"/>
    <w:rsid w:val="008D3471"/>
    <w:rsid w:val="008D3846"/>
    <w:rsid w:val="008E374E"/>
    <w:rsid w:val="008E5A99"/>
    <w:rsid w:val="008F066B"/>
    <w:rsid w:val="008F0FE4"/>
    <w:rsid w:val="008F4E0B"/>
    <w:rsid w:val="008F6744"/>
    <w:rsid w:val="009019A2"/>
    <w:rsid w:val="0090282B"/>
    <w:rsid w:val="00902EB9"/>
    <w:rsid w:val="009035C5"/>
    <w:rsid w:val="00911A3F"/>
    <w:rsid w:val="00915414"/>
    <w:rsid w:val="00920D68"/>
    <w:rsid w:val="00924E42"/>
    <w:rsid w:val="009276FA"/>
    <w:rsid w:val="00931D55"/>
    <w:rsid w:val="0093507C"/>
    <w:rsid w:val="00945CA7"/>
    <w:rsid w:val="00946657"/>
    <w:rsid w:val="00954526"/>
    <w:rsid w:val="00960EA3"/>
    <w:rsid w:val="00961CC8"/>
    <w:rsid w:val="00965AB2"/>
    <w:rsid w:val="009676B2"/>
    <w:rsid w:val="00967B90"/>
    <w:rsid w:val="00967BCA"/>
    <w:rsid w:val="009714EB"/>
    <w:rsid w:val="00973147"/>
    <w:rsid w:val="00975401"/>
    <w:rsid w:val="00976A45"/>
    <w:rsid w:val="00976E3B"/>
    <w:rsid w:val="00984B6B"/>
    <w:rsid w:val="0098730C"/>
    <w:rsid w:val="00990EC6"/>
    <w:rsid w:val="009962F8"/>
    <w:rsid w:val="00997BE7"/>
    <w:rsid w:val="009A19D8"/>
    <w:rsid w:val="009A1B69"/>
    <w:rsid w:val="009A43AC"/>
    <w:rsid w:val="009A5302"/>
    <w:rsid w:val="009B5D8A"/>
    <w:rsid w:val="009D068A"/>
    <w:rsid w:val="009D11F9"/>
    <w:rsid w:val="009D1D56"/>
    <w:rsid w:val="009D2260"/>
    <w:rsid w:val="009E2DC6"/>
    <w:rsid w:val="009E4C50"/>
    <w:rsid w:val="009E5DEF"/>
    <w:rsid w:val="009F046F"/>
    <w:rsid w:val="009F1DCE"/>
    <w:rsid w:val="009F26F8"/>
    <w:rsid w:val="009F302A"/>
    <w:rsid w:val="009F30A4"/>
    <w:rsid w:val="009F3D0A"/>
    <w:rsid w:val="009F5166"/>
    <w:rsid w:val="009F66FC"/>
    <w:rsid w:val="009F7F2A"/>
    <w:rsid w:val="00A00FEF"/>
    <w:rsid w:val="00A05BE9"/>
    <w:rsid w:val="00A134CA"/>
    <w:rsid w:val="00A13915"/>
    <w:rsid w:val="00A22778"/>
    <w:rsid w:val="00A232FC"/>
    <w:rsid w:val="00A317E6"/>
    <w:rsid w:val="00A34D12"/>
    <w:rsid w:val="00A369BE"/>
    <w:rsid w:val="00A37736"/>
    <w:rsid w:val="00A43D7E"/>
    <w:rsid w:val="00A5650E"/>
    <w:rsid w:val="00A64497"/>
    <w:rsid w:val="00A65C4D"/>
    <w:rsid w:val="00A667BB"/>
    <w:rsid w:val="00A67940"/>
    <w:rsid w:val="00A7368B"/>
    <w:rsid w:val="00A74DE3"/>
    <w:rsid w:val="00A75EF0"/>
    <w:rsid w:val="00A81AC3"/>
    <w:rsid w:val="00A8721E"/>
    <w:rsid w:val="00A9083A"/>
    <w:rsid w:val="00A90877"/>
    <w:rsid w:val="00A95061"/>
    <w:rsid w:val="00AA450E"/>
    <w:rsid w:val="00AA6E92"/>
    <w:rsid w:val="00AB5449"/>
    <w:rsid w:val="00AB5B6E"/>
    <w:rsid w:val="00AB7CF1"/>
    <w:rsid w:val="00AC1BC6"/>
    <w:rsid w:val="00AC1C64"/>
    <w:rsid w:val="00AC5D99"/>
    <w:rsid w:val="00AD52FA"/>
    <w:rsid w:val="00AE47FF"/>
    <w:rsid w:val="00AE5F8B"/>
    <w:rsid w:val="00AF210B"/>
    <w:rsid w:val="00AF450F"/>
    <w:rsid w:val="00AF6F35"/>
    <w:rsid w:val="00B03190"/>
    <w:rsid w:val="00B12383"/>
    <w:rsid w:val="00B16CF6"/>
    <w:rsid w:val="00B2036B"/>
    <w:rsid w:val="00B24C33"/>
    <w:rsid w:val="00B269E3"/>
    <w:rsid w:val="00B26F64"/>
    <w:rsid w:val="00B315CB"/>
    <w:rsid w:val="00B35063"/>
    <w:rsid w:val="00B416D8"/>
    <w:rsid w:val="00B42FE8"/>
    <w:rsid w:val="00B4350F"/>
    <w:rsid w:val="00B55CE6"/>
    <w:rsid w:val="00B65BBA"/>
    <w:rsid w:val="00B668B4"/>
    <w:rsid w:val="00B66B25"/>
    <w:rsid w:val="00B7127C"/>
    <w:rsid w:val="00B823F7"/>
    <w:rsid w:val="00B8423E"/>
    <w:rsid w:val="00B86375"/>
    <w:rsid w:val="00B86604"/>
    <w:rsid w:val="00B9328A"/>
    <w:rsid w:val="00B95AB7"/>
    <w:rsid w:val="00B95BF5"/>
    <w:rsid w:val="00BA3348"/>
    <w:rsid w:val="00BA5CC3"/>
    <w:rsid w:val="00BB5293"/>
    <w:rsid w:val="00BB64D3"/>
    <w:rsid w:val="00BC09DA"/>
    <w:rsid w:val="00BC0DCA"/>
    <w:rsid w:val="00BC0E01"/>
    <w:rsid w:val="00BC2A30"/>
    <w:rsid w:val="00BC31F3"/>
    <w:rsid w:val="00BC406A"/>
    <w:rsid w:val="00BC4BD3"/>
    <w:rsid w:val="00BC5361"/>
    <w:rsid w:val="00BD23EE"/>
    <w:rsid w:val="00BD2F7E"/>
    <w:rsid w:val="00BD6F14"/>
    <w:rsid w:val="00BD7A3C"/>
    <w:rsid w:val="00BE1C8D"/>
    <w:rsid w:val="00BE3D27"/>
    <w:rsid w:val="00BE7F56"/>
    <w:rsid w:val="00BF1F69"/>
    <w:rsid w:val="00BF3ED0"/>
    <w:rsid w:val="00C01373"/>
    <w:rsid w:val="00C028C8"/>
    <w:rsid w:val="00C04902"/>
    <w:rsid w:val="00C06E37"/>
    <w:rsid w:val="00C135A0"/>
    <w:rsid w:val="00C15C01"/>
    <w:rsid w:val="00C166AC"/>
    <w:rsid w:val="00C17710"/>
    <w:rsid w:val="00C2348E"/>
    <w:rsid w:val="00C26146"/>
    <w:rsid w:val="00C27610"/>
    <w:rsid w:val="00C27614"/>
    <w:rsid w:val="00C30298"/>
    <w:rsid w:val="00C32371"/>
    <w:rsid w:val="00C32CBA"/>
    <w:rsid w:val="00C33332"/>
    <w:rsid w:val="00C353B9"/>
    <w:rsid w:val="00C37D62"/>
    <w:rsid w:val="00C4195C"/>
    <w:rsid w:val="00C43063"/>
    <w:rsid w:val="00C466A1"/>
    <w:rsid w:val="00C525F0"/>
    <w:rsid w:val="00C546B8"/>
    <w:rsid w:val="00C6243B"/>
    <w:rsid w:val="00C654B9"/>
    <w:rsid w:val="00C65CCD"/>
    <w:rsid w:val="00C7051F"/>
    <w:rsid w:val="00C74A69"/>
    <w:rsid w:val="00C802B6"/>
    <w:rsid w:val="00C806EF"/>
    <w:rsid w:val="00C80B8F"/>
    <w:rsid w:val="00C828A8"/>
    <w:rsid w:val="00C85300"/>
    <w:rsid w:val="00C94A5A"/>
    <w:rsid w:val="00C968D1"/>
    <w:rsid w:val="00CA2222"/>
    <w:rsid w:val="00CA559A"/>
    <w:rsid w:val="00CA71B4"/>
    <w:rsid w:val="00CB201C"/>
    <w:rsid w:val="00CB29A1"/>
    <w:rsid w:val="00CC01A2"/>
    <w:rsid w:val="00CD3DAC"/>
    <w:rsid w:val="00CD480F"/>
    <w:rsid w:val="00CD66F5"/>
    <w:rsid w:val="00CE2C24"/>
    <w:rsid w:val="00CE3474"/>
    <w:rsid w:val="00CE598F"/>
    <w:rsid w:val="00CF052C"/>
    <w:rsid w:val="00CF373A"/>
    <w:rsid w:val="00CF72C1"/>
    <w:rsid w:val="00D01FE6"/>
    <w:rsid w:val="00D057C8"/>
    <w:rsid w:val="00D10921"/>
    <w:rsid w:val="00D1408B"/>
    <w:rsid w:val="00D1503B"/>
    <w:rsid w:val="00D1720A"/>
    <w:rsid w:val="00D20667"/>
    <w:rsid w:val="00D207E2"/>
    <w:rsid w:val="00D21212"/>
    <w:rsid w:val="00D21678"/>
    <w:rsid w:val="00D244A6"/>
    <w:rsid w:val="00D244E0"/>
    <w:rsid w:val="00D25A4E"/>
    <w:rsid w:val="00D26CBB"/>
    <w:rsid w:val="00D306A3"/>
    <w:rsid w:val="00D329DB"/>
    <w:rsid w:val="00D34934"/>
    <w:rsid w:val="00D356E3"/>
    <w:rsid w:val="00D42BF5"/>
    <w:rsid w:val="00D45AD4"/>
    <w:rsid w:val="00D46166"/>
    <w:rsid w:val="00D4736F"/>
    <w:rsid w:val="00D50A01"/>
    <w:rsid w:val="00D5384D"/>
    <w:rsid w:val="00D54120"/>
    <w:rsid w:val="00D56033"/>
    <w:rsid w:val="00D6012C"/>
    <w:rsid w:val="00D614F8"/>
    <w:rsid w:val="00D662E6"/>
    <w:rsid w:val="00D664C5"/>
    <w:rsid w:val="00D67253"/>
    <w:rsid w:val="00D71E20"/>
    <w:rsid w:val="00D82F86"/>
    <w:rsid w:val="00D8395C"/>
    <w:rsid w:val="00D86D79"/>
    <w:rsid w:val="00D86E0B"/>
    <w:rsid w:val="00D87764"/>
    <w:rsid w:val="00D91491"/>
    <w:rsid w:val="00D95358"/>
    <w:rsid w:val="00D96BEB"/>
    <w:rsid w:val="00DA1437"/>
    <w:rsid w:val="00DA63BF"/>
    <w:rsid w:val="00DA7163"/>
    <w:rsid w:val="00DB4686"/>
    <w:rsid w:val="00DB703C"/>
    <w:rsid w:val="00DC54E1"/>
    <w:rsid w:val="00DD007E"/>
    <w:rsid w:val="00DD116D"/>
    <w:rsid w:val="00DD365F"/>
    <w:rsid w:val="00DE249E"/>
    <w:rsid w:val="00DE34A8"/>
    <w:rsid w:val="00DE43CE"/>
    <w:rsid w:val="00DE7C50"/>
    <w:rsid w:val="00DF09C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24668"/>
    <w:rsid w:val="00E42EC4"/>
    <w:rsid w:val="00E44258"/>
    <w:rsid w:val="00E47890"/>
    <w:rsid w:val="00E61FDB"/>
    <w:rsid w:val="00E62CBB"/>
    <w:rsid w:val="00E65AD0"/>
    <w:rsid w:val="00E67239"/>
    <w:rsid w:val="00E67425"/>
    <w:rsid w:val="00E71AAA"/>
    <w:rsid w:val="00E74117"/>
    <w:rsid w:val="00E755E4"/>
    <w:rsid w:val="00E81A21"/>
    <w:rsid w:val="00E8212F"/>
    <w:rsid w:val="00E84346"/>
    <w:rsid w:val="00E851B4"/>
    <w:rsid w:val="00E85EAE"/>
    <w:rsid w:val="00E87161"/>
    <w:rsid w:val="00E9245C"/>
    <w:rsid w:val="00E92CD1"/>
    <w:rsid w:val="00E93841"/>
    <w:rsid w:val="00E93C63"/>
    <w:rsid w:val="00EA4355"/>
    <w:rsid w:val="00EA4F06"/>
    <w:rsid w:val="00EA6F97"/>
    <w:rsid w:val="00EB2551"/>
    <w:rsid w:val="00EB61A3"/>
    <w:rsid w:val="00EC3E01"/>
    <w:rsid w:val="00EC63B9"/>
    <w:rsid w:val="00EC69FF"/>
    <w:rsid w:val="00ED0612"/>
    <w:rsid w:val="00ED0943"/>
    <w:rsid w:val="00ED2363"/>
    <w:rsid w:val="00ED2FF4"/>
    <w:rsid w:val="00EE3F68"/>
    <w:rsid w:val="00EF4754"/>
    <w:rsid w:val="00EF697F"/>
    <w:rsid w:val="00F01490"/>
    <w:rsid w:val="00F14B91"/>
    <w:rsid w:val="00F17971"/>
    <w:rsid w:val="00F218E8"/>
    <w:rsid w:val="00F25957"/>
    <w:rsid w:val="00F33B2B"/>
    <w:rsid w:val="00F341AA"/>
    <w:rsid w:val="00F34F4B"/>
    <w:rsid w:val="00F41C80"/>
    <w:rsid w:val="00F5189D"/>
    <w:rsid w:val="00F52A78"/>
    <w:rsid w:val="00F565BF"/>
    <w:rsid w:val="00F6590C"/>
    <w:rsid w:val="00F65C54"/>
    <w:rsid w:val="00F666E1"/>
    <w:rsid w:val="00F67B32"/>
    <w:rsid w:val="00F700FA"/>
    <w:rsid w:val="00F72146"/>
    <w:rsid w:val="00F73476"/>
    <w:rsid w:val="00F73EF3"/>
    <w:rsid w:val="00F75883"/>
    <w:rsid w:val="00F75D29"/>
    <w:rsid w:val="00F85863"/>
    <w:rsid w:val="00F87335"/>
    <w:rsid w:val="00F9377F"/>
    <w:rsid w:val="00F965C2"/>
    <w:rsid w:val="00FA35D6"/>
    <w:rsid w:val="00FA431F"/>
    <w:rsid w:val="00FB2C2B"/>
    <w:rsid w:val="00FB6D76"/>
    <w:rsid w:val="00FC1320"/>
    <w:rsid w:val="00FC1FCC"/>
    <w:rsid w:val="00FD0905"/>
    <w:rsid w:val="00FD1E34"/>
    <w:rsid w:val="00FD3AFE"/>
    <w:rsid w:val="00FD57FE"/>
    <w:rsid w:val="00FE090F"/>
    <w:rsid w:val="00FE32C8"/>
    <w:rsid w:val="00FE502C"/>
    <w:rsid w:val="00FF0B99"/>
    <w:rsid w:val="00FF4C57"/>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1C4E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1"/>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
      <w:docPartPr>
        <w:name w:val="E4474DFBC37144B685678176C0474EA7"/>
        <w:category>
          <w:name w:val="General"/>
          <w:gallery w:val="placeholder"/>
        </w:category>
        <w:types>
          <w:type w:val="bbPlcHdr"/>
        </w:types>
        <w:behaviors>
          <w:behavior w:val="content"/>
        </w:behaviors>
        <w:guid w:val="{D68C2569-3C60-481F-B17F-79ECEDC1898E}"/>
      </w:docPartPr>
      <w:docPartBody>
        <w:p w:rsidR="00FE3EEC" w:rsidRDefault="00FE3EEC" w:rsidP="00FE3EEC">
          <w:pPr>
            <w:pStyle w:val="E4474DFBC37144B685678176C0474EA7"/>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84483"/>
    <w:rsid w:val="00203AE7"/>
    <w:rsid w:val="002A7A72"/>
    <w:rsid w:val="00371CDB"/>
    <w:rsid w:val="004F5F28"/>
    <w:rsid w:val="00584FEE"/>
    <w:rsid w:val="00737ED2"/>
    <w:rsid w:val="00995DB1"/>
    <w:rsid w:val="009B7D00"/>
    <w:rsid w:val="00B16694"/>
    <w:rsid w:val="00C27C1D"/>
    <w:rsid w:val="00F072A3"/>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685E-775F-4EB8-B64E-1F64C68A474B}">
  <ds:schemaRefs>
    <ds:schemaRef ds:uri="http://schemas.openxmlformats.org/officeDocument/2006/bibliography"/>
  </ds:schemaRefs>
</ds:datastoreItem>
</file>

<file path=customXml/itemProps2.xml><?xml version="1.0" encoding="utf-8"?>
<ds:datastoreItem xmlns:ds="http://schemas.openxmlformats.org/officeDocument/2006/customXml" ds:itemID="{8F29AECA-85EC-4D77-8EA0-4FE2516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E165C77</Template>
  <TotalTime>10</TotalTime>
  <Pages>6</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Michelle Fegan</cp:lastModifiedBy>
  <cp:revision>9</cp:revision>
  <cp:lastPrinted>2019-01-29T09:27:00Z</cp:lastPrinted>
  <dcterms:created xsi:type="dcterms:W3CDTF">2019-02-01T10:55:00Z</dcterms:created>
  <dcterms:modified xsi:type="dcterms:W3CDTF">2019-02-14T09:24:00Z</dcterms:modified>
</cp:coreProperties>
</file>